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71335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242570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rPr>
          <w:sz w:val="20"/>
          <w:szCs w:val="20"/>
          <w:color w:val="auto"/>
        </w:rPr>
      </w:pPr>
      <w:r>
        <w:rPr>
          <w:rFonts w:ascii="Arial" w:cs="Arial" w:eastAsia="Arial" w:hAnsi="Arial"/>
          <w:sz w:val="18"/>
          <w:szCs w:val="18"/>
          <w:color w:val="auto"/>
        </w:rPr>
        <w:t>(Mark One)</w:t>
      </w:r>
    </w:p>
    <w:p>
      <w:pPr>
        <w:spacing w:after="0" w:line="201" w:lineRule="exact"/>
        <w:rPr>
          <w:sz w:val="24"/>
          <w:szCs w:val="24"/>
          <w:color w:val="auto"/>
        </w:rPr>
      </w:pPr>
    </w:p>
    <w:p>
      <w:pPr>
        <w:ind w:left="3940" w:right="1880" w:hanging="3933"/>
        <w:spacing w:after="0" w:line="257"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380" w:right="1520" w:hanging="4373"/>
        <w:spacing w:after="0" w:line="250" w:lineRule="auto"/>
        <w:tabs>
          <w:tab w:leader="none" w:pos="65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1-4298</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COHU, INC</w:t>
      </w:r>
      <w:r>
        <w:rPr>
          <w:rFonts w:ascii="Arial" w:cs="Arial" w:eastAsia="Arial" w:hAnsi="Arial"/>
          <w:sz w:val="32"/>
          <w:szCs w:val="32"/>
          <w:color w:val="auto"/>
        </w:rPr>
        <w:t>.</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4720" w:type="dxa"/>
            <w:vAlign w:val="bottom"/>
          </w:tcPr>
          <w:p>
            <w:pPr>
              <w:jc w:val="center"/>
              <w:ind w:right="1231"/>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left="1231"/>
              <w:spacing w:after="0"/>
              <w:rPr>
                <w:sz w:val="20"/>
                <w:szCs w:val="20"/>
                <w:color w:val="auto"/>
              </w:rPr>
            </w:pPr>
            <w:r>
              <w:rPr>
                <w:rFonts w:ascii="Arial" w:cs="Arial" w:eastAsia="Arial" w:hAnsi="Arial"/>
                <w:sz w:val="18"/>
                <w:szCs w:val="18"/>
                <w:b w:val="1"/>
                <w:bCs w:val="1"/>
                <w:color w:val="auto"/>
                <w:w w:val="89"/>
              </w:rPr>
              <w:t>95-1934119</w:t>
            </w:r>
          </w:p>
        </w:tc>
      </w:tr>
      <w:tr>
        <w:trPr>
          <w:trHeight w:val="214"/>
        </w:trPr>
        <w:tc>
          <w:tcPr>
            <w:tcW w:w="4720" w:type="dxa"/>
            <w:vAlign w:val="bottom"/>
          </w:tcPr>
          <w:p>
            <w:pPr>
              <w:jc w:val="center"/>
              <w:ind w:right="1231"/>
              <w:spacing w:after="0"/>
              <w:rPr>
                <w:sz w:val="20"/>
                <w:szCs w:val="20"/>
                <w:color w:val="auto"/>
              </w:rPr>
            </w:pPr>
            <w:r>
              <w:rPr>
                <w:rFonts w:ascii="Arial" w:cs="Arial" w:eastAsia="Arial" w:hAnsi="Arial"/>
                <w:sz w:val="18"/>
                <w:szCs w:val="18"/>
                <w:i w:val="1"/>
                <w:iCs w:val="1"/>
                <w:color w:val="auto"/>
                <w:w w:val="92"/>
              </w:rPr>
              <w:t>(State or other jurisdiction of</w:t>
            </w:r>
          </w:p>
        </w:tc>
        <w:tc>
          <w:tcPr>
            <w:tcW w:w="3860" w:type="dxa"/>
            <w:vAlign w:val="bottom"/>
          </w:tcPr>
          <w:p>
            <w:pPr>
              <w:jc w:val="center"/>
              <w:ind w:left="1231"/>
              <w:spacing w:after="0"/>
              <w:rPr>
                <w:sz w:val="20"/>
                <w:szCs w:val="20"/>
                <w:color w:val="auto"/>
              </w:rPr>
            </w:pPr>
            <w:r>
              <w:rPr>
                <w:rFonts w:ascii="Arial" w:cs="Arial" w:eastAsia="Arial" w:hAnsi="Arial"/>
                <w:sz w:val="18"/>
                <w:szCs w:val="18"/>
                <w:i w:val="1"/>
                <w:iCs w:val="1"/>
                <w:color w:val="auto"/>
                <w:w w:val="91"/>
              </w:rPr>
              <w:t>(I.R.S. Employer Identification No.)</w:t>
            </w:r>
          </w:p>
        </w:tc>
      </w:tr>
      <w:tr>
        <w:trPr>
          <w:trHeight w:val="227"/>
        </w:trPr>
        <w:tc>
          <w:tcPr>
            <w:tcW w:w="4720" w:type="dxa"/>
            <w:vAlign w:val="bottom"/>
          </w:tcPr>
          <w:p>
            <w:pPr>
              <w:jc w:val="center"/>
              <w:ind w:right="1251"/>
              <w:spacing w:after="0"/>
              <w:rPr>
                <w:sz w:val="20"/>
                <w:szCs w:val="20"/>
                <w:color w:val="auto"/>
              </w:rPr>
            </w:pPr>
            <w:r>
              <w:rPr>
                <w:rFonts w:ascii="Arial" w:cs="Arial" w:eastAsia="Arial" w:hAnsi="Arial"/>
                <w:sz w:val="18"/>
                <w:szCs w:val="18"/>
                <w:i w:val="1"/>
                <w:iCs w:val="1"/>
                <w:color w:val="auto"/>
                <w:w w:val="94"/>
              </w:rPr>
              <w:t>Incorporation or Organization)</w:t>
            </w:r>
          </w:p>
        </w:tc>
        <w:tc>
          <w:tcPr>
            <w:tcW w:w="3860" w:type="dxa"/>
            <w:vAlign w:val="bottom"/>
          </w:tcPr>
          <w:p>
            <w:pPr>
              <w:spacing w:after="0"/>
              <w:rPr>
                <w:sz w:val="19"/>
                <w:szCs w:val="19"/>
                <w:color w:val="auto"/>
              </w:rPr>
            </w:pPr>
          </w:p>
        </w:tc>
      </w:tr>
      <w:tr>
        <w:trPr>
          <w:trHeight w:val="415"/>
        </w:trPr>
        <w:tc>
          <w:tcPr>
            <w:tcW w:w="4720" w:type="dxa"/>
            <w:vAlign w:val="bottom"/>
          </w:tcPr>
          <w:p>
            <w:pPr>
              <w:jc w:val="center"/>
              <w:ind w:right="1251"/>
              <w:spacing w:after="0"/>
              <w:rPr>
                <w:sz w:val="20"/>
                <w:szCs w:val="20"/>
                <w:color w:val="auto"/>
              </w:rPr>
            </w:pPr>
            <w:r>
              <w:rPr>
                <w:rFonts w:ascii="Arial" w:cs="Arial" w:eastAsia="Arial" w:hAnsi="Arial"/>
                <w:sz w:val="18"/>
                <w:szCs w:val="18"/>
                <w:b w:val="1"/>
                <w:bCs w:val="1"/>
                <w:color w:val="auto"/>
                <w:w w:val="90"/>
              </w:rPr>
              <w:t>12367 Crosthwaite Circle, Poway, California</w:t>
            </w:r>
          </w:p>
        </w:tc>
        <w:tc>
          <w:tcPr>
            <w:tcW w:w="3860" w:type="dxa"/>
            <w:vAlign w:val="bottom"/>
          </w:tcPr>
          <w:p>
            <w:pPr>
              <w:jc w:val="center"/>
              <w:ind w:left="1231"/>
              <w:spacing w:after="0"/>
              <w:rPr>
                <w:sz w:val="20"/>
                <w:szCs w:val="20"/>
                <w:color w:val="auto"/>
              </w:rPr>
            </w:pPr>
            <w:r>
              <w:rPr>
                <w:rFonts w:ascii="Arial" w:cs="Arial" w:eastAsia="Arial" w:hAnsi="Arial"/>
                <w:sz w:val="18"/>
                <w:szCs w:val="18"/>
                <w:b w:val="1"/>
                <w:bCs w:val="1"/>
                <w:color w:val="auto"/>
                <w:w w:val="89"/>
              </w:rPr>
              <w:t>92064-6817</w:t>
            </w:r>
          </w:p>
        </w:tc>
      </w:tr>
      <w:tr>
        <w:trPr>
          <w:trHeight w:val="227"/>
        </w:trPr>
        <w:tc>
          <w:tcPr>
            <w:tcW w:w="4720" w:type="dxa"/>
            <w:vAlign w:val="bottom"/>
          </w:tcPr>
          <w:p>
            <w:pPr>
              <w:jc w:val="center"/>
              <w:ind w:right="1251"/>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860" w:type="dxa"/>
            <w:vAlign w:val="bottom"/>
          </w:tcPr>
          <w:p>
            <w:pPr>
              <w:jc w:val="center"/>
              <w:ind w:left="1231"/>
              <w:spacing w:after="0"/>
              <w:rPr>
                <w:sz w:val="20"/>
                <w:szCs w:val="20"/>
                <w:color w:val="auto"/>
              </w:rPr>
            </w:pPr>
            <w:r>
              <w:rPr>
                <w:rFonts w:ascii="Arial" w:cs="Arial" w:eastAsia="Arial" w:hAnsi="Arial"/>
                <w:sz w:val="18"/>
                <w:szCs w:val="18"/>
                <w:i w:val="1"/>
                <w:iCs w:val="1"/>
                <w:color w:val="auto"/>
                <w:w w:val="91"/>
              </w:rPr>
              <w:t>(Zip Code)</w:t>
            </w:r>
          </w:p>
        </w:tc>
      </w:tr>
    </w:tbl>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(858) 848-8100</w:t>
      </w:r>
    </w:p>
    <w:p>
      <w:pPr>
        <w:spacing w:after="0" w:line="221" w:lineRule="exact"/>
        <w:rPr>
          <w:sz w:val="24"/>
          <w:szCs w:val="24"/>
          <w:color w:val="auto"/>
        </w:rPr>
      </w:pPr>
    </w:p>
    <w:tbl>
      <w:tblPr>
        <w:tblLayout w:type="fixed"/>
        <w:tblInd w:w="660" w:type="dxa"/>
        <w:tblCellMar>
          <w:top w:w="0" w:type="dxa"/>
          <w:left w:w="0" w:type="dxa"/>
          <w:bottom w:w="0" w:type="dxa"/>
          <w:right w:w="0" w:type="dxa"/>
        </w:tblCellMar>
      </w:tblPr>
      <w:tr>
        <w:trPr>
          <w:trHeight w:val="231"/>
        </w:trPr>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80" w:type="dxa"/>
            <w:vAlign w:val="bottom"/>
            <w:gridSpan w:val="3"/>
          </w:tcPr>
          <w:p>
            <w:pPr>
              <w:jc w:val="center"/>
              <w:ind w:left="51"/>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3060" w:type="dxa"/>
            <w:vAlign w:val="bottom"/>
          </w:tcPr>
          <w:p>
            <w:pPr>
              <w:spacing w:after="0"/>
              <w:rPr>
                <w:sz w:val="20"/>
                <w:szCs w:val="20"/>
                <w:color w:val="auto"/>
              </w:rPr>
            </w:pPr>
          </w:p>
        </w:tc>
      </w:tr>
      <w:tr>
        <w:trPr>
          <w:trHeight w:val="389"/>
        </w:trPr>
        <w:tc>
          <w:tcPr>
            <w:tcW w:w="50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500" w:type="dxa"/>
            <w:vAlign w:val="bottom"/>
          </w:tcPr>
          <w:p>
            <w:pPr>
              <w:spacing w:after="0"/>
              <w:rPr>
                <w:sz w:val="24"/>
                <w:szCs w:val="2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Exchange on Which Registered</w:t>
            </w:r>
          </w:p>
        </w:tc>
      </w:tr>
      <w:tr>
        <w:trPr>
          <w:trHeight w:val="233"/>
        </w:trPr>
        <w:tc>
          <w:tcPr>
            <w:tcW w:w="2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Common Stock, $1.00 par value</w:t>
            </w:r>
          </w:p>
        </w:tc>
        <w:tc>
          <w:tcPr>
            <w:tcW w:w="1660" w:type="dxa"/>
            <w:vAlign w:val="bottom"/>
          </w:tcPr>
          <w:p>
            <w:pPr>
              <w:spacing w:after="0"/>
              <w:rPr>
                <w:sz w:val="20"/>
                <w:szCs w:val="20"/>
                <w:color w:val="auto"/>
              </w:rPr>
            </w:pPr>
          </w:p>
        </w:tc>
        <w:tc>
          <w:tcPr>
            <w:tcW w:w="292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rPr>
              <w:t>COHU</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411"/>
        </w:trPr>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80" w:type="dxa"/>
            <w:vAlign w:val="bottom"/>
            <w:gridSpan w:val="3"/>
          </w:tcPr>
          <w:p>
            <w:pPr>
              <w:jc w:val="center"/>
              <w:ind w:left="51"/>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3060" w:type="dxa"/>
            <w:vAlign w:val="bottom"/>
          </w:tcPr>
          <w:p>
            <w:pPr>
              <w:spacing w:after="0"/>
              <w:rPr>
                <w:sz w:val="24"/>
                <w:szCs w:val="24"/>
                <w:color w:val="auto"/>
              </w:rPr>
            </w:pPr>
          </w:p>
        </w:tc>
      </w:tr>
      <w:tr>
        <w:trPr>
          <w:trHeight w:val="231"/>
        </w:trPr>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2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8"/>
              </w:rPr>
              <w:t>None</w:t>
            </w:r>
          </w:p>
        </w:tc>
        <w:tc>
          <w:tcPr>
            <w:tcW w:w="3060" w:type="dxa"/>
            <w:vAlign w:val="bottom"/>
          </w:tcPr>
          <w:p>
            <w:pPr>
              <w:spacing w:after="0"/>
              <w:rPr>
                <w:sz w:val="20"/>
                <w:szCs w:val="20"/>
                <w:color w:val="auto"/>
              </w:rPr>
            </w:pPr>
          </w:p>
        </w:tc>
      </w:tr>
    </w:tbl>
    <w:p>
      <w:pPr>
        <w:spacing w:after="0" w:line="169"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1"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220" w:firstLine="17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17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ind w:right="80" w:firstLine="178"/>
        <w:spacing w:after="0" w:line="25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p>
      <w:pPr>
        <w:jc w:val="center"/>
        <w:ind w:right="-19"/>
        <w:spacing w:after="0" w:line="207" w:lineRule="exact"/>
        <w:tabs>
          <w:tab w:leader="none" w:pos="1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r>
        <w:rPr>
          <w:rFonts w:ascii="MS PGothic" w:cs="MS PGothic" w:eastAsia="MS PGothic" w:hAnsi="MS PGothic"/>
          <w:sz w:val="16"/>
          <w:szCs w:val="16"/>
          <w:color w:val="auto"/>
        </w:rPr>
        <w:t xml:space="preserve">  ☐ </w:t>
      </w:r>
      <w:r>
        <w:rPr>
          <w:rFonts w:ascii="Arial" w:cs="Arial" w:eastAsia="Arial" w:hAnsi="Arial"/>
          <w:sz w:val="16"/>
          <w:szCs w:val="16"/>
          <w:color w:val="auto"/>
        </w:rPr>
        <w:t>Non-accelerated filer</w:t>
      </w:r>
      <w:r>
        <w:rPr>
          <w:rFonts w:ascii="MS PGothic" w:cs="MS PGothic" w:eastAsia="MS PGothic" w:hAnsi="MS PGothic"/>
          <w:sz w:val="16"/>
          <w:szCs w:val="16"/>
          <w:color w:val="auto"/>
        </w:rPr>
        <w:t xml:space="preserve">  ☐ </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 </w:t>
      </w:r>
      <w:r>
        <w:rPr>
          <w:rFonts w:ascii="Arial" w:cs="Arial" w:eastAsia="Arial" w:hAnsi="Arial"/>
          <w:sz w:val="16"/>
          <w:szCs w:val="16"/>
          <w:color w:val="auto"/>
        </w:rPr>
        <w:t>Emerging growth company</w:t>
      </w:r>
      <w:r>
        <w:rPr>
          <w:rFonts w:ascii="MS PGothic" w:cs="MS PGothic" w:eastAsia="MS PGothic" w:hAnsi="MS PGothic"/>
          <w:sz w:val="16"/>
          <w:szCs w:val="16"/>
          <w:color w:val="auto"/>
        </w:rPr>
        <w:t xml:space="preserve"> ☐</w:t>
      </w:r>
    </w:p>
    <w:p>
      <w:pPr>
        <w:spacing w:after="0" w:line="212" w:lineRule="exact"/>
        <w:rPr>
          <w:sz w:val="24"/>
          <w:szCs w:val="24"/>
          <w:color w:val="auto"/>
        </w:rPr>
      </w:pPr>
    </w:p>
    <w:p>
      <w:pPr>
        <w:ind w:right="100" w:firstLine="178"/>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1" w:lineRule="exact"/>
        <w:rPr>
          <w:sz w:val="24"/>
          <w:szCs w:val="24"/>
          <w:color w:val="auto"/>
        </w:rPr>
      </w:pPr>
    </w:p>
    <w:p>
      <w:pPr>
        <w:ind w:right="160" w:firstLine="178"/>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3" w:lineRule="exact"/>
        <w:rPr>
          <w:sz w:val="24"/>
          <w:szCs w:val="24"/>
          <w:color w:val="auto"/>
        </w:rPr>
      </w:pPr>
    </w:p>
    <w:p>
      <w:pPr>
        <w:ind w:right="220" w:firstLine="178"/>
        <w:spacing w:after="0" w:line="231"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1" w:lineRule="exact"/>
        <w:rPr>
          <w:sz w:val="24"/>
          <w:szCs w:val="24"/>
          <w:color w:val="auto"/>
        </w:rPr>
      </w:pPr>
    </w:p>
    <w:p>
      <w:pPr>
        <w:ind w:right="20" w:firstLine="178"/>
        <w:spacing w:after="0" w:line="231"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4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60" w:firstLine="178"/>
        <w:spacing w:after="0" w:line="255"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$1,286,100,000 based on the closing stock price as reported by the Nasdaq Stock Market LLC as of June 25, 2022.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ectPr>
          <w:pgSz w:w="11900" w:h="16838" w:orient="portrait"/>
          <w:cols w:equalWidth="0" w:num="1">
            <w:col w:w="11240"/>
          </w:cols>
          <w:pgMar w:left="320" w:top="473" w:right="339" w:bottom="0" w:gutter="0" w:footer="0" w:header="0"/>
        </w:sectPr>
      </w:pPr>
    </w:p>
    <w:bookmarkStart w:id="1" w:name="page2"/>
    <w:bookmarkEnd w:id="1"/>
    <w:p>
      <w:pPr>
        <w:ind w:left="180"/>
        <w:spacing w:after="0"/>
        <w:rPr>
          <w:sz w:val="20"/>
          <w:szCs w:val="20"/>
          <w:color w:val="auto"/>
        </w:rPr>
      </w:pPr>
      <w:r>
        <w:rPr>
          <w:rFonts w:ascii="Arial" w:cs="Arial" w:eastAsia="Arial" w:hAnsi="Arial"/>
          <w:sz w:val="18"/>
          <w:szCs w:val="18"/>
          <w:color w:val="auto"/>
        </w:rPr>
        <w:t>As of February 8, 2023, the Registrant had 47,282,254 shares of its $1.00 par value common stock outstanding.</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ind w:firstLine="178"/>
        <w:spacing w:after="0" w:line="301" w:lineRule="auto"/>
        <w:rPr>
          <w:sz w:val="20"/>
          <w:szCs w:val="20"/>
          <w:color w:val="auto"/>
        </w:rPr>
      </w:pPr>
      <w:r>
        <w:rPr>
          <w:rFonts w:ascii="Arial" w:cs="Arial" w:eastAsia="Arial" w:hAnsi="Arial"/>
          <w:sz w:val="17"/>
          <w:szCs w:val="17"/>
          <w:color w:val="auto"/>
        </w:rPr>
        <w:t>Portions of the Proxy Statement for Cohu, Inc.’s 2023 Annual Meeting of Stockholders to be held on May 10, 2023, and to be filed pursuant to Regulation 14A within 120 days after registrant’s fiscal year ended December 31, 2022,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713359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462280</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60" w:type="dxa"/>
            <w:vAlign w:val="bottom"/>
            <w:gridSpan w:val="7"/>
          </w:tcPr>
          <w:p>
            <w:pPr>
              <w:jc w:val="center"/>
              <w:ind w:right="4760"/>
              <w:spacing w:after="0"/>
              <w:rPr>
                <w:sz w:val="20"/>
                <w:szCs w:val="20"/>
                <w:color w:val="auto"/>
              </w:rPr>
            </w:pPr>
            <w:r>
              <w:rPr>
                <w:rFonts w:ascii="Arial" w:cs="Arial" w:eastAsia="Arial" w:hAnsi="Arial"/>
                <w:sz w:val="18"/>
                <w:szCs w:val="18"/>
                <w:b w:val="1"/>
                <w:bCs w:val="1"/>
                <w:color w:val="auto"/>
              </w:rPr>
              <w:t>COHU, INC.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60" w:type="dxa"/>
            <w:vAlign w:val="bottom"/>
            <w:gridSpan w:val="12"/>
          </w:tcPr>
          <w:p>
            <w:pPr>
              <w:jc w:val="center"/>
              <w:ind w:right="2440"/>
              <w:spacing w:after="0"/>
              <w:rPr>
                <w:sz w:val="20"/>
                <w:szCs w:val="20"/>
                <w:color w:val="auto"/>
              </w:rPr>
            </w:pPr>
            <w:r>
              <w:rPr>
                <w:rFonts w:ascii="Arial" w:cs="Arial" w:eastAsia="Arial" w:hAnsi="Arial"/>
                <w:sz w:val="18"/>
                <w:szCs w:val="18"/>
                <w:b w:val="1"/>
                <w:bCs w:val="1"/>
                <w:color w:val="auto"/>
                <w:w w:val="98"/>
              </w:rPr>
              <w:t>FORM 10-K FOR THE FISCAL YEAR ENDED DECEMBER 31, 2022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80" w:type="dxa"/>
            <w:vAlign w:val="bottom"/>
            <w:gridSpan w:val="9"/>
          </w:tcPr>
          <w:p>
            <w:pPr>
              <w:jc w:val="center"/>
              <w:ind w:right="3740"/>
              <w:spacing w:after="0"/>
              <w:rPr>
                <w:sz w:val="20"/>
                <w:szCs w:val="20"/>
                <w:color w:val="auto"/>
              </w:rPr>
            </w:pPr>
            <w:r>
              <w:rPr>
                <w:rFonts w:ascii="Arial" w:cs="Arial" w:eastAsia="Arial" w:hAnsi="Arial"/>
                <w:sz w:val="18"/>
                <w:szCs w:val="18"/>
                <w:b w:val="1"/>
                <w:bCs w:val="1"/>
                <w:color w:val="auto"/>
                <w:w w:val="98"/>
              </w:rPr>
              <w:t>TABLE OF CONTENTS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89"/>
        </w:trPr>
        <w:tc>
          <w:tcPr>
            <w:tcW w:w="800" w:type="dxa"/>
            <w:vAlign w:val="bottom"/>
            <w:gridSpan w:val="6"/>
          </w:tcPr>
          <w:p>
            <w:pPr>
              <w:spacing w:after="0"/>
              <w:rPr>
                <w:sz w:val="20"/>
                <w:szCs w:val="20"/>
                <w:color w:val="auto"/>
              </w:rPr>
            </w:pPr>
            <w:r>
              <w:rPr>
                <w:rFonts w:ascii="Arial" w:cs="Arial" w:eastAsia="Arial" w:hAnsi="Arial"/>
                <w:sz w:val="18"/>
                <w:szCs w:val="18"/>
                <w:b w:val="1"/>
                <w:bCs w:val="1"/>
                <w:color w:val="0000EE"/>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408"/>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220" w:type="dxa"/>
            <w:vAlign w:val="bottom"/>
            <w:gridSpan w:val="5"/>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0000EE"/>
                <w:w w:val="84"/>
              </w:rPr>
              <w:t>Business</w:t>
            </w:r>
          </w:p>
        </w:tc>
        <w:tc>
          <w:tcPr>
            <w:tcW w:w="9440" w:type="dxa"/>
            <w:vAlign w:val="bottom"/>
            <w:gridSpan w:val="21"/>
          </w:tcPr>
          <w:p>
            <w:pPr>
              <w:spacing w:after="0"/>
              <w:rPr>
                <w:sz w:val="24"/>
                <w:szCs w:val="24"/>
                <w:color w:val="auto"/>
              </w:rPr>
            </w:pPr>
          </w:p>
        </w:tc>
        <w:tc>
          <w:tcPr>
            <w:tcW w:w="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0000EE"/>
              </w:rPr>
              <w:t>1</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sz w:val="20"/>
                <w:szCs w:val="20"/>
                <w:color w:val="auto"/>
              </w:rPr>
            </w:pPr>
            <w:r>
              <w:rPr>
                <w:rFonts w:ascii="Arial" w:cs="Arial" w:eastAsia="Arial" w:hAnsi="Arial"/>
                <w:sz w:val="18"/>
                <w:szCs w:val="18"/>
                <w:color w:val="0000EE"/>
                <w:w w:val="87"/>
              </w:rPr>
              <w:t>Risk Factors</w:t>
            </w:r>
          </w:p>
        </w:tc>
        <w:tc>
          <w:tcPr>
            <w:tcW w:w="9180" w:type="dxa"/>
            <w:vAlign w:val="bottom"/>
            <w:gridSpan w:val="18"/>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8</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10080" w:type="dxa"/>
            <w:vAlign w:val="bottom"/>
            <w:gridSpan w:val="22"/>
          </w:tcPr>
          <w:p>
            <w:pPr>
              <w:spacing w:after="0"/>
              <w:rPr>
                <w:sz w:val="20"/>
                <w:szCs w:val="20"/>
                <w:color w:val="auto"/>
              </w:rPr>
            </w:pPr>
            <w:r>
              <w:rPr>
                <w:rFonts w:ascii="Arial" w:cs="Arial" w:eastAsia="Arial" w:hAnsi="Arial"/>
                <w:sz w:val="18"/>
                <w:szCs w:val="18"/>
                <w:color w:val="0000EE"/>
              </w:rPr>
              <w:t>Unresolved Staff Comments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25</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5"/>
              </w:rPr>
              <w:t>Properties</w:t>
            </w:r>
          </w:p>
        </w:tc>
        <w:tc>
          <w:tcPr>
            <w:tcW w:w="1300" w:type="dxa"/>
            <w:vAlign w:val="bottom"/>
            <w:tcBorders>
              <w:top w:val="single" w:sz="8" w:color="0000EE"/>
            </w:tcBorders>
            <w:gridSpan w:val="7"/>
          </w:tcPr>
          <w:p>
            <w:pPr>
              <w:spacing w:after="0"/>
              <w:rPr>
                <w:sz w:val="24"/>
                <w:szCs w:val="24"/>
                <w:color w:val="auto"/>
              </w:rPr>
            </w:pPr>
          </w:p>
        </w:tc>
        <w:tc>
          <w:tcPr>
            <w:tcW w:w="806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25</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7"/>
              </w:rPr>
              <w:t>Legal Proceedings</w:t>
            </w:r>
          </w:p>
        </w:tc>
        <w:tc>
          <w:tcPr>
            <w:tcW w:w="8760" w:type="dxa"/>
            <w:vAlign w:val="bottom"/>
            <w:gridSpan w:val="16"/>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25</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4.</w:t>
            </w:r>
          </w:p>
        </w:tc>
        <w:tc>
          <w:tcPr>
            <w:tcW w:w="10080" w:type="dxa"/>
            <w:vAlign w:val="bottom"/>
            <w:gridSpan w:val="22"/>
          </w:tcPr>
          <w:p>
            <w:pPr>
              <w:spacing w:after="0"/>
              <w:rPr>
                <w:sz w:val="20"/>
                <w:szCs w:val="20"/>
                <w:color w:val="auto"/>
              </w:rPr>
            </w:pPr>
            <w:r>
              <w:rPr>
                <w:rFonts w:ascii="Arial" w:cs="Arial" w:eastAsia="Arial" w:hAnsi="Arial"/>
                <w:sz w:val="18"/>
                <w:szCs w:val="18"/>
                <w:color w:val="0000EE"/>
              </w:rPr>
              <w:t>Mine Safety Disclosures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25</w:t>
            </w:r>
          </w:p>
        </w:tc>
      </w:tr>
      <w:tr>
        <w:trPr>
          <w:trHeight w:val="622"/>
        </w:trPr>
        <w:tc>
          <w:tcPr>
            <w:tcW w:w="6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9"/>
              </w:rPr>
              <w:t>PART II</w:t>
            </w:r>
          </w:p>
        </w:tc>
        <w:tc>
          <w:tcPr>
            <w:tcW w:w="14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5.</w:t>
            </w:r>
          </w:p>
        </w:tc>
        <w:tc>
          <w:tcPr>
            <w:tcW w:w="80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9"/>
              </w:rPr>
              <w:t>Market for Registrant’s Common Equity, Related Stockholder Matters and Issuer Purchases of Equity Securities</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26</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6.</w:t>
            </w:r>
          </w:p>
        </w:tc>
        <w:tc>
          <w:tcPr>
            <w:tcW w:w="6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3"/>
              </w:rPr>
              <w:t>Reserved</w:t>
            </w:r>
          </w:p>
        </w:tc>
        <w:tc>
          <w:tcPr>
            <w:tcW w:w="9420" w:type="dxa"/>
            <w:vAlign w:val="bottom"/>
            <w:gridSpan w:val="20"/>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28</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28</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3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1"/>
              </w:rPr>
              <w:t>Quantitative and Qualitative Disclosures About Market Risk</w:t>
            </w:r>
          </w:p>
        </w:tc>
        <w:tc>
          <w:tcPr>
            <w:tcW w:w="576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40</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8.</w:t>
            </w:r>
          </w:p>
        </w:tc>
        <w:tc>
          <w:tcPr>
            <w:tcW w:w="33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8"/>
              </w:rPr>
              <w:t>Financial Statements and Supplementary Data</w:t>
            </w:r>
          </w:p>
        </w:tc>
        <w:tc>
          <w:tcPr>
            <w:tcW w:w="678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41</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4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Changes in and Disagreements with Accountants on Accounting and Financial Disclosure</w:t>
            </w:r>
          </w:p>
        </w:tc>
        <w:tc>
          <w:tcPr>
            <w:tcW w:w="36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41</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0080" w:type="dxa"/>
            <w:vAlign w:val="bottom"/>
            <w:gridSpan w:val="22"/>
          </w:tcPr>
          <w:p>
            <w:pPr>
              <w:spacing w:after="0"/>
              <w:rPr>
                <w:sz w:val="20"/>
                <w:szCs w:val="20"/>
                <w:color w:val="auto"/>
              </w:rPr>
            </w:pPr>
            <w:r>
              <w:rPr>
                <w:rFonts w:ascii="Arial" w:cs="Arial" w:eastAsia="Arial" w:hAnsi="Arial"/>
                <w:sz w:val="18"/>
                <w:szCs w:val="18"/>
                <w:color w:val="0000EE"/>
              </w:rPr>
              <w:t>Controls and Procedures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41</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3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1"/>
              </w:rPr>
              <w:t>Other Information</w:t>
            </w:r>
          </w:p>
        </w:tc>
        <w:tc>
          <w:tcPr>
            <w:tcW w:w="440" w:type="dxa"/>
            <w:vAlign w:val="bottom"/>
            <w:tcBorders>
              <w:top w:val="single" w:sz="8" w:color="0000EE"/>
            </w:tcBorders>
            <w:gridSpan w:val="3"/>
          </w:tcPr>
          <w:p>
            <w:pPr>
              <w:spacing w:after="0"/>
              <w:rPr>
                <w:sz w:val="24"/>
                <w:szCs w:val="24"/>
                <w:color w:val="auto"/>
              </w:rPr>
            </w:pPr>
          </w:p>
        </w:tc>
        <w:tc>
          <w:tcPr>
            <w:tcW w:w="8340" w:type="dxa"/>
            <w:vAlign w:val="bottom"/>
            <w:gridSpan w:val="14"/>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43</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9C.</w:t>
            </w:r>
          </w:p>
        </w:tc>
        <w:tc>
          <w:tcPr>
            <w:tcW w:w="10080" w:type="dxa"/>
            <w:vAlign w:val="bottom"/>
            <w:gridSpan w:val="22"/>
          </w:tcPr>
          <w:p>
            <w:pPr>
              <w:spacing w:after="0"/>
              <w:rPr>
                <w:sz w:val="20"/>
                <w:szCs w:val="20"/>
                <w:color w:val="auto"/>
              </w:rPr>
            </w:pPr>
            <w:r>
              <w:rPr>
                <w:rFonts w:ascii="Arial" w:cs="Arial" w:eastAsia="Arial" w:hAnsi="Arial"/>
                <w:sz w:val="18"/>
                <w:szCs w:val="18"/>
                <w:color w:val="0000EE"/>
              </w:rPr>
              <w:t>Disclosure Regarding Foreign Jurisdictions That Prevent Inspections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43</w:t>
            </w:r>
          </w:p>
        </w:tc>
      </w:tr>
      <w:tr>
        <w:trPr>
          <w:trHeight w:val="622"/>
        </w:trPr>
        <w:tc>
          <w:tcPr>
            <w:tcW w:w="7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rPr>
              <w:t>PART III</w:t>
            </w:r>
          </w:p>
        </w:tc>
        <w:tc>
          <w:tcPr>
            <w:tcW w:w="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Directors, Executive Officers and Corporate Governance</w:t>
            </w:r>
          </w:p>
        </w:tc>
        <w:tc>
          <w:tcPr>
            <w:tcW w:w="602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43</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10080" w:type="dxa"/>
            <w:vAlign w:val="bottom"/>
            <w:gridSpan w:val="22"/>
          </w:tcPr>
          <w:p>
            <w:pPr>
              <w:spacing w:after="0"/>
              <w:rPr>
                <w:sz w:val="20"/>
                <w:szCs w:val="20"/>
                <w:color w:val="auto"/>
              </w:rPr>
            </w:pPr>
            <w:r>
              <w:rPr>
                <w:rFonts w:ascii="Arial" w:cs="Arial" w:eastAsia="Arial" w:hAnsi="Arial"/>
                <w:sz w:val="18"/>
                <w:szCs w:val="18"/>
                <w:color w:val="0000EE"/>
              </w:rPr>
              <w:t>Executive Compensation</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43</w:t>
            </w:r>
          </w:p>
        </w:tc>
      </w:tr>
      <w:tr>
        <w:trPr>
          <w:trHeight w:val="20"/>
        </w:trPr>
        <w:tc>
          <w:tcPr>
            <w:tcW w:w="7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2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9"/>
              </w:rPr>
              <w:t>Security Ownership of Certain Beneficial Owners and Management and Related Stockholder Matters</w:t>
            </w:r>
          </w:p>
        </w:tc>
        <w:tc>
          <w:tcPr>
            <w:tcW w:w="28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43</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8"/>
              </w:rPr>
              <w:t>Certain Relationships and Related Transactions, and Director Independence</w:t>
            </w:r>
          </w:p>
        </w:tc>
        <w:tc>
          <w:tcPr>
            <w:tcW w:w="46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43</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10080" w:type="dxa"/>
            <w:vAlign w:val="bottom"/>
            <w:gridSpan w:val="22"/>
          </w:tcPr>
          <w:p>
            <w:pPr>
              <w:spacing w:after="0"/>
              <w:rPr>
                <w:sz w:val="20"/>
                <w:szCs w:val="20"/>
                <w:color w:val="auto"/>
              </w:rPr>
            </w:pPr>
            <w:r>
              <w:rPr>
                <w:rFonts w:ascii="Arial" w:cs="Arial" w:eastAsia="Arial" w:hAnsi="Arial"/>
                <w:sz w:val="18"/>
                <w:szCs w:val="18"/>
                <w:color w:val="0000EE"/>
              </w:rPr>
              <w:t>Principal Accounting Fees and Services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43</w:t>
            </w:r>
          </w:p>
        </w:tc>
      </w:tr>
      <w:tr>
        <w:trPr>
          <w:trHeight w:val="408"/>
        </w:trPr>
        <w:tc>
          <w:tcPr>
            <w:tcW w:w="7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8"/>
              </w:rPr>
              <w:t>PART IV</w:t>
            </w:r>
          </w:p>
        </w:tc>
        <w:tc>
          <w:tcPr>
            <w:tcW w:w="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10080" w:type="dxa"/>
            <w:vAlign w:val="bottom"/>
            <w:gridSpan w:val="22"/>
          </w:tcPr>
          <w:p>
            <w:pPr>
              <w:spacing w:after="0"/>
              <w:rPr>
                <w:sz w:val="20"/>
                <w:szCs w:val="20"/>
                <w:color w:val="auto"/>
              </w:rPr>
            </w:pPr>
            <w:r>
              <w:rPr>
                <w:rFonts w:ascii="Arial" w:cs="Arial" w:eastAsia="Arial" w:hAnsi="Arial"/>
                <w:sz w:val="18"/>
                <w:szCs w:val="18"/>
                <w:color w:val="0000EE"/>
              </w:rPr>
              <w:t>Exhibits, Financial Statement Schedules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44</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154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0"/>
              </w:rPr>
              <w:t>Form 10-K Summary</w:t>
            </w:r>
          </w:p>
        </w:tc>
        <w:tc>
          <w:tcPr>
            <w:tcW w:w="1320" w:type="dxa"/>
            <w:vAlign w:val="bottom"/>
            <w:tcBorders>
              <w:top w:val="single" w:sz="8" w:color="0000EE"/>
            </w:tcBorders>
            <w:gridSpan w:val="5"/>
          </w:tcPr>
          <w:p>
            <w:pPr>
              <w:spacing w:after="0"/>
              <w:rPr>
                <w:sz w:val="24"/>
                <w:szCs w:val="24"/>
                <w:color w:val="auto"/>
              </w:rPr>
            </w:pPr>
          </w:p>
        </w:tc>
        <w:tc>
          <w:tcPr>
            <w:tcW w:w="7220" w:type="dxa"/>
            <w:vAlign w:val="bottom"/>
            <w:gridSpan w:val="10"/>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83</w:t>
            </w:r>
          </w:p>
        </w:tc>
      </w:tr>
      <w:tr>
        <w:trPr>
          <w:trHeight w:val="408"/>
        </w:trPr>
        <w:tc>
          <w:tcPr>
            <w:tcW w:w="800" w:type="dxa"/>
            <w:vAlign w:val="bottom"/>
            <w:gridSpan w:val="6"/>
          </w:tcPr>
          <w:p>
            <w:pPr>
              <w:spacing w:after="0"/>
              <w:rPr>
                <w:sz w:val="20"/>
                <w:szCs w:val="20"/>
                <w:color w:val="auto"/>
              </w:rPr>
            </w:pPr>
            <w:r>
              <w:rPr>
                <w:rFonts w:ascii="Arial" w:cs="Arial" w:eastAsia="Arial" w:hAnsi="Arial"/>
                <w:sz w:val="18"/>
                <w:szCs w:val="18"/>
                <w:color w:val="0000EE"/>
                <w:w w:val="90"/>
              </w:rPr>
              <w:t>Signatures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EE"/>
              </w:rPr>
              <w:t>84</w:t>
            </w:r>
          </w:p>
        </w:tc>
      </w:tr>
      <w:tr>
        <w:trPr>
          <w:trHeight w:val="589"/>
        </w:trPr>
        <w:tc>
          <w:tcPr>
            <w:tcW w:w="5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Annual Report on Form 10-K contains forward-looking statements within the meaning of the Securities Exchange Act of 1934 and the Securities Act of</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1933, which are subject to known and unknown risks and uncertainties. The forward-looking statements include statements concerning, among other things,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business strategy (including the influence of anticipated trends and developments in our business and the markets in which we operate), financial results,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results, revenues, gross margin, operating expenses, products, projected costs and capital expenditures, research and development programs, sales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marketing initiatives, acquisitions and competition. In some cases, you can identify these statements by our use of forward-looking words, such as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might,</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predict,</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xml:space="preserv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color w:val="auto"/>
        </w:rPr>
        <w:t>continue,</w:t>
      </w:r>
      <w:r>
        <w:rPr>
          <w:rFonts w:ascii="Arial" w:cs="Arial" w:eastAsia="Arial" w:hAnsi="Arial"/>
          <w:sz w:val="17"/>
          <w:szCs w:val="17"/>
          <w:color w:val="auto"/>
        </w:rPr>
        <w:t xml:space="preserve">” </w:t>
      </w:r>
      <w:r>
        <w:rPr>
          <w:rFonts w:ascii="Arial" w:cs="Arial" w:eastAsia="Arial" w:hAnsi="Arial"/>
          <w:sz w:val="17"/>
          <w:szCs w:val="17"/>
          <w:i w:val="1"/>
          <w:iCs w:val="1"/>
          <w:color w:val="auto"/>
        </w:rPr>
        <w:t>the negative or plural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these words and other comparable terminology. Forward-looking statements are based on information available to us as of the filing date of this Annual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Report on Form 10-K and our current expectations about future events, which are inherently subject to change and involve assumptions and known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unknown risks and uncertainties. It is not possible for our management to predict all risks, nor can we assess the impact of all factors on our business or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extent to which any factor, or combination of factors, may cause actual results to differ materially from those contained in any forward-looking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make. In light of these risks, uncertainties and assumptions, you should not place undue reliance on these forward-looking statements. We have no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obligation to update any of these statements, and we assume no obligation to do so. Actual events or results may differ materially from those expressed 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implied by these statements due to various factors, including but not limited to the matters discussed below in the section entitled </w:t>
      </w:r>
      <w:r>
        <w:rPr>
          <w:rFonts w:ascii="Arial" w:cs="Arial" w:eastAsia="Arial" w:hAnsi="Arial"/>
          <w:sz w:val="16"/>
          <w:szCs w:val="16"/>
          <w:color w:val="auto"/>
        </w:rPr>
        <w:t>“</w:t>
      </w:r>
      <w:r>
        <w:rPr>
          <w:rFonts w:ascii="Arial" w:cs="Arial" w:eastAsia="Arial" w:hAnsi="Arial"/>
          <w:sz w:val="16"/>
          <w:szCs w:val="16"/>
          <w:i w:val="1"/>
          <w:iCs w:val="1"/>
          <w:color w:val="auto"/>
        </w:rPr>
        <w:t>Item 1A: Risk Factors,</w:t>
      </w:r>
      <w:r>
        <w:rPr>
          <w:rFonts w:ascii="Arial" w:cs="Arial" w:eastAsia="Arial" w:hAnsi="Arial"/>
          <w:sz w:val="16"/>
          <w:szCs w:val="16"/>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elsewhere in this Annual Report on Form 10-K. This Form 10-K also contains estimates, projections and other information concerning our industry, our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and the markets for certain of our products, including data regarding the estimated size of those markets. Information that is based on estimates,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forecasts, projections, market research or similar methodologies is inherently subject to uncertainties and actual events or circumstances may differ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materially from events and circumstances reflected in this information. Unless otherwise expressly stated, we obtained this industry, business, market,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data from reports, research surveys, studies, and similar data prepared by market research firms and other third parties, industry, general publications,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data, and similar sources.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4"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Cohu is a global technology leader supplying test, automation, inspection and metrology products and services to the semiconductor industry. Cohu’s differentiated and broad product portfolio is designed to optimize semiconductor manufacturing yield and productivity, accelerating customers’ time-to-market. We offer a wide range of products and services, and revenue from our capital equipment products is driven by the capital expenditure budgets and spending patterns of our customers, who often delay or accelerate purchases in reaction to variations in their business. The level of capital expenditures by these companies depends on the current and anticipated market demand for semiconductor devices and the products that incorporate them. Our recurring revenues are driven by an increase in the number of semiconductor devices that are tested and by the continuous introduction of new products and technologies by our customers.</w:t>
      </w:r>
    </w:p>
    <w:p>
      <w:pPr>
        <w:spacing w:after="0" w:line="19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MCT Worldwide, LLC (“MCT”), acquired by Cohu on January 30, 2023, is a United States (“U.S.”) based company with a principal manufacturing site in Penang, Malaysia. MCT provides automated solutions for the semiconductor industry and designs, manufactures, markets, services and distributes strip test handlers, film frame handlers and laser mark handlers. The acquisition of MCT was completed subsequent to Cohu’s fiscal year ended December 31, 2022 and certain disclosures include MCT to enable investors to evaluate the operating and financial effects to our business recognized in the subsequent accounting period. Unless otherwise indicated, disclosures made throughout this Form 10-K exclude the effect of the acquisition of MCT.</w:t>
      </w:r>
    </w:p>
    <w:p>
      <w:pPr>
        <w:spacing w:after="0" w:line="161"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color w:val="auto"/>
        </w:rPr>
        <w:t>On June 24, 2021, we completed the sale of our PCB Test Equipment (“PCB Test”) business, that represented the entirety of our PCB Test reportable segment. As part of this divestiture, we also sold certain intellectual property held by our Semiconductor Test &amp; Inspection segment that was used by the PCB Test business. Unless otherwise noted, all amounts presented are from continuing operations.</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determined that we have one reportable segment, Semiconductor Test and Inspection Equipment (“Semiconductor Test &amp; Inspection”). Prior to the sale of our PCB Test Group (“PTG”) on June 24, 2021, we reported two segments, Semiconductor Test &amp; Inspection and PCB Test Equipment. Financial information on our reportable segments for each of the last three years is included in Note 10, “Segment and Geographic Information” in Part IV, Item 15(a) of this Form 10-K.</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333"/>
        </w:trPr>
        <w:tc>
          <w:tcPr>
            <w:tcW w:w="3860" w:type="dxa"/>
            <w:vAlign w:val="bottom"/>
          </w:tcPr>
          <w:p>
            <w:pPr>
              <w:spacing w:after="0"/>
              <w:rPr>
                <w:sz w:val="24"/>
                <w:szCs w:val="24"/>
                <w:color w:val="auto"/>
              </w:rPr>
            </w:pPr>
          </w:p>
        </w:tc>
        <w:tc>
          <w:tcPr>
            <w:tcW w:w="22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2022</w:t>
            </w:r>
            <w:r>
              <w:rPr>
                <w:rFonts w:ascii="Arial" w:cs="Arial" w:eastAsia="Arial" w:hAnsi="Arial"/>
                <w:sz w:val="29"/>
                <w:szCs w:val="29"/>
                <w:color w:val="auto"/>
                <w:vertAlign w:val="superscript"/>
              </w:rPr>
              <w:t>(1)</w:t>
            </w:r>
          </w:p>
        </w:tc>
        <w:tc>
          <w:tcPr>
            <w:tcW w:w="17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2021</w:t>
            </w:r>
            <w:r>
              <w:rPr>
                <w:rFonts w:ascii="Arial" w:cs="Arial" w:eastAsia="Arial" w:hAnsi="Arial"/>
                <w:sz w:val="29"/>
                <w:szCs w:val="29"/>
                <w:color w:val="auto"/>
                <w:vertAlign w:val="superscript"/>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4"/>
                <w:szCs w:val="24"/>
                <w:color w:val="auto"/>
              </w:rPr>
            </w:pPr>
          </w:p>
        </w:tc>
      </w:t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&amp; Inspection</w:t>
            </w:r>
          </w:p>
        </w:tc>
        <w:tc>
          <w:tcPr>
            <w:tcW w:w="22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100%</w:t>
            </w:r>
          </w:p>
        </w:tc>
        <w:tc>
          <w:tcPr>
            <w:tcW w:w="17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97%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r>
        <w:trPr>
          <w:trHeight w:val="214"/>
        </w:trPr>
        <w:tc>
          <w:tcPr>
            <w:tcW w:w="3860" w:type="dxa"/>
            <w:vAlign w:val="bottom"/>
          </w:tcPr>
          <w:p>
            <w:pPr>
              <w:spacing w:after="0"/>
              <w:rPr>
                <w:sz w:val="20"/>
                <w:szCs w:val="20"/>
                <w:color w:val="auto"/>
              </w:rPr>
            </w:pPr>
            <w:r>
              <w:rPr>
                <w:rFonts w:ascii="Arial" w:cs="Arial" w:eastAsia="Arial" w:hAnsi="Arial"/>
                <w:sz w:val="18"/>
                <w:szCs w:val="18"/>
                <w:color w:val="auto"/>
              </w:rPr>
              <w:t>PCB Test</w:t>
            </w:r>
          </w:p>
        </w:tc>
        <w:tc>
          <w:tcPr>
            <w:tcW w:w="226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51"/>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0"/>
        </w:trPr>
        <w:tc>
          <w:tcPr>
            <w:tcW w:w="38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386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100%</w:t>
            </w:r>
          </w:p>
        </w:tc>
        <w:tc>
          <w:tcPr>
            <w:tcW w:w="17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38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 Our PCB Test segment was sold on June 24, 2021.</w:t>
      </w:r>
    </w:p>
    <w:p>
      <w:pPr>
        <w:spacing w:after="0" w:line="2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Cohu, Inc. (“Cohu”, “we”, “our”, “us” and the “Company”)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w:t>
      </w:r>
    </w:p>
    <w:p>
      <w:pPr>
        <w:spacing w:after="0" w:line="22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i w:val="1"/>
          <w:iCs w:val="1"/>
          <w:color w:val="auto"/>
        </w:rPr>
        <w:t xml:space="preserve">Semiconductor Automated Test Equipment </w:t>
      </w:r>
      <w:r>
        <w:rPr>
          <w:rFonts w:ascii="Arial" w:cs="Arial" w:eastAsia="Arial" w:hAnsi="Arial"/>
          <w:sz w:val="18"/>
          <w:szCs w:val="18"/>
          <w:color w:val="auto"/>
        </w:rPr>
        <w:t>(“ATE”) is used both for wafer level and device package testing. Our semiconductor ATE solutions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two platforms for the system on a chip (“SoC”) device market. The Diamondx tester offers high-density instrumentation for testing microcontrollers, application specific standard products (“ASSP”), power management, display drivers, sensors and other mixed signal devices. The PAx tester is focused primarily on the RF Front End IC and Module applications.</w:t>
      </w:r>
    </w:p>
    <w:p>
      <w:pPr>
        <w:spacing w:after="0" w:line="190"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i w:val="1"/>
          <w:iCs w:val="1"/>
          <w:color w:val="auto"/>
        </w:rPr>
        <w:t xml:space="preserve">Semiconductor Handlers </w:t>
      </w:r>
      <w:r>
        <w:rPr>
          <w:rFonts w:ascii="Arial" w:cs="Arial" w:eastAsia="Arial" w:hAnsi="Arial"/>
          <w:sz w:val="16"/>
          <w:szCs w:val="16"/>
          <w:color w:val="auto"/>
        </w:rPr>
        <w:t>are used in conjunction with semiconductor ATE to automate the testing of packaged semiconductor devices. Our handlers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a variety of package sizes and device types, including those used in automotive, mobility, industrial and computing applications, among others. We offer a broad range of test handlers, including pick-and-place, turret, gravity, strip, film frame, laser mark, MEMS and thermal sub-systems.</w:t>
      </w:r>
    </w:p>
    <w:p>
      <w:pPr>
        <w:spacing w:after="0" w:line="15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Interface Products </w:t>
      </w:r>
      <w:r>
        <w:rPr>
          <w:rFonts w:ascii="Arial" w:cs="Arial" w:eastAsia="Arial" w:hAnsi="Arial"/>
          <w:sz w:val="17"/>
          <w:szCs w:val="17"/>
          <w:color w:val="auto"/>
        </w:rPr>
        <w:t>are comprised of test contactors, probe heads and probe pins. Test contactors serve as the interface between the test handler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device under test such as digital semiconductor devices utilizing spring probe technology, power management and LED semiconductor devices utilizing cantilever technology, and RF semiconductor devices based on contacts designed to operate at high frequencies. Test contactors and probe heads are specific to individual semiconductor device designs, need to be replaced frequently and increase in size with the number of devices tested in parallel. Interface Products are included in our recurring revenues.</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Inspection and Metrology </w:t>
      </w:r>
      <w:r>
        <w:rPr>
          <w:rFonts w:ascii="Arial" w:cs="Arial" w:eastAsia="Arial" w:hAnsi="Arial"/>
          <w:sz w:val="18"/>
          <w:szCs w:val="18"/>
          <w:color w:val="auto"/>
        </w:rPr>
        <w:t>are products that provide advanced vision capabilities. We offer a wide range of solutions for inspection of singulated molded</w:t>
      </w:r>
      <w:r>
        <w:rPr>
          <w:rFonts w:ascii="Arial" w:cs="Arial" w:eastAsia="Arial" w:hAnsi="Arial"/>
          <w:sz w:val="18"/>
          <w:szCs w:val="18"/>
          <w:i w:val="1"/>
          <w:iCs w:val="1"/>
          <w:color w:val="auto"/>
        </w:rPr>
        <w:t xml:space="preserve"> </w:t>
      </w:r>
      <w:r>
        <w:rPr>
          <w:rFonts w:ascii="Arial" w:cs="Arial" w:eastAsia="Arial" w:hAnsi="Arial"/>
          <w:sz w:val="18"/>
          <w:szCs w:val="18"/>
          <w:color w:val="auto"/>
        </w:rPr>
        <w:t>leaded and leadless devices, and post-singulated wafer level chip scale packages (“WLCSP”) and bare dies. NV-Core is our unique vision technology, enabling advanced inspection and metrology, such as 3-dimensional topographic inspection, sidewall micro-crack detection, and infrared inspection for sub-surface defect detection.</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Data Analytics </w:t>
      </w:r>
      <w:r>
        <w:rPr>
          <w:rFonts w:ascii="Arial" w:cs="Arial" w:eastAsia="Arial" w:hAnsi="Arial"/>
          <w:sz w:val="18"/>
          <w:szCs w:val="18"/>
          <w:color w:val="auto"/>
        </w:rPr>
        <w:t>(“DI-Core”) is a comprehensive software suite used to optimize Cohu equipment performance. DI-Core provides real-time online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monitoring and process control to improve utilization, manage predictive maintenance, and link semiconductor tester, handler and test contactor data. DI-Core is included in our recurring revenue.</w:t>
      </w:r>
    </w:p>
    <w:p>
      <w:pPr>
        <w:spacing w:after="0" w:line="186"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i w:val="1"/>
          <w:iCs w:val="1"/>
          <w:color w:val="auto"/>
        </w:rPr>
        <w:t xml:space="preserve">Spares and Kits </w:t>
      </w:r>
      <w:r>
        <w:rPr>
          <w:rFonts w:ascii="Arial" w:cs="Arial" w:eastAsia="Arial" w:hAnsi="Arial"/>
          <w:sz w:val="17"/>
          <w:szCs w:val="17"/>
          <w:color w:val="auto"/>
        </w:rPr>
        <w:t>are consumable, non-consumable and spare items that are used to maintain, sustain or otherwise enable customers’ equipment to meet its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availability and production requirements. We also design and manufacture a wide range of device dedication kits that enable handlers to process different semiconductor packages. Spares and Kits are included in our recurring revenues.</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are provided by our worldwide service organization and include installations and necessary maintenance of systems sold. We provide various parts</w:t>
      </w:r>
      <w:r>
        <w:rPr>
          <w:rFonts w:ascii="Arial" w:cs="Arial" w:eastAsia="Arial" w:hAnsi="Arial"/>
          <w:sz w:val="18"/>
          <w:szCs w:val="18"/>
          <w:i w:val="1"/>
          <w:iCs w:val="1"/>
          <w:color w:val="auto"/>
        </w:rPr>
        <w:t xml:space="preserve"> </w:t>
      </w:r>
      <w:r>
        <w:rPr>
          <w:rFonts w:ascii="Arial" w:cs="Arial" w:eastAsia="Arial" w:hAnsi="Arial"/>
          <w:sz w:val="18"/>
          <w:szCs w:val="18"/>
          <w:color w:val="auto"/>
        </w:rPr>
        <w:t>and labor warranties on test and handling systems and instruments designed and manufactured by us. We also provide training on the maintenance and operation of our systems as well as application, data management software and consulting services on our products. Services are included in our recurring revenues.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55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47"/>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Sales by Product Line</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8"/>
        </w:trPr>
        <w:tc>
          <w:tcPr>
            <w:tcW w:w="6860" w:type="dxa"/>
            <w:vAlign w:val="bottom"/>
            <w:gridSpan w:val="4"/>
          </w:tcPr>
          <w:p>
            <w:pPr>
              <w:spacing w:after="0"/>
              <w:rPr>
                <w:sz w:val="20"/>
                <w:szCs w:val="20"/>
                <w:color w:val="auto"/>
              </w:rPr>
            </w:pPr>
            <w:r>
              <w:rPr>
                <w:rFonts w:ascii="Arial" w:cs="Arial" w:eastAsia="Arial" w:hAnsi="Arial"/>
                <w:sz w:val="18"/>
                <w:szCs w:val="18"/>
                <w:color w:val="auto"/>
              </w:rPr>
              <w:t>During the last three years, our consolidated net sales were distributed as follows: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9"/>
        </w:trPr>
        <w:tc>
          <w:tcPr>
            <w:tcW w:w="5760" w:type="dxa"/>
            <w:vAlign w:val="bottom"/>
            <w:gridSpan w:val="3"/>
          </w:tcPr>
          <w:p>
            <w:pPr>
              <w:spacing w:after="0"/>
              <w:rPr>
                <w:sz w:val="24"/>
                <w:szCs w:val="24"/>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 test &amp; inspection systems (including kits)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4"/>
        </w:trPr>
        <w:tc>
          <w:tcPr>
            <w:tcW w:w="160" w:type="dxa"/>
            <w:vAlign w:val="bottom"/>
          </w:tcPr>
          <w:p>
            <w:pPr>
              <w:spacing w:after="0"/>
              <w:rPr>
                <w:sz w:val="18"/>
                <w:szCs w:val="18"/>
                <w:color w:val="auto"/>
              </w:rPr>
            </w:pPr>
          </w:p>
        </w:tc>
        <w:tc>
          <w:tcPr>
            <w:tcW w:w="6700" w:type="dxa"/>
            <w:vAlign w:val="bottom"/>
            <w:gridSpan w:val="3"/>
          </w:tcPr>
          <w:p>
            <w:pPr>
              <w:spacing w:after="0" w:line="214" w:lineRule="exact"/>
              <w:rPr>
                <w:sz w:val="20"/>
                <w:szCs w:val="20"/>
                <w:color w:val="auto"/>
              </w:rPr>
            </w:pPr>
            <w:r>
              <w:rPr>
                <w:rFonts w:ascii="Arial" w:cs="Arial" w:eastAsia="Arial" w:hAnsi="Arial"/>
                <w:sz w:val="15"/>
                <w:szCs w:val="15"/>
                <w:color w:val="auto"/>
              </w:rPr>
              <w:t xml:space="preserve">Recurring revenues </w:t>
            </w:r>
            <w:r>
              <w:rPr>
                <w:rFonts w:ascii="Arial" w:cs="Arial" w:eastAsia="Arial" w:hAnsi="Arial"/>
                <w:sz w:val="24"/>
                <w:szCs w:val="24"/>
                <w:color w:val="auto"/>
                <w:vertAlign w:val="superscript"/>
              </w:rPr>
              <w:t>(1)</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4"/>
        </w:trPr>
        <w:tc>
          <w:tcPr>
            <w:tcW w:w="16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PCB test systems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(1)Recurring revenues include interface products, spares, kits (not as part of system sales), DI-Core and services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customers include semiconductor integrated device manufacturers, fabless design houses, and test subcontractors throughout the world. Repeat sales to existing customers represent a significant portion of our sales. During the last three years, customers of our Semiconductor Test &amp; Inspection segment that comprised 10% or greater of our consolidated net sales were as follows:</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2022</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2021</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r>
      <w:tr>
        <w:trPr>
          <w:trHeight w:val="20"/>
        </w:trPr>
        <w:tc>
          <w:tcPr>
            <w:tcW w:w="50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Analog Devices</w:t>
            </w:r>
          </w:p>
        </w:tc>
        <w:tc>
          <w:tcPr>
            <w:tcW w:w="17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5080" w:type="dxa"/>
            <w:vAlign w:val="bottom"/>
          </w:tcPr>
          <w:p>
            <w:pPr>
              <w:ind w:left="320"/>
              <w:spacing w:after="0"/>
              <w:rPr>
                <w:sz w:val="20"/>
                <w:szCs w:val="20"/>
                <w:color w:val="auto"/>
              </w:rPr>
            </w:pPr>
            <w:r>
              <w:rPr>
                <w:rFonts w:ascii="Arial" w:cs="Arial" w:eastAsia="Arial" w:hAnsi="Arial"/>
                <w:sz w:val="18"/>
                <w:szCs w:val="18"/>
                <w:color w:val="auto"/>
              </w:rPr>
              <w:t>* Less than 10% of consolidated net sales.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w:t>
      </w:r>
    </w:p>
    <w:p>
      <w:pPr>
        <w:spacing w:after="0" w:line="18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On June 24, 2021, we completed the divestment of our PCB Test business. No customer of our PCB Test segment exceeded 10% of consolidated net sales for the years ended December 25, 2021 or December 26, 2020.</w:t>
      </w:r>
    </w:p>
    <w:p>
      <w:pPr>
        <w:spacing w:after="0" w:line="17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Additional financial information on revenues from external customers by geographic area for each of the last three years is included in Note 10, “Segment and Geographic Information” in Part IV, Item 15(a) of this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market our products worldwide through a combination of a direct sales force and independent sales representatives. In geographic areas where we believe there is sufficient sales potential, we generally employ our own personnel. Our U.S. sales offices are located in Poway and Milpitas, California, St. Paul, Minnesota, Lincoln, Rhode Island, Norwood, Massachusetts and, subsequent to our recent acquisition of MCT on January 30, 2023, Minneapolis, Minnesota. Our European sales offices are located in Kolbermoor, Germany; Grenoble, France; Agrate, Italy and La Chaux-de-Fonds, Switzerland. We operate in Asia with sales and service offices in Singapore, Malaysia, Thailand, Philippines, Taiwan, China, South Korea and Japan.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semiconductor equipment industry is intensely competitive and is characterized by rapid technological change and demanding worldwide service requirements. Significant competitive factors include product performance, price, reliability, lead-time, customer support and installed base of products. While we believe that we are the leading worldwide supplier of semiconductor test handling equipment, we face substantial competition in Japan and Taiwan which represent a significant percentage of the worldwide market. Test subcontractors in Asia also show preference to purchase from local Asian competitors. In the semiconductor ATE market, we face competition from two dominant suppliers headquartered in the U.S. and Japan, both of which are substantially larger than Cohu’s test business. While we are among the leading worldwide suppliers of test contactors, this market is fragmented with a large number of global and local competitors. To remain competitive within the industries we serve, we believe we will require significant financial resources to offer a broad range of products, maintain localized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unfilled orders for products, was $279.8 million at December 31, 2022 and $292.9 million at December 25, 2021.</w:t>
      </w:r>
    </w:p>
    <w:p>
      <w:pPr>
        <w:spacing w:after="0" w:line="2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Backlog is generally expected to ship within the next twelve months. Our backlog at any point in time may not be representative of actual sales in any future period due to the possibility of customer changes in delivery schedules, cancellation of orders, potential delays in product shipments, and difficulties in obtaining parts from suppliers or failure to satisfy customer acceptance requirements resulting in the inability to recognize revenue under accounting requirements. Furthermore, many orders are subject to cancellation or rescheduling by the customer with limited or no penalty. A reduction in backlog during any period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5" w:lineRule="exact"/>
        <w:rPr>
          <w:sz w:val="20"/>
          <w:szCs w:val="20"/>
          <w:color w:val="auto"/>
        </w:rPr>
      </w:pPr>
    </w:p>
    <w:p>
      <w:pPr>
        <w:ind w:right="120"/>
        <w:spacing w:after="0" w:line="335" w:lineRule="auto"/>
        <w:rPr>
          <w:sz w:val="20"/>
          <w:szCs w:val="20"/>
          <w:color w:val="auto"/>
        </w:rPr>
      </w:pPr>
      <w:r>
        <w:rPr>
          <w:rFonts w:ascii="Arial" w:cs="Arial" w:eastAsia="Arial" w:hAnsi="Arial"/>
          <w:sz w:val="16"/>
          <w:szCs w:val="16"/>
          <w:color w:val="auto"/>
        </w:rPr>
        <w:t>Our principal manufacturing operations are currently located in Malacca, Malaysia and subsequent to our acquisition of MCT on January 30, 2023, Penang, Malaysia (handler operations and kits); Laguna, Philippines (kits and test contactors); Lincoln, Rhode Island (connectors); and Osaka, Japan (probe pins).</w:t>
      </w:r>
    </w:p>
    <w:p>
      <w:pPr>
        <w:spacing w:after="0" w:line="12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outsource the manufacturing of many of our semiconductor automated test equipment products to Jabil Circuit, Inc.’s facility in Penang, Malaysia. Our sole source contract manufacturing partner is responsible for significant material procurement, assembly and test. We continue to manage product design through pilot production for the subcontracted products, and we are directly involved in qualifying suppliers and key components used in all our products. Our contract manufacturer is responsible for funding the capital expenses incurred in connection with the manufacture of our products, except with regard to end-of-line testing equipment and other specific manufacturing equipment utilized in assembling our products or sub-components which are financed and owned by Cohu.</w:t>
      </w:r>
    </w:p>
    <w:p>
      <w:pPr>
        <w:spacing w:after="0" w:line="1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Many of the components and subassemblies we utilize are standard products, although some items are made to our specifications. Certain components are obtained or are available from a limited number of suppliers or may be sole supplier sourced.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technology is protected by various intellectual property laws including patent, license, trademark, copyright and trade secret laws. In addition, we believe that, due to the rapid pace of technological change in the semiconductor and electronic equipment industries,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Research and development activities are carried on in our various subsidiaries and are directed toward development of new products and equipment, as well as enhancements to existing products and equipment. Our total research and development expense was $92.6 million in 2022, $92.0 million in 2021 and $86.2 million in 2020.</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make significant investments in research and development and must manage product transitions successfully as introductions of new products could adversely impact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Historically, the semiconductor industry has been seasonal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will be subject to similar cycles. See the risk factor entitled “The semiconductor industry we serve is seasonal, volatile and unpredictable, and increased cyclicality could have an adverse impact on our sales and gross margin.”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8, 2023. Executive Officers serve at the discretion of the Board of Directors, until their successors are appointed.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340" w:type="dxa"/>
            <w:vAlign w:val="bottom"/>
          </w:tcPr>
          <w:p>
            <w:pPr>
              <w:spacing w:after="0"/>
              <w:rPr>
                <w:sz w:val="20"/>
                <w:szCs w:val="20"/>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08"/>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Luis A. Müller</w:t>
            </w:r>
          </w:p>
        </w:tc>
        <w:tc>
          <w:tcPr>
            <w:tcW w:w="880" w:type="dxa"/>
            <w:vAlign w:val="bottom"/>
            <w:gridSpan w:val="2"/>
            <w:shd w:val="clear" w:color="auto" w:fill="CCEEFF"/>
          </w:tcPr>
          <w:p>
            <w:pPr>
              <w:jc w:val="center"/>
              <w:ind w:left="251"/>
              <w:spacing w:after="0"/>
              <w:rPr>
                <w:sz w:val="20"/>
                <w:szCs w:val="20"/>
                <w:color w:val="auto"/>
              </w:rPr>
            </w:pPr>
            <w:r>
              <w:rPr>
                <w:rFonts w:ascii="Arial" w:cs="Arial" w:eastAsia="Arial" w:hAnsi="Arial"/>
                <w:sz w:val="18"/>
                <w:szCs w:val="18"/>
                <w:color w:val="auto"/>
                <w:w w:val="89"/>
              </w:rPr>
              <w:t>53</w:t>
            </w:r>
          </w:p>
        </w:tc>
        <w:tc>
          <w:tcPr>
            <w:tcW w:w="34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4"/>
        </w:trPr>
        <w:tc>
          <w:tcPr>
            <w:tcW w:w="2620" w:type="dxa"/>
            <w:vAlign w:val="bottom"/>
          </w:tcPr>
          <w:p>
            <w:pPr>
              <w:ind w:left="140"/>
              <w:spacing w:after="0"/>
              <w:rPr>
                <w:sz w:val="20"/>
                <w:szCs w:val="20"/>
                <w:color w:val="auto"/>
              </w:rPr>
            </w:pPr>
            <w:r>
              <w:rPr>
                <w:rFonts w:ascii="Arial" w:cs="Arial" w:eastAsia="Arial" w:hAnsi="Arial"/>
                <w:sz w:val="18"/>
                <w:szCs w:val="18"/>
                <w:color w:val="auto"/>
              </w:rPr>
              <w:t>Jeffrey D. Jones</w:t>
            </w:r>
          </w:p>
        </w:tc>
        <w:tc>
          <w:tcPr>
            <w:tcW w:w="880" w:type="dxa"/>
            <w:vAlign w:val="bottom"/>
            <w:gridSpan w:val="2"/>
          </w:tcPr>
          <w:p>
            <w:pPr>
              <w:jc w:val="center"/>
              <w:ind w:left="251"/>
              <w:spacing w:after="0"/>
              <w:rPr>
                <w:sz w:val="20"/>
                <w:szCs w:val="20"/>
                <w:color w:val="auto"/>
              </w:rPr>
            </w:pPr>
            <w:r>
              <w:rPr>
                <w:rFonts w:ascii="Arial" w:cs="Arial" w:eastAsia="Arial" w:hAnsi="Arial"/>
                <w:sz w:val="18"/>
                <w:szCs w:val="18"/>
                <w:color w:val="auto"/>
                <w:w w:val="89"/>
              </w:rPr>
              <w:t>61</w:t>
            </w:r>
          </w:p>
        </w:tc>
        <w:tc>
          <w:tcPr>
            <w:tcW w:w="3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14"/>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Christopher G. Bohrson</w:t>
            </w:r>
          </w:p>
        </w:tc>
        <w:tc>
          <w:tcPr>
            <w:tcW w:w="880" w:type="dxa"/>
            <w:vAlign w:val="bottom"/>
            <w:gridSpan w:val="2"/>
            <w:shd w:val="clear" w:color="auto" w:fill="CCEEFF"/>
          </w:tcPr>
          <w:p>
            <w:pPr>
              <w:jc w:val="center"/>
              <w:ind w:left="251"/>
              <w:spacing w:after="0"/>
              <w:rPr>
                <w:sz w:val="20"/>
                <w:szCs w:val="20"/>
                <w:color w:val="auto"/>
              </w:rPr>
            </w:pPr>
            <w:r>
              <w:rPr>
                <w:rFonts w:ascii="Arial" w:cs="Arial" w:eastAsia="Arial" w:hAnsi="Arial"/>
                <w:sz w:val="18"/>
                <w:szCs w:val="18"/>
                <w:color w:val="auto"/>
                <w:w w:val="89"/>
              </w:rPr>
              <w:t>63</w:t>
            </w:r>
          </w:p>
        </w:tc>
        <w:tc>
          <w:tcPr>
            <w:tcW w:w="34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Chief Customer Officer</w:t>
            </w:r>
          </w:p>
        </w:tc>
      </w:tr>
      <w:tr>
        <w:trPr>
          <w:trHeight w:val="214"/>
        </w:trPr>
        <w:tc>
          <w:tcPr>
            <w:tcW w:w="2620" w:type="dxa"/>
            <w:vAlign w:val="bottom"/>
          </w:tcPr>
          <w:p>
            <w:pPr>
              <w:ind w:left="140"/>
              <w:spacing w:after="0"/>
              <w:rPr>
                <w:sz w:val="20"/>
                <w:szCs w:val="20"/>
                <w:color w:val="auto"/>
              </w:rPr>
            </w:pPr>
            <w:r>
              <w:rPr>
                <w:rFonts w:ascii="Arial" w:cs="Arial" w:eastAsia="Arial" w:hAnsi="Arial"/>
                <w:sz w:val="18"/>
                <w:szCs w:val="18"/>
                <w:color w:val="auto"/>
              </w:rPr>
              <w:t>Thomas D. Kampfer</w:t>
            </w:r>
          </w:p>
        </w:tc>
        <w:tc>
          <w:tcPr>
            <w:tcW w:w="880" w:type="dxa"/>
            <w:vAlign w:val="bottom"/>
            <w:gridSpan w:val="2"/>
          </w:tcPr>
          <w:p>
            <w:pPr>
              <w:jc w:val="center"/>
              <w:ind w:left="251"/>
              <w:spacing w:after="0"/>
              <w:rPr>
                <w:sz w:val="20"/>
                <w:szCs w:val="20"/>
                <w:color w:val="auto"/>
              </w:rPr>
            </w:pPr>
            <w:r>
              <w:rPr>
                <w:rFonts w:ascii="Arial" w:cs="Arial" w:eastAsia="Arial" w:hAnsi="Arial"/>
                <w:sz w:val="18"/>
                <w:szCs w:val="18"/>
                <w:color w:val="auto"/>
                <w:w w:val="89"/>
              </w:rPr>
              <w:t>59</w:t>
            </w:r>
          </w:p>
        </w:tc>
        <w:tc>
          <w:tcPr>
            <w:tcW w:w="3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Vice President, Corporate Development, General Counsel and Secretary</w:t>
            </w:r>
          </w:p>
        </w:tc>
      </w:tr>
      <w:tr>
        <w:trPr>
          <w:trHeight w:val="214"/>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Ian P. Lawee</w:t>
            </w:r>
          </w:p>
        </w:tc>
        <w:tc>
          <w:tcPr>
            <w:tcW w:w="880" w:type="dxa"/>
            <w:vAlign w:val="bottom"/>
            <w:gridSpan w:val="2"/>
            <w:shd w:val="clear" w:color="auto" w:fill="CCEEFF"/>
          </w:tcPr>
          <w:p>
            <w:pPr>
              <w:jc w:val="center"/>
              <w:ind w:left="251"/>
              <w:spacing w:after="0"/>
              <w:rPr>
                <w:sz w:val="20"/>
                <w:szCs w:val="20"/>
                <w:color w:val="auto"/>
              </w:rPr>
            </w:pPr>
            <w:r>
              <w:rPr>
                <w:rFonts w:ascii="Arial" w:cs="Arial" w:eastAsia="Arial" w:hAnsi="Arial"/>
                <w:sz w:val="18"/>
                <w:szCs w:val="18"/>
                <w:color w:val="auto"/>
                <w:w w:val="89"/>
              </w:rPr>
              <w:t>56</w:t>
            </w:r>
          </w:p>
        </w:tc>
        <w:tc>
          <w:tcPr>
            <w:tcW w:w="34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General Manager, Semiconductor Test Group</w:t>
            </w:r>
          </w:p>
        </w:tc>
      </w:tr>
    </w:tbl>
    <w:p>
      <w:pPr>
        <w:spacing w:after="0" w:line="200"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Dr. Müller has been the President and Chief Executive Officer of Cohu since December 28, 2014. His previous roles at Cohu include serving as President of Cohu’s Semiconductor Equipment Group (“SEG”) from 2011 to 2014; Managing Director of Rasco GmbH (“Rasco”) from 2009 to 2010; Vice President of Delta Design’s High Speed Handling Group from 2008 to 2010; and Director of Engineering at Delta Design from 2005 to 2008. Prior to joining Cohu, Dr.</w:t>
      </w:r>
    </w:p>
    <w:p>
      <w:pPr>
        <w:spacing w:after="0" w:line="2"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Müller spent nine years at Teradyne Inc., where he held management positions in engineering and business development. Dr. Müller also serves as a director for Celestica Inc., a solutions-based company providing design, manufacturing and hardware platform and supply chain solutions.</w:t>
      </w:r>
    </w:p>
    <w:p>
      <w:pPr>
        <w:spacing w:after="0" w:line="16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Mr. Jones joined Cohu’s Delta Design subsidiary in July 2005 as Vice President Finance and Controller. In November 2007, Mr. Jones was named Vice President, Finance and Chief Financial Officer of Cohu, and was subsequently promoted on February 3, 2022 to Senior Vice President, Finance and Chief Financial Officer. Prior to joining Delta Design, Mr. Jones, was Vice President and General Manager of the Systems Group at SBS Technologies, Inc., a designer and manufacturer of embedded computer products. Prior to SBS Technologies, Mr. Jones was an Audit Manager for Coopers &amp; Lybrand (now PricewaterhouseCoopers).</w:t>
      </w:r>
    </w:p>
    <w:p>
      <w:pPr>
        <w:spacing w:after="0" w:line="19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Mr. Bohrson was promoted to Senior Vice President and Chief Customer Officer on February 2, 2023, and prior to that he served as Senior Vice President, Global Customer Group since February 8, 2021. Previously, Mr. Bohrson served as Sr. Vice President and General Manager, Test Handler Group beginning in October 2018 and was Vice President and General Manager for Digital Test Handlers from January 2017 until October 2018 and served as Vice President Sales and Service, Americas from May 2016 to January 2017. Prior to joining Cohu, from 2007 through 2016, Mr. Bohrson held several executive positions at Bosch Automotive Service Solutions/SPX lastly as Vice President and General Manager of the OEM Diagnostics and Information Solutions group. Prior to that, Mr. Bohrson spent twenty years working in a variety of management and technical roles at Teradyne, Inc.’s semiconductor and broadband test division in the U.S. and Asia.</w:t>
      </w:r>
    </w:p>
    <w:p>
      <w:pPr>
        <w:spacing w:after="0" w:line="17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Mr. Kampfer joined Cohu in May 2017 as Vice President Corporate Development, General Counsel and Secretary. Prior to Cohu, Mr. Kampfer served from June 2015 to May 2017 as Executive Vice President and Chief Financial Officer of Multi-Fineline Electronix, Inc. Prior to that, Mr. Kampfer served from 2012 to 2015 as President of CohuHD, formerly a division of Cohu, which was divested in 2014. Previously, Mr. Kampfer spent eight years with Iomega Corporation, holding several executive positions, including President and Chief Operating Officer and Vice President, General Counsel and Secretary. Earlier, Mr. Kampfer served in various legal and business development executive roles with Proxima Corporation, and also held various positions in manufacturing engineering and legal at IBM.</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Lawee joined Cohu in May 2019 as Vice President and General Manager of Cohu’s Semiconductor Test Group and was subsequently promoted to Senior Vice President and General Manager on February 9, 2021. Mr. Lawee has more than twenty-five years of experience in multiple management positions at both semiconductor and test instrumentation companies. Between 2009 and 2019, he served in multiple General Manager and Senior Director roles at Analog Devices, with responsibilities spanning Interface, Isolation and Precision Converter semiconductor franchises, as well as Business Unit responsibility for semiconductors sold into the Energy market. Prior to that, Mr. Lawee spent fifteen years working in a variety of product, marketing and engineering management roles at Teradyne’s semiconductor test division.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business activities are worldwide and are subject to various federal, state, local, and foreign laws and our products and services are governed by a number of rules and regulations. Costs incurred to comply with these governmental regulations are presently not material to our capital expenditures, results of operations and competitive position. Although there is no assurance that existing or future government laws applicable to our operations, services or products will not have a material adverse effect on our capital expenditures, results of operations or our competitive position, we do not currently anticipate material expenditures for government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25"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Our products and operations are, or may in the future be, subject to various federal, state, local, and foreign laws and regulations concerning the environment. Compliance with federal, state, local and international laws that have been enacted or adopted regulating the discharge of materials into the environment or otherwise relating to the protection of the environment and the prevention of climate change have not had a material effect and are not expected to have a material effect upon our capital expenditures, results of operations or our competitive position. However, future changes in regulations may require expenditures that could adversely impact earnings in future years. We believe we are in compliance and are committed to maintaining compliance with all environmental laws applicable to our operations, products and services, and to reducing our environmental impact across all aspects of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Trade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global company, the import and export of our products and services are subject to laws and regulations including international treaties, U.S. export controls and sanctions laws, customs regulations, and local trade rules around the world. We believe we are in compliance and are committed to maintaining compliance with all global trade laws applicable to our operations, products and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Cohu is a global technology leader supplying test, automation, inspection and metrology products and services to the semiconductor industry. We believe that the daily commitment and dedication of our workforce in meeting our customers’ needs is one of the significant contributors to our success as an organization. To ensure we maintain our position as a global leader in the semiconductor test and inspection space, we are committed to providing a safe and positive work environment for our employees that emphasizes learning and professional development, respect for individuals and ethical conduct, and that is facilitated by a direct management-employee engagement model.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Inclusion, and Non-discrimination</w:t>
      </w:r>
    </w:p>
    <w:p>
      <w:pPr>
        <w:spacing w:after="0" w:line="2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welcome and value diversity ensuring that our work benefits from a broad range of viewpoints and perspectives. We strive to maintain workplaces that are free from discrimination or harassment based on race, color, religion, gender, gender identity or gender expression, national origin or ancestry, age, disability, veteran status, military service, sexual orientation, genetic information, and any other protected category recognized under applicable laws. We believe that a diverse workforce is critical to our success, and we continue to focus on the hiring, retention and advancement of women and underrepresented populations. We are committed to respecting and protecting the human rights of all our employees.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Including headcount additions arising from our acquisition of MCT, as of January 30, 2023, we had approximately 3,218 employees, including approximately 104 temporary employees, in 24 countries. Approximately 19% of our employees are located in the Americas, 13% are located in EMEA (Europe, the Middle East and Africa) and 68% are located in Asia Pacific. Our employee headcount has fluctuated in the last five years primarily due to the volatile and unpredictable business conditions in the semiconductor equipment industry and has also been impacted by acquisitions and divestitures.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Engagement Practices</w:t>
      </w:r>
    </w:p>
    <w:p>
      <w:pPr>
        <w:spacing w:after="0" w:line="221" w:lineRule="exact"/>
        <w:rPr>
          <w:sz w:val="20"/>
          <w:szCs w:val="20"/>
          <w:color w:val="auto"/>
        </w:rPr>
      </w:pPr>
    </w:p>
    <w:p>
      <w:pPr>
        <w:ind w:right="700"/>
        <w:spacing w:after="0" w:line="307" w:lineRule="auto"/>
        <w:rPr>
          <w:sz w:val="20"/>
          <w:szCs w:val="20"/>
          <w:color w:val="auto"/>
        </w:rPr>
      </w:pPr>
      <w:r>
        <w:rPr>
          <w:rFonts w:ascii="Arial" w:cs="Arial" w:eastAsia="Arial" w:hAnsi="Arial"/>
          <w:sz w:val="16"/>
          <w:szCs w:val="16"/>
          <w:color w:val="auto"/>
        </w:rPr>
        <w:t>We adhere to our core values and Code of Business Conduct and Ethics with a commitment to treating our employees and all our partners with professionalism, dignity and respect. We pride ourselves at fostering an innovative environment and collaborative work relationships. This includes respecting principles of freedom of association and the right to engage in collective bargaining in accordance with applicable laws.</w:t>
      </w:r>
    </w:p>
    <w:p>
      <w:pPr>
        <w:spacing w:after="0" w:line="1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employees in the U.S. and most locations in Asia are not covered by collective bargaining agreements. However, certain employees at our operation in Germany are represented by a works council and employees in La Chaux-de-Fonds, Switzerland are members of the microtechnology and Swiss watch trade union. The Collective Bargaining Agreement of “Metallurgie (ingenieurs et cadres)” is applicable to all employees of our French subsidiary and certain employees in our China operation belong to local trade unions. We have not experienced any work stoppages and consider relations with our employees to be good.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health and safety of our employees is of utmost important to us. Cohu works to protect the health and safety of employees and our customers and intends to conduct all business activities in an environmentally and socially responsible manner. We encourage and strive to have every employee actively champion those behaviors and the attitudes necessary to prevent work-related injuries, illnesses, property damage, and adverse impact to the environment. Our ultimate goal is to achieve a level of work-related injuries as close to zero as possible through continuous investment in our safety programs. We provide protective equipment (e.g., eye protection, masks and gloves) as required by applicable standards and as appropriate given employee job duties.</w:t>
      </w:r>
    </w:p>
    <w:p>
      <w:pPr>
        <w:spacing w:after="0" w:line="16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response to the COVID-19 pandemic, we implemented safety protocols and new procedures to protect our employees, our subcontractors and our customers. These protocols include complying with physical distancing, enhanced hygiene and other health and safety standards as required by federal, state and local government agencies, and taking into consideration guidelines of the Centers for Disease Control and Prevention and other public health authorities. In addition, we modified the way we conduct many aspects of our business to reduce the number of in-person interactions. For example, we significantly expanded the use of virtual interactions in all aspects of our business, including customer facing activities. Many of our administrative and operational functions during this time have required modification as well, including segments of our workforce working remotely. As COVID-19 has evolved to a more endemic state, we have continued monitoring and complying with governmental guidelines for safe operations and have returned, but not fully, to the levels of travel and in person interactions that occurred prior to the pandemic. In addition, while our manufacturing sites have continued at pre-pandemic occupancy and function, a portion of our employees that moved to remote work are continuing in fully remote or hybrid work status.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Cohu is committed to providing market competitive compensation programs to attract, retain and motivate a high performing workforce critical to our long-term success. As part of our compensation philosophy, we focus Cohu’s workforce on our financial and other business goals to drive and motivate employee performance in key areas through the administration of our management incentive plan, equity incentive plan, global profit-sharing and other local bonus plans, as may be applicable to a given position. Cohu also complies with applicable wage, work hours, overtime and benefits laws.</w:t>
      </w:r>
    </w:p>
    <w:p>
      <w:pPr>
        <w:spacing w:after="0" w:line="15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To foster a stronger sense of ownership and align the interests of our employees with shareholders, grants of restricted stock units are provided to many of our employees on an annual basis and all eligible employees are able to purchase shares of our common stock, at a 15% discount, through our Employee Stock Purchase Plan. Furthermore, we offer comprehensive, locally relevant and innovative benefits to all eligible employees. In the U.S, these include, among other benefits:</w:t>
      </w:r>
    </w:p>
    <w:p>
      <w:pPr>
        <w:spacing w:after="0" w:line="190" w:lineRule="exact"/>
        <w:rPr>
          <w:sz w:val="20"/>
          <w:szCs w:val="20"/>
          <w:color w:val="auto"/>
        </w:rPr>
      </w:pPr>
    </w:p>
    <w:p>
      <w:pPr>
        <w:ind w:left="480" w:hanging="31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health and wellness insurance coverage is offered to employees working an average of 24 hours or more each week.</w:t>
      </w:r>
    </w:p>
    <w:p>
      <w:pPr>
        <w:spacing w:after="0" w:line="220" w:lineRule="exact"/>
        <w:rPr>
          <w:rFonts w:ascii="Arial" w:cs="Arial" w:eastAsia="Arial" w:hAnsi="Arial"/>
          <w:sz w:val="18"/>
          <w:szCs w:val="18"/>
          <w:color w:val="auto"/>
        </w:rPr>
      </w:pPr>
    </w:p>
    <w:p>
      <w:pPr>
        <w:ind w:left="480" w:hanging="31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401(k) retirement plan with matching company contributions of up to 4% of eligible compensation.</w:t>
      </w:r>
    </w:p>
    <w:p>
      <w:pPr>
        <w:spacing w:after="0" w:line="220" w:lineRule="exact"/>
        <w:rPr>
          <w:rFonts w:ascii="Arial" w:cs="Arial" w:eastAsia="Arial" w:hAnsi="Arial"/>
          <w:sz w:val="18"/>
          <w:szCs w:val="18"/>
          <w:color w:val="auto"/>
        </w:rPr>
      </w:pPr>
    </w:p>
    <w:p>
      <w:pPr>
        <w:ind w:left="480" w:hanging="31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Tuition reimbursement program.</w:t>
      </w:r>
    </w:p>
    <w:p>
      <w:pPr>
        <w:spacing w:after="0" w:line="220" w:lineRule="exact"/>
        <w:rPr>
          <w:rFonts w:ascii="Arial" w:cs="Arial" w:eastAsia="Arial" w:hAnsi="Arial"/>
          <w:sz w:val="18"/>
          <w:szCs w:val="18"/>
          <w:color w:val="auto"/>
        </w:rPr>
      </w:pPr>
    </w:p>
    <w:p>
      <w:pPr>
        <w:ind w:left="480" w:hanging="31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Parental leave is provided to all new parents for birth, adoption or foster placement.</w:t>
      </w:r>
    </w:p>
    <w:p>
      <w:pPr>
        <w:spacing w:after="0" w:line="220" w:lineRule="exact"/>
        <w:rPr>
          <w:rFonts w:ascii="Arial" w:cs="Arial" w:eastAsia="Arial" w:hAnsi="Arial"/>
          <w:sz w:val="18"/>
          <w:szCs w:val="18"/>
          <w:color w:val="auto"/>
        </w:rPr>
      </w:pPr>
    </w:p>
    <w:p>
      <w:pPr>
        <w:ind w:left="480" w:hanging="31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Paid Time Off Programs covering time away from work due to employee and family illness, holidays, vacation, civic duties, and others.</w:t>
      </w:r>
    </w:p>
    <w:p>
      <w:pPr>
        <w:spacing w:after="0" w:line="221" w:lineRule="exact"/>
        <w:rPr>
          <w:sz w:val="20"/>
          <w:szCs w:val="20"/>
          <w:color w:val="auto"/>
        </w:rPr>
      </w:pPr>
    </w:p>
    <w:p>
      <w:pPr>
        <w:ind w:right="880"/>
        <w:spacing w:after="0" w:line="301" w:lineRule="auto"/>
        <w:rPr>
          <w:sz w:val="20"/>
          <w:szCs w:val="20"/>
          <w:color w:val="auto"/>
        </w:rPr>
      </w:pPr>
      <w:r>
        <w:rPr>
          <w:rFonts w:ascii="Arial" w:cs="Arial" w:eastAsia="Arial" w:hAnsi="Arial"/>
          <w:sz w:val="17"/>
          <w:szCs w:val="17"/>
          <w:color w:val="auto"/>
        </w:rPr>
        <w:t>Outside of the U.S., we have provided other innovative benefits to help address market-specific needs, such as supplemental medical coverage or reimbursements, paid time off programs, wellness and development events and programs, transportation subsidies, etc.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Succession Planning</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perform succession planning annually to ensure that we develop and sustain a strong bench of talent capable of performing at the highest levels. Not only is talent identified, but potential paths of development are discussed to ensure that employees have an opportunity to build their skills and are well-prepared for future roles. The strength of our succession planning process is evident through our long history of promoting our leaders from within the organization, including 63% of our current executive leadership team.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Our web 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(the “SEC”). Our Code of Business Conduct and Ethics and other documents related to our corporate governance are also posted on our web site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 When required by the rules of the Nasdaq Stock Market, LLC (“Nasdaq”), or the SEC, we will disclose any future amendment to, or waiver of, any provision of the code of conduct for our chief executive officer and principal financial officer or any member or members of our board of directors on our website within four business days following the date of such amendment or waiver. Information contained on our web site is not deemed part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In addition to the other information in this Annual Report on Form 10-K, you should carefully consider the risk factors discussed in this Annual Report on Form 10-K in evaluating Cohu and our business (the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If any of the identified risks actually occur, our business, financial condition and results of operations could be materially adversely affected, the trading price of our common stock could decline, and you may lose all or part of your investment in our common stock. The risks and uncertainties described in this Annual Report on Form 10-K are not the only ones we face. Additional risks that we currently do not know about, or that we currently deem to be immaterial, may also impair our business operations or the trading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Summary</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Investing in our securities involves a high degree of risk. The following is a summary of the principal factors that make an investment in our securities speculative or risky, all of which are more fully described below. This summary should be read in conjunction with the full “Risk Factors” described below and should not be relied upon as a complete summary of the material risks facing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the COVID-19 Pandemic</w:t>
      </w:r>
    </w:p>
    <w:p>
      <w:pPr>
        <w:spacing w:after="0" w:line="221" w:lineRule="exact"/>
        <w:rPr>
          <w:sz w:val="20"/>
          <w:szCs w:val="20"/>
          <w:color w:val="auto"/>
        </w:rPr>
      </w:pPr>
    </w:p>
    <w:p>
      <w:pPr>
        <w:ind w:left="640" w:right="600" w:hanging="312"/>
        <w:spacing w:after="0" w:line="27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While the ongoing global COVID-19 pandemic has stabilized within many global regions, it may cyclically continue to adversely affect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Business Operations and Industry</w:t>
      </w:r>
    </w:p>
    <w:p>
      <w:pPr>
        <w:spacing w:after="0" w:line="221" w:lineRule="exact"/>
        <w:rPr>
          <w:sz w:val="20"/>
          <w:szCs w:val="20"/>
          <w:color w:val="auto"/>
        </w:rPr>
      </w:pPr>
    </w:p>
    <w:p>
      <w:pPr>
        <w:ind w:left="640" w:right="220" w:hanging="312"/>
        <w:spacing w:after="0" w:line="271"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making investments in new products and product enhancements, which may adversely affect our operating results; these investments may not be commercially successful.</w:t>
      </w:r>
    </w:p>
    <w:p>
      <w:pPr>
        <w:spacing w:after="0" w:line="174" w:lineRule="exact"/>
        <w:rPr>
          <w:rFonts w:ascii="Arial" w:cs="Arial" w:eastAsia="Arial" w:hAnsi="Arial"/>
          <w:sz w:val="18"/>
          <w:szCs w:val="18"/>
          <w:color w:val="auto"/>
        </w:rPr>
      </w:pPr>
    </w:p>
    <w:p>
      <w:pPr>
        <w:ind w:left="640" w:right="80" w:hanging="312"/>
        <w:spacing w:after="0" w:line="335"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manufacturing operations in Asia. Any failure to effectively manage multiple manufacturing sites and to secure raw materials meeting our quality, cost and other requirements, or failures by our suppliers to perform, could harm our sales, service levels and reputation.</w:t>
      </w:r>
    </w:p>
    <w:p>
      <w:pPr>
        <w:spacing w:after="0" w:line="128" w:lineRule="exact"/>
        <w:rPr>
          <w:rFonts w:ascii="Arial" w:cs="Arial" w:eastAsia="Arial" w:hAnsi="Arial"/>
          <w:sz w:val="16"/>
          <w:szCs w:val="16"/>
          <w:color w:val="auto"/>
        </w:rPr>
      </w:pPr>
    </w:p>
    <w:p>
      <w:pPr>
        <w:ind w:left="640" w:right="520" w:hanging="312"/>
        <w:spacing w:after="0" w:line="271"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failure to perform or unexpected downtime experienced by our sole source contract manufacturer for certain semiconductor automated test equipment could adversely impact our operations.</w:t>
      </w:r>
    </w:p>
    <w:p>
      <w:pPr>
        <w:spacing w:after="0" w:line="174" w:lineRule="exact"/>
        <w:rPr>
          <w:rFonts w:ascii="Arial" w:cs="Arial" w:eastAsia="Arial" w:hAnsi="Arial"/>
          <w:sz w:val="18"/>
          <w:szCs w:val="18"/>
          <w:color w:val="auto"/>
        </w:rPr>
      </w:pPr>
    </w:p>
    <w:p>
      <w:pPr>
        <w:ind w:left="640" w:right="300" w:hanging="312"/>
        <w:spacing w:after="0" w:line="335"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Ongoing inflationary pressures on costs, including those for raw and packaging materials, components and subassemblies, labor and distribution costs, along with rising interest rates, increase the threat of recession and may impact our financial condition or results of operations.</w:t>
      </w:r>
    </w:p>
    <w:p>
      <w:pPr>
        <w:spacing w:after="0" w:line="128" w:lineRule="exact"/>
        <w:rPr>
          <w:rFonts w:ascii="Arial" w:cs="Arial" w:eastAsia="Arial" w:hAnsi="Arial"/>
          <w:sz w:val="16"/>
          <w:szCs w:val="16"/>
          <w:color w:val="auto"/>
        </w:rPr>
      </w:pPr>
    </w:p>
    <w:p>
      <w:pPr>
        <w:ind w:left="640" w:right="260" w:hanging="312"/>
        <w:spacing w:after="0" w:line="271"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semiconductor industry we serve is seasonal, volatile and unpredictable, and increased cyclicality could have an adverse impact on our sales and gross margin.</w:t>
      </w:r>
    </w:p>
    <w:p>
      <w:pPr>
        <w:spacing w:after="0" w:line="174" w:lineRule="exact"/>
        <w:rPr>
          <w:rFonts w:ascii="Arial" w:cs="Arial" w:eastAsia="Arial" w:hAnsi="Arial"/>
          <w:sz w:val="18"/>
          <w:szCs w:val="18"/>
          <w:color w:val="auto"/>
        </w:rPr>
      </w:pPr>
    </w:p>
    <w:p>
      <w:pPr>
        <w:ind w:left="640" w:hanging="31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semiconductor equipment industry is intensely competitive.</w:t>
      </w:r>
    </w:p>
    <w:p>
      <w:pPr>
        <w:spacing w:after="0" w:line="247" w:lineRule="exact"/>
        <w:rPr>
          <w:rFonts w:ascii="Arial" w:cs="Arial" w:eastAsia="Arial" w:hAnsi="Arial"/>
          <w:sz w:val="18"/>
          <w:szCs w:val="18"/>
          <w:color w:val="auto"/>
        </w:rPr>
      </w:pPr>
    </w:p>
    <w:p>
      <w:pPr>
        <w:ind w:left="640" w:right="180" w:hanging="312"/>
        <w:spacing w:after="0" w:line="271"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74" w:lineRule="exact"/>
        <w:rPr>
          <w:rFonts w:ascii="Arial" w:cs="Arial" w:eastAsia="Arial" w:hAnsi="Arial"/>
          <w:sz w:val="18"/>
          <w:szCs w:val="18"/>
          <w:color w:val="auto"/>
        </w:rPr>
      </w:pPr>
    </w:p>
    <w:p>
      <w:pPr>
        <w:ind w:left="640" w:hanging="31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limited number of customers account for a substantial percentage of our net sales.</w:t>
      </w:r>
    </w:p>
    <w:p>
      <w:pPr>
        <w:spacing w:after="0" w:line="247" w:lineRule="exact"/>
        <w:rPr>
          <w:rFonts w:ascii="Arial" w:cs="Arial" w:eastAsia="Arial" w:hAnsi="Arial"/>
          <w:sz w:val="18"/>
          <w:szCs w:val="18"/>
          <w:color w:val="auto"/>
        </w:rPr>
      </w:pPr>
    </w:p>
    <w:p>
      <w:pPr>
        <w:ind w:left="640" w:right="180" w:hanging="312"/>
        <w:spacing w:after="0" w:line="301"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majority of our revenues are generated from exports to foreign countries, primarily in Asia, that are subject to economic and political instability and we compete against a number of Asia-based test contactor, test handler and automated test equipment suppliers.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Associated with Operating a Global Business</w:t>
      </w:r>
    </w:p>
    <w:p>
      <w:pPr>
        <w:spacing w:after="0" w:line="221" w:lineRule="exact"/>
        <w:rPr>
          <w:sz w:val="20"/>
          <w:szCs w:val="20"/>
          <w:color w:val="auto"/>
        </w:rPr>
      </w:pPr>
    </w:p>
    <w:p>
      <w:pPr>
        <w:ind w:left="640" w:right="160" w:hanging="312"/>
        <w:spacing w:after="0" w:line="27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Geopolitical instability in locations critical to Cohu and its customers’ business, manufacturing, and engineering operations may adversely impact our operations and sales.</w:t>
      </w:r>
    </w:p>
    <w:p>
      <w:pPr>
        <w:spacing w:after="0" w:line="174" w:lineRule="exact"/>
        <w:rPr>
          <w:rFonts w:ascii="Arial" w:cs="Arial" w:eastAsia="Arial" w:hAnsi="Arial"/>
          <w:sz w:val="18"/>
          <w:szCs w:val="18"/>
          <w:color w:val="auto"/>
        </w:rPr>
      </w:pPr>
    </w:p>
    <w:p>
      <w:pPr>
        <w:ind w:left="640" w:right="440" w:hanging="312"/>
        <w:spacing w:after="0" w:line="27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Increasingly restrictive trade and export regulations may materially harm and limit Cohu’s business and restrict our ability to sell its products, specifically within China.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Acquisitions and Other Strategic Transactions</w:t>
      </w:r>
    </w:p>
    <w:p>
      <w:pPr>
        <w:spacing w:after="0" w:line="221" w:lineRule="exact"/>
        <w:rPr>
          <w:sz w:val="20"/>
          <w:szCs w:val="20"/>
          <w:color w:val="auto"/>
        </w:rPr>
      </w:pPr>
    </w:p>
    <w:p>
      <w:pPr>
        <w:ind w:left="640" w:right="640" w:hanging="312"/>
        <w:spacing w:after="0" w:line="271"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exposed to other risks associated with additional potential acquisitions, investments and divestitures such as integration difficulties, disruption to our core business, dilution of stockholder value, and diversion of management attention.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Owning Our Stock</w:t>
      </w:r>
    </w:p>
    <w:p>
      <w:pPr>
        <w:spacing w:after="0" w:line="221" w:lineRule="exact"/>
        <w:rPr>
          <w:sz w:val="20"/>
          <w:szCs w:val="20"/>
          <w:color w:val="auto"/>
        </w:rPr>
      </w:pPr>
    </w:p>
    <w:p>
      <w:pPr>
        <w:ind w:left="640" w:right="120" w:hanging="312"/>
        <w:spacing w:after="0" w:line="271"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and operating results may vary and fall below analysts’ estimates, or credit rating agencies may change their ratings on Cohu, any of which may cause the price of our common stock to decline or make it difficult to obtain other financing.</w:t>
      </w:r>
    </w:p>
    <w:p>
      <w:pPr>
        <w:spacing w:after="0" w:line="174" w:lineRule="exact"/>
        <w:rPr>
          <w:rFonts w:ascii="Arial" w:cs="Arial" w:eastAsia="Arial" w:hAnsi="Arial"/>
          <w:sz w:val="18"/>
          <w:szCs w:val="18"/>
          <w:color w:val="auto"/>
        </w:rPr>
      </w:pPr>
    </w:p>
    <w:p>
      <w:pPr>
        <w:ind w:left="640" w:hanging="31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significant volatility in our stock price.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Cybersecurity, Intellectual Property and Litigation</w:t>
      </w:r>
    </w:p>
    <w:p>
      <w:pPr>
        <w:spacing w:after="0" w:line="221" w:lineRule="exact"/>
        <w:rPr>
          <w:sz w:val="20"/>
          <w:szCs w:val="20"/>
          <w:color w:val="auto"/>
        </w:rPr>
      </w:pPr>
    </w:p>
    <w:p>
      <w:pPr>
        <w:ind w:right="1760" w:firstLine="328"/>
        <w:spacing w:after="0" w:line="509" w:lineRule="auto"/>
        <w:tabs>
          <w:tab w:leader="none" w:pos="64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and operations could suffer in the event of cybersecurity breaches within our operational systems or products. For a more complete discussion of the material risks facing our business, see below.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COVID-19 Pandemic</w:t>
      </w:r>
    </w:p>
    <w:p>
      <w:pPr>
        <w:spacing w:after="0" w:line="22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While the ongoing global COVID-19 pandemic has stabilized within many global regions, it may cyclically continue to adversely affect our business, financial condition and results of operations.</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ongoing global COVID-19 pandemic and its related macroeconomic effects have adversely affected, and may continue to adversely affect, our business, financial condition and results of operations in a cyclical manner. As the COVID-19 virus has evolved from March 2020 to the present, with subsequent variants emerging, authorities have implemented numerous measures to try to contain the virus, such as travel bans and restrictions, quarantines, shelter in place orders, vaccine mandates, and shutdowns, including at various times in all of the jurisdictions where we operate. These measures have adversely impacted, and may continue to adversely impact, our workforce and operations, the operations of our customers, and those of our respective vendors and suppliers. We have significant operations in the U.S., Germany, Switzerland, Malaysia, Japan and the Philippines, and each of these countries has been significantly affected by the COVID-19 outbreak. During the COVID-19 pandemic, it has been common for restrictions to be implemented, relaxed and then implemented again with little or no notice, which adversely impacts our ability to accurately predict our future revenue and budget future expenses and is disruptive to our operations.</w:t>
      </w:r>
    </w:p>
    <w:p>
      <w:pPr>
        <w:spacing w:after="0" w:line="1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Although we believe that Cohu qualifies as an “essential business” in the jurisdictions in which we operate, our business has been, and may in the future be, adversely impacted by evolving and extended public health requirements around the world; government-mandated facility shutdowns; import/export, shipping and logistics disruptions and delays; other supply chain and distribution constraints or delays; rapid changes to business, political or regulatory conditions affecting the semiconductor equipment industry and the overall global economy; availability of employees, increased sick time and lost employee productivity; risks associated with, at times, temporarily housing employees in our Malaysia and Philippines factories; remote working IT and increased cybersecurity risks; increased internal control risks over financial reporting as key finance staff work remotely; delayed product development programs; customers’ canceling, pushing out orders or refusal to accept product deliveries; delayed collection of receivables; other actions of our customers, suppliers and competitors which may be sudden and inconsistent with our expectations; higher shipping, trucking and logistics costs; higher component costs; manufacturing capacity limitations; additional credit rating agency downgrades could occur which would increase our cost of raising capital; and potential additional impairment of goodwill or other intangible assets or inventory write-downs due to lower product demand may become necessary. Any of the foregoing COVID-19 driven impacts, if they reoccur, may have a material adverse effect on our financial condition and results of operations, and may also have the effect of increasing the likelihood and/or magnitude of other risks described in these risk factors. With any successive COVID-19 surge, we believe the risks of material adverse business disruption increase. We continuously monitor and react to the pandemic but cannot predict its future course or impacts.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Business Operations and Industry</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are making investments in new products and product enhancements, which may adversely affect our operating results; these investments may not be commercially successful.</w:t>
      </w:r>
    </w:p>
    <w:p>
      <w:pPr>
        <w:spacing w:after="0" w:line="17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Given the highly competitive and rapidly evolving technology environment in which we operate, we believe it is important to develop new and enhanced product offerings to meet strategic opportunities as they evolve. This includes developing products that we believe are necessary to meet the future needs of the marketplace and to enter new markets. We are currently significantly investing in new product development programs relating to test contactors, test handlers and automated test equipment. In fiscal 2022, we incurred $92.6 million in research and development expenses. We expect to continue to make investments and we may, at any time, based on product need or marketplace demand, decide to significantly increase our product development expenditures in these or other products. The cost of investments in new product offerings and product enhancements can have a negative impact on our operating results. We have in the past made material investments in new product platforms that for various reasons, such as technical challenges or lack of customer adoption, have not generated the expected sales or return. There can be no assurance that other new products we develop will be accepted in the marketplace or generate material revenues for us.</w:t>
      </w:r>
    </w:p>
    <w:p>
      <w:pPr>
        <w:spacing w:after="0" w:line="183" w:lineRule="exact"/>
        <w:rPr>
          <w:sz w:val="20"/>
          <w:szCs w:val="20"/>
          <w:color w:val="auto"/>
        </w:rPr>
      </w:pPr>
    </w:p>
    <w:p>
      <w:pPr>
        <w:ind w:right="360"/>
        <w:spacing w:after="0" w:line="335" w:lineRule="auto"/>
        <w:rPr>
          <w:sz w:val="20"/>
          <w:szCs w:val="20"/>
          <w:color w:val="auto"/>
        </w:rPr>
      </w:pPr>
      <w:r>
        <w:rPr>
          <w:rFonts w:ascii="Arial" w:cs="Arial" w:eastAsia="Arial" w:hAnsi="Arial"/>
          <w:sz w:val="16"/>
          <w:szCs w:val="16"/>
          <w:b w:val="1"/>
          <w:bCs w:val="1"/>
          <w:i w:val="1"/>
          <w:iCs w:val="1"/>
          <w:color w:val="auto"/>
        </w:rPr>
        <w:t>We have manufacturing operations in Asia. Any failure to effectively manage multiple manufacturing sites and to secure raw materials meeting our quality, cost and other requirements, or failures by our suppliers to perform, could harm our sales, service levels and reputation.</w:t>
      </w:r>
    </w:p>
    <w:p>
      <w:pPr>
        <w:spacing w:after="0" w:line="12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 substantial majority of our products are manufactured in Asia. 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If we should fail to effectively manage overseas manufacturing operations or logistics,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and logistics. Our overseas sites are more susceptible to impacts from natural disasters, health epidemics and geopolitical instability (see risk factors entitled “</w:t>
      </w:r>
      <w:r>
        <w:rPr>
          <w:rFonts w:ascii="Arial" w:cs="Arial" w:eastAsia="Arial" w:hAnsi="Arial"/>
          <w:sz w:val="16"/>
          <w:szCs w:val="16"/>
          <w:i w:val="1"/>
          <w:iCs w:val="1"/>
          <w:color w:val="auto"/>
        </w:rPr>
        <w:t>While the ongoing global COVID-19 pandemic has stabilized within many</w:t>
      </w:r>
      <w:r>
        <w:rPr>
          <w:rFonts w:ascii="Arial" w:cs="Arial" w:eastAsia="Arial" w:hAnsi="Arial"/>
          <w:sz w:val="16"/>
          <w:szCs w:val="16"/>
          <w:color w:val="auto"/>
        </w:rPr>
        <w:t xml:space="preserve"> </w:t>
      </w:r>
      <w:r>
        <w:rPr>
          <w:rFonts w:ascii="Arial" w:cs="Arial" w:eastAsia="Arial" w:hAnsi="Arial"/>
          <w:sz w:val="16"/>
          <w:szCs w:val="16"/>
          <w:i w:val="1"/>
          <w:iCs w:val="1"/>
          <w:color w:val="auto"/>
        </w:rPr>
        <w:t>global regions, it may cyclically continue to adversely affect our business, financial condition and results of operations</w:t>
      </w:r>
      <w:r>
        <w:rPr>
          <w:rFonts w:ascii="Arial" w:cs="Arial" w:eastAsia="Arial" w:hAnsi="Arial"/>
          <w:sz w:val="16"/>
          <w:szCs w:val="16"/>
          <w:color w:val="auto"/>
        </w:rPr>
        <w:t>” and “</w:t>
      </w:r>
      <w:r>
        <w:rPr>
          <w:rFonts w:ascii="Arial" w:cs="Arial" w:eastAsia="Arial" w:hAnsi="Arial"/>
          <w:sz w:val="16"/>
          <w:szCs w:val="16"/>
          <w:i w:val="1"/>
          <w:iCs w:val="1"/>
          <w:color w:val="auto"/>
        </w:rPr>
        <w:t>The occurrence of natural disasters, health epidemics, corruption and geopolitical instability caused by terrorist attacks and other threats may adversely impact our operations and sales</w:t>
      </w:r>
      <w:r>
        <w:rPr>
          <w:rFonts w:ascii="Arial" w:cs="Arial" w:eastAsia="Arial" w:hAnsi="Arial"/>
          <w:sz w:val="16"/>
          <w:szCs w:val="16"/>
          <w:color w:val="auto"/>
        </w:rPr>
        <w:t>”). If our overseas manufacturing locations are unable to meet our manufacturing requirements in a timely manner, our ability to ship products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realize the related revenues when anticipated could be materially affected.</w:t>
      </w:r>
    </w:p>
    <w:p>
      <w:pPr>
        <w:spacing w:after="0" w:line="1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suppliers are subject to the fluctuations in general economic cycles, and global economic conditions may impact their ability to operate their businesses. They may also be impacted by possible import, export, tariff and other trade barriers, increasing costs of raw materials, labor and distribution, resulting in demands for less attractive contract terms or an inability for them to meet our requirements or conduct their own businesses. Additionally, consolidation in our supply chain due to mergers and acquisitions may reduce the number of suppliers or change our relationships with them. The performance and financial condition of a supplier may cause us to alter our business terms or to cease doing business with a particular supplier, or change our sourcing practices generally, which could in turn adversely affect our own business and financial condition. Failure to effectively manage our manufacturing and our relationships with our suppliers could have a material adverse effect on our business and results of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A failure to perform or unexpected downtime experienced by our sole source contract manufacturer for certain semiconductor test systems could adversely impact our operations.</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depend upon Jabil Manufacturing Co. (“Jabil”) to manufacture most of our semiconductor test systems from its facility located in Malaysia. In the event that Jabil is unable to meet Cohu’s current delivery schedule for semiconductor test systems, or if Jabil experienced unexpected downtime, we may not be able to sell, or have significant delays, in fulfilling our customer orders. If we experienced significant delays or disruptions with Jabil, it would take us significant time to ramp up a new manufacturer for our semiconductor test products, either in-house or with another contract manufacturer. There can be no assurance that alternative capacity could be obtained on favorable terms, if at all.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use numerous vendors to supply parts, components and subassemblies for the manufacture of our products. It is not always possible to maintain multiple qualified suppliers for all of our parts, components and subassemblies. As a result, many key parts may be available only from a single supplier (“sole source”) or a limited number of suppliers. In addition, suppliers may significantly raise prices or cease manufacturing certain components (with or without advance notice to us) that are difficult to replace without significant reengineering of our products. On occasion, we have experienced problems in obtaining adequate and reliable quantities of various parts and components from certain key or sole source suppliers. For example, at the beginning of 2022, we experienced supply constraints and delays in accessing certain specialty semiconductors necessary for the production of test instruments for our semiconductor ATE products, and these supply constraints adversely impacted our overall gross margin in 2022. Although the supply constraints have subsided entering 2023, they may reoccur at any time due to factors beyond our control. More broadly, our results of operations may be materially and adversely impacted if we do not receive sufficient parts to meet our requirements in a timely and cost-effective manner.</w:t>
      </w:r>
    </w:p>
    <w:p>
      <w:pPr>
        <w:spacing w:after="0" w:line="167" w:lineRule="exact"/>
        <w:rPr>
          <w:sz w:val="20"/>
          <w:szCs w:val="20"/>
          <w:color w:val="auto"/>
        </w:rPr>
      </w:pPr>
    </w:p>
    <w:p>
      <w:pPr>
        <w:ind w:right="120"/>
        <w:spacing w:after="0" w:line="417" w:lineRule="auto"/>
        <w:rPr>
          <w:sz w:val="20"/>
          <w:szCs w:val="20"/>
          <w:color w:val="auto"/>
        </w:rPr>
      </w:pPr>
      <w:r>
        <w:rPr>
          <w:rFonts w:ascii="Arial" w:cs="Arial" w:eastAsia="Arial" w:hAnsi="Arial"/>
          <w:sz w:val="14"/>
          <w:szCs w:val="14"/>
          <w:b w:val="1"/>
          <w:bCs w:val="1"/>
          <w:i w:val="1"/>
          <w:iCs w:val="1"/>
          <w:color w:val="auto"/>
        </w:rPr>
        <w:t>Ongoing inflationary pressures on costs, including those for raw and packaging materials, components and subassemblies, labor and distribution costs, along with rising interest rates, increase the threat of recession and may impact our financial condition or results of operations.</w:t>
      </w:r>
    </w:p>
    <w:p>
      <w:pPr>
        <w:spacing w:after="0" w:line="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global manufacturer, we rely on raw materials, packaging materials, direct labor, energy, a large network of suppliers, distribution resources and transportation providers. In 2022, these costs, including those for transportation and other inputs necessary for the production and distribution of our products, increased. The COVID-19 pandemic caused significant increases in freight and shipping costs, and global inflationary pressures have pushed those costs even higher. In addition, we continue to see price increases and shortages on certain specialty semiconductors necessary for the production of test instruments for our semiconductor ATE products, and these events have adversely impacted our gross margins on such products. Further, we also continue to incur higher employee wage costs and generally higher costs for outside services. These events are driven by factors beyond our control, and although we are unable to predict the longer-term impacts, we expect these cost pressures to continue in 2023.</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efforts to offset these cost pressures, such as through product price increases, or attempting to reduce operating costs elsewhere, may not be successful. Higher product prices may result in reductions in sales volume as customers may be less willing to pay a price differential for our products and may purchase lower-priced competitive offerings or may delay some purchases altogether. To the extent that this may result in decreases in sales volume, our financial condition or operating results may be adversely affected. Further, an extended period of higher prices may lead to continued regulatory efforts to tame price inflation, resulting in an increased risk of recession.</w:t>
      </w:r>
    </w:p>
    <w:p>
      <w:pPr>
        <w:spacing w:after="0" w:line="19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financial condition or operating results may also be affected by increasing interest rates, which the Federal Reserve raised multiple times in 2022, with expectations for additional increases in 2023. The raising of interest rates intended to cool down price inflation may also contribute to the risk of recession, which may result in customer projections of slowed growth and an overall impact on customer’s and Cohu’s corporate earnings. We saw slowing customer demand in 2022 and that trend has continued into 2023. Cohu is incurring increased interest expenses on our remaining indebtedness. In addition, our indebtedness may make us more vulnerable to changes in general economic conditions, with future inflationary pressures and efforts to reign in such an impact coupled with continued interest rate increases, thereby making it more costly for us to satisfy our obligations.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The semiconductor industry we serve is seasonal, volatile and unpredictable, and increased cyclicality could have an adverse impact on our sales and gross margin.</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Visibility into our markets is limited. The semiconductor equipment business is highly dependent on the overall strength of the semiconductor industry. Historically, the semiconductor industry has been seasonal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will also be subject to similar cycles and severe downturns. Any significant reductions in capital equipment investment by semiconductor integrated device manufacturers and test subcontractors will materially and adversely affect our business, financial position, including the level of product sales and overall gross margin, and results of operations. In addition, the seasonal, volatile and unpredictable nature of semiconductor equipment demand has in the past and may in the future expose us to significant excess and obsolete and lower of cost or net realizable value inventory write-offs and reserve requirements. In 2022, 2021 and 2020, we recorded pre-tax inventory-related charges of approximately $7.2 million, $7.1 million, and $6.0 million, respectively, primarily as a result of changes in customer forecasts. We saw weakness in market conditions in 2019, followed by COVID-19 driven uncertainties in 2020, then a significant market recovery beginning in third quarter 2020. After record sales in 2021, demand weakened in 2022. Abrupt, unexpected and severe demand changes have occurred in the past and are expected to reoccur in the future within our industry. Since the onset of the COVID-19 pandemic, in particular, we have seen demand fluctuations in our test handler group (“THG”) and semiconductor test group (“STG”) businesses. Our recent sales have become more weighted toward THG and less toward STG products, which have had a material negative impact on our gross margins. The company took action to reduce expenses and improve overall operational efficiency, and such actions largely offset the mix-related gross margin impacts. Given the nature of our industry, we generally cannot accurately predict mix swings from quarter-to-quarter and such changes may have sudden adverse impacts on our gross margin.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is intensely competitive.</w:t>
      </w:r>
    </w:p>
    <w:p>
      <w:pPr>
        <w:spacing w:after="0" w:line="2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industries we serve are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In addition, there are emerging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Intense competition has adversely impacted our product average selling prices and gross margins on certain products. If we are unable to price our existing products competitively and successfully introduce new competitively priced products, then we expect that these competitive conditions would negatively impact our gross margin and operating results in the foreseeable future.</w:t>
      </w:r>
    </w:p>
    <w:p>
      <w:pPr>
        <w:spacing w:after="0" w:line="16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increased investments in our test contactor business and targeted significant growth opportunities. However, the test contactor market is fragmented, with many entrenched regional players, and subject to intense price competition and high localized customer support requirements. We believe that customer support and responsiveness and an ability to consistently meet tight deadlines is critical to our success. If we are unable to continue to reduce the cost of our test contactor products, while also meeting customer support requirements and deadlines, then we expect that these competitive conditions would negatively impact our test contactor operating results and impede us from achieving our test contactor sales goals.</w:t>
      </w:r>
    </w:p>
    <w:p>
      <w:pPr>
        <w:spacing w:after="0" w:line="16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With respect to Cohu’s automated test equipment (“ATE”) business, our ability to increase ATE sales depends, in part, on our ability to win new customers. Semiconductor and electronics manufacturers typically select a particular vendor’s product for testing new generations of a device and make substantial investments to develop related test program applications and interfaces. Once a manufacturer has selected an ATE vendor for a new generation of a device, that manufacturer is more likely to purchase systems from that vendor for that generation of the device, and, possibly, subsequent generations of that device as well. Cohu has a niche position and relatively low share in the ATE market, which is primarily driven by two larger companies with significantly more resources to invest into the ATE market. Therefore, the opportunities to obtain orders from new customers or existing customers may be limited, which may impair our ability to grow our ATE revenue. We also believe that our niche position results in greater sales cyclicality versus larger more diversified ATE vendors and Cohu experienced such adverse cyclicality in 2022. These factors may materially and adversely affect our current and future target markets and our ability to compete successfully in those markets.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exposure resulted in charges to operations during each of the years in the three-year period ended December 31, 2022. Future inventory write-offs and increased inventory reserve requirements could have a material adverse impact on our results of operations and financial condition.</w:t>
      </w:r>
    </w:p>
    <w:p>
      <w:pPr>
        <w:spacing w:after="0" w:line="16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test handling, ATE, MEMS, system-level and burn-in test equipment and test contactors is extremely difficult and subject to a great deal of risk. In addition, not all integrated circuit manufacturers employ the same manufacturing processes. Differences in such processes make it difficult to design standard test products that can achieve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seasonal nature of the semiconductor equipment industry places enormous demands on our employees, operations and infrastructure.</w:t>
      </w:r>
    </w:p>
    <w:p>
      <w:pPr>
        <w:spacing w:after="0" w:line="24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semiconductor equipment industry is characterized by dramatic and sometimes rapid changes in demand for its products. These are generally dictated by introduction of new consumer products, launch of new model vehicles, implementation of new communications infrastructure, or in response to an increase in industrial equipment and machinery that utilizes semiconductors. A number of other factors including changes in integrated circuit design and packaging may affect demand for our products. Sudden changes in demand for semiconductor equipment commonly occur, and have a significant impact on our operations, and such changes in demand (up or down) are difficult to predict and proactively plan for. We have in the past and may in the future experience difficulties, particularly in manufacturing, and with training and recruiting large numbers of additions to our workforce. The volatility in headcount and business levels, combined with the seasonal nature of the semiconductor industry, may require that we invest substantial amounts in new operational and financial systems, procedures and controls. We may not be able to timely or successfully adjust our systems, facilities and production capacity to meet our customers’ changing requirements. Any inability to meet such requirements will have an adverse impact on our business, financial position and results of operations. Sudden demand changes in business conditions, positive or negative, are common in our industry but the timing of such changes is very difficult to predict.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small number of customers have been responsible for a significant portion of our net sales. For fiscal year 2022, net revenue from our ten largest customers represented 56% of our total net revenue. During the past five years, the percentage of our sales derived from these significant customers has varied greatly. Such variations are due to changes in the customers’ business, consolidation within the semiconductor industry and their purchase of products from our competitors. It is common in the semiconductor equipment industry for customers to purchase products from more than one equipment supplier, increasing the risk that our competitive position with a specific customer may deteriorate. No assurance can be given that we will continue to maintain our competitive position with these or other significant customers. Also, consolidation in the semiconductor industry may reduce our customer base and could adversely affect the market for our products, which could cause a decline in our revenues. With consolidation, the number of actual and potential customers for our products has decreased in recent years. Consolidation may lead to relatively fewer opportunities to sell our products if we are not chosen as a supplier by any given prospective customer, and may lead to increased pricing pressures from customers that have greater volume purchasing power.</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93"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b w:val="1"/>
          <w:bCs w:val="1"/>
          <w:i w:val="1"/>
          <w:iCs w:val="1"/>
          <w:color w:val="auto"/>
        </w:rPr>
        <w:t>A majority of our revenues are generated from exports to foreign countries, primarily in Asia, that are subject to economic and political instability and we compete against a number of Asia-based test contactor, test handler and automated test equipment suppliers.</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majority of our export sales are made to destinations in Asia. Political or economic instability, particularly in Asia, may adversely impact the demand for capital equipment, including equipment of the type we manufacture and market (see risk factor “</w:t>
      </w:r>
      <w:r>
        <w:rPr>
          <w:rFonts w:ascii="Arial" w:cs="Arial" w:eastAsia="Arial" w:hAnsi="Arial"/>
          <w:sz w:val="16"/>
          <w:szCs w:val="16"/>
          <w:i w:val="1"/>
          <w:iCs w:val="1"/>
          <w:color w:val="auto"/>
        </w:rPr>
        <w:t>Global economic and political conditions, including trade</w:t>
      </w:r>
      <w:r>
        <w:rPr>
          <w:rFonts w:ascii="Arial" w:cs="Arial" w:eastAsia="Arial" w:hAnsi="Arial"/>
          <w:sz w:val="16"/>
          <w:szCs w:val="16"/>
          <w:color w:val="auto"/>
        </w:rPr>
        <w:t xml:space="preserve"> </w:t>
      </w:r>
      <w:r>
        <w:rPr>
          <w:rFonts w:ascii="Arial" w:cs="Arial" w:eastAsia="Arial" w:hAnsi="Arial"/>
          <w:sz w:val="16"/>
          <w:szCs w:val="16"/>
          <w:i w:val="1"/>
          <w:iCs w:val="1"/>
          <w:color w:val="auto"/>
        </w:rPr>
        <w:t>tariffs and export restrictions, have impacted our business and may continue to have an impact on our business and financial condition</w:t>
      </w:r>
      <w:r>
        <w:rPr>
          <w:rFonts w:ascii="Arial" w:cs="Arial" w:eastAsia="Arial" w:hAnsi="Arial"/>
          <w:sz w:val="16"/>
          <w:szCs w:val="16"/>
          <w:color w:val="auto"/>
        </w:rPr>
        <w:t>”). In addition, we</w:t>
      </w:r>
      <w:r>
        <w:rPr>
          <w:rFonts w:ascii="Arial" w:cs="Arial" w:eastAsia="Arial" w:hAnsi="Arial"/>
          <w:sz w:val="16"/>
          <w:szCs w:val="16"/>
          <w:i w:val="1"/>
          <w:iCs w:val="1"/>
          <w:color w:val="auto"/>
        </w:rPr>
        <w:t xml:space="preserve"> </w:t>
      </w:r>
      <w:r>
        <w:rPr>
          <w:rFonts w:ascii="Arial" w:cs="Arial" w:eastAsia="Arial" w:hAnsi="Arial"/>
          <w:sz w:val="16"/>
          <w:szCs w:val="16"/>
          <w:color w:val="auto"/>
        </w:rPr>
        <w:t>face intense competition from a number of Asian suppliers that have certain advantages over United States (U.S.) suppliers, including us. These advantages include, among other things, proximity to customers, lower cost structures, a willingness to compete solely on price, favorable tariffs and other government preferences,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6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we cannot continue to develop, manufacture, market and support products and services that meet customer requirements for innovation and quality, our revenue and gross margin may suffer.</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sales and results of operations. Our customers’ selection processes typically are lengthy and can require us to incur significant sales, service and engineering expenses, and to provide the customer evaluation systems for several months at no charge, in pursuit of a single customer opportunity. We may not win the competitive selection process and may never generate any revenue despite incurring such expenditures. The delays inherent in these lengthy sales cycles increase the risk that a customer will decide to cancel, curtail, reduce or delay its product plans, causing us to lose anticipated sales.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In addition, in the course of conducting our business, we must adequately address quality issues associated with our products and services, including defects in our engineering, design and manufacturing processes, as well as defects in third-party components included in our products. To address quality issues, we work extensively with our customers and suppliers and engage in product testing to determine the cause of quality problems and appropriate solutions.</w:t>
      </w:r>
    </w:p>
    <w:p>
      <w:pPr>
        <w:spacing w:after="0" w:line="2"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Finding solutions to quality issues can be expensive and may result in additional warranty, replacement and other costs. In addition, if any of our products contain defects or have reliability, quality or safety issues, we may need to conduct a product recall which could result in significant repair or replacement costs and substantial delays in product shipments and may damage our reputation, which could make it more difficult to sell our products. Any of these occurrences could have a material adverse effect on our business, results of operations or financial condition. In addition, quality issues can impair our relationships with new or existing customers and adversely affect our reputation, which could lead to a material adverse effect on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and Bay Area, California; Boston, Massachusetts; St. Paul, Minnesota; Lincoln, Rhode Island; Kolbermoor, Germany; La Chaux-de-Fonds, Switzerland and Osaka, Japan areas, where the majority of our engineering personnel are located, is high, and increasing further due to inflationary effects,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More recently, the COVID-19 pandemic has increased the risks that our executives and other key employees may be suddenly unable to perform their duties due to health or other personal responsibilities.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Associated with Operating a Global Business</w:t>
      </w:r>
    </w:p>
    <w:p>
      <w:pPr>
        <w:spacing w:after="0" w:line="22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are exposed to the risks of operating in certain foreign locations where Cohu manufactures certain products and supports our sales and services to the global semiconductor industry.</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 global corporation with offices and subsidiaries in certain foreign locations to manufacture our products and support our sales and services to the global semiconductor industry. As such, we face risks in doing business globally. For example, while our corporate headquarters are located in California, additional key engineering, sales, and administrative personnel are located in China, Germany, Japan, Malaysia, Philippines, Singapore, Switzerland, Taiwan and elsewhere in the U.S., and our manufacturing operations are primarily located in Germany, Japan, Malaysia, Philippines and the U.S. Certain aspects inherent in transacting business internationally could negatively impact our operating results, including:</w:t>
      </w:r>
    </w:p>
    <w:p>
      <w:pPr>
        <w:spacing w:after="0" w:line="176"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220" w:lineRule="exact"/>
        <w:rPr>
          <w:rFonts w:ascii="Arial" w:cs="Arial" w:eastAsia="Arial" w:hAnsi="Arial"/>
          <w:sz w:val="18"/>
          <w:szCs w:val="18"/>
          <w:color w:val="auto"/>
        </w:rPr>
      </w:pPr>
    </w:p>
    <w:p>
      <w:pPr>
        <w:ind w:left="320" w:right="120" w:hanging="313"/>
        <w:spacing w:after="0" w:line="271"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requirements and potential changes in, or interpretations of, requirements in the United States and in the countries in which we manufacture or sell our products;</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restrictions, including treaty changes, sanctions and the suspension of export licenses;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and changes in import/export tariffs and regulations;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 labor laws and privacy regulations;</w:t>
      </w:r>
    </w:p>
    <w:p>
      <w:pPr>
        <w:spacing w:after="0" w:line="220" w:lineRule="exact"/>
        <w:rPr>
          <w:rFonts w:ascii="Arial" w:cs="Arial" w:eastAsia="Arial" w:hAnsi="Arial"/>
          <w:sz w:val="18"/>
          <w:szCs w:val="18"/>
          <w:color w:val="auto"/>
        </w:rPr>
      </w:pPr>
    </w:p>
    <w:p>
      <w:pPr>
        <w:ind w:left="320" w:right="600" w:hanging="313"/>
        <w:spacing w:after="0" w:line="271"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adequately supervising employees widely distributed around the world (including due to implementing remote work arrangements resulting from the COVID-19 pandemic and still continuing for certain functions);</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receivable collections;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epidemics, such as the COVID-19 pandemic;</w:t>
      </w:r>
    </w:p>
    <w:p>
      <w:pPr>
        <w:spacing w:after="0" w:line="220" w:lineRule="exact"/>
        <w:rPr>
          <w:rFonts w:ascii="Arial" w:cs="Arial" w:eastAsia="Arial" w:hAnsi="Arial"/>
          <w:sz w:val="18"/>
          <w:szCs w:val="18"/>
          <w:color w:val="auto"/>
        </w:rPr>
      </w:pPr>
    </w:p>
    <w:p>
      <w:pPr>
        <w:ind w:left="320" w:right="640" w:hanging="313"/>
        <w:spacing w:after="0" w:line="271"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and global political and economic conditions, including ongoing uncertainty surrounding the evolution of the COVID-19 pandemic and its implications;</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and other climate risks and geopolitical instability;</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varied environmental laws and regulations at each of our principal locations;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complex tax laws and potentially adverse tax consequences, including restrictions on repatriating earnings and the threat of “double taxation;” and</w:t>
      </w:r>
    </w:p>
    <w:p>
      <w:pPr>
        <w:spacing w:after="0" w:line="243" w:lineRule="exact"/>
        <w:rPr>
          <w:rFonts w:ascii="Arial" w:cs="Arial" w:eastAsia="Arial" w:hAnsi="Arial"/>
          <w:sz w:val="16"/>
          <w:szCs w:val="16"/>
          <w:color w:val="auto"/>
        </w:rPr>
      </w:pPr>
    </w:p>
    <w:p>
      <w:pPr>
        <w:ind w:left="320" w:hanging="313"/>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against the U.S. Dollar, which can affect demand for our products and increase our costs.</w:t>
      </w:r>
    </w:p>
    <w:p>
      <w:pPr>
        <w:spacing w:after="0" w:line="221"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6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continue to monitor global privacy laws and legislation to determine its impact on our business. We do not sell to consumers nor process individual credit card information, but do maintain certain personally identifiable information on our employees. Such employee information may be subject to the EU General Data Protection Regulation and the recently effective California Consumer Protection Act. We believe that we have implemented reasonable procedures and internal controls in compliance with these laws, but should such actions be insufficient, we may be subject to regulatory investigations, fines and legal costs. If one or more of these risks occurs, it could require us to dedicate significant resources to remedy, and if we are unsuccessful in finding a solution, our financial results will suffer.</w:t>
      </w:r>
    </w:p>
    <w:p>
      <w:pPr>
        <w:spacing w:after="0" w:line="19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Geopolitical instability in locations critical to Cohu and its 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business, manufacturing, and engineering operations may adversely impact our operations and sales.</w:t>
      </w:r>
    </w:p>
    <w:p>
      <w:pPr>
        <w:spacing w:after="0" w:line="17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An increase in geopolitical tensions in Asia, particularly in the Taiwan Strait, could disrupt existing semiconductor chip manufacturing and increase the prospect of an interruption to the semiconductor chip supply across the world. A setback to the current state of relative peace and stability in the region could compromise existing semiconductor chip production and have downstream implications for our company. The world’s largest semiconductor chip manufacturer is located in Taiwan and is a top supplier for many U.S. companies, many of which are part of the company’s customer base. Further, recent geopolitical tensions between Ukraine and Russia could adversely impact the supply chain in this region, particularly with respect to critical materials and metals, such as palladium which is used in our interface products as well as in semiconductors. Any interruption to semiconductor chip supply and its related impact to the company’s customers, or any disruption in our supply chain, could result in an adverse impact to our financial results.</w:t>
      </w:r>
    </w:p>
    <w:p>
      <w:pPr>
        <w:spacing w:after="0" w:line="16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Global economic and political conditions, including trade tariffs and exchange rates, have impacted our business and may continue to have an impact on our business and financial conditions that we currently cannot predict.</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fiscal year 2022, 90% of our revenue was from products shipped to customer locations outside the United States. We also purchase a significant portion of components and subassemblies from suppliers outside the United States. Additionally, a significant portion of our facilities are located outside the United States, including Germany, Japan, Malaysia, Philippines, Singapore, South Korea, Switzerland and Taiwan. Given our extensive global operations, we are subject to immediate impacts from any changing tariff or export regulations (see risk factor entitled “</w:t>
      </w:r>
      <w:r>
        <w:rPr>
          <w:rFonts w:ascii="Arial" w:cs="Arial" w:eastAsia="Arial" w:hAnsi="Arial"/>
          <w:sz w:val="17"/>
          <w:szCs w:val="17"/>
          <w:i w:val="1"/>
          <w:iCs w:val="1"/>
          <w:color w:val="auto"/>
        </w:rPr>
        <w:t>Increasingly restrictive trade and export regulations</w:t>
      </w:r>
      <w:r>
        <w:rPr>
          <w:rFonts w:ascii="Arial" w:cs="Arial" w:eastAsia="Arial" w:hAnsi="Arial"/>
          <w:sz w:val="17"/>
          <w:szCs w:val="17"/>
          <w:color w:val="auto"/>
        </w:rPr>
        <w:t xml:space="preserve"> </w:t>
      </w:r>
      <w:r>
        <w:rPr>
          <w:rFonts w:ascii="Arial" w:cs="Arial" w:eastAsia="Arial" w:hAnsi="Arial"/>
          <w:sz w:val="17"/>
          <w:szCs w:val="17"/>
          <w:i w:val="1"/>
          <w:iCs w:val="1"/>
          <w:color w:val="auto"/>
        </w:rPr>
        <w:t>may materially harm Cohu</w:t>
      </w:r>
      <w:r>
        <w:rPr>
          <w:rFonts w:ascii="Arial" w:cs="Arial" w:eastAsia="Arial" w:hAnsi="Arial"/>
          <w:sz w:val="17"/>
          <w:szCs w:val="17"/>
          <w:color w:val="auto"/>
        </w:rPr>
        <w:t>’</w:t>
      </w:r>
      <w:r>
        <w:rPr>
          <w:rFonts w:ascii="Arial" w:cs="Arial" w:eastAsia="Arial" w:hAnsi="Arial"/>
          <w:sz w:val="17"/>
          <w:szCs w:val="17"/>
          <w:i w:val="1"/>
          <w:iCs w:val="1"/>
          <w:color w:val="auto"/>
        </w:rPr>
        <w:t>s business and ability to sell its products without limitations</w:t>
      </w:r>
      <w:r>
        <w:rPr>
          <w:rFonts w:ascii="Arial" w:cs="Arial" w:eastAsia="Arial" w:hAnsi="Arial"/>
          <w:sz w:val="17"/>
          <w:szCs w:val="17"/>
          <w:color w:val="auto"/>
        </w:rPr>
        <w:t>”).</w:t>
      </w:r>
    </w:p>
    <w:p>
      <w:pPr>
        <w:spacing w:after="0" w:line="17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It remains our plan to continue our international growth. We have business operations within the jurisdictions listed above, and while we report our financial results in U.S. dollars, we incur certain costs in other currencies. As a result, the company holds exposure to fluctuations in currency exchange rates, and significant fluctuations in exchange rates between the U.S. dollar and foreign currencies may adversely affect our revenues and earnings, despite actions we take to minimize those currency exposures. Additionally, engaging in foreign currency contracts to minimize such currency exposure could result in additional costs and risks that could adversely affect our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The occurrence of natural disasters, health epidemics, and geopolitical instability caused by terrorist attacks and other threats may adversely impact our operations and sales.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corporate headquarters is located in San Diego, California, our Asian sales and service headquarters are located in Singapore and Taiwan, and the majority of our sales are made to destinations in Asia. In addition, we have Asia-based manufacturing plants in Malaysia, Philippines and Japan. These regions are known for being vulnerable to natural disasters and other risks, such as earthquakes, tsunamis, fires and floods, volcanic eruptions, and geopolitical risks, which at times have disrupted the local economies. For example, a significant earthquake or tsunami could materially affect operating results. Although we believe that we carry reasonable and appropriate business insurance, we may not be insured for certain losses and business interruptions of this kind, or for geopolitical or terrorism impacts, and presently have very limited redundant, multiple site capacity in the event of a disaster. In the event of such disaster, our business would materially suffer.</w:t>
      </w:r>
    </w:p>
    <w:p>
      <w:pPr>
        <w:spacing w:after="0" w:line="178" w:lineRule="exact"/>
        <w:rPr>
          <w:sz w:val="20"/>
          <w:szCs w:val="20"/>
          <w:color w:val="auto"/>
        </w:rPr>
      </w:pPr>
    </w:p>
    <w:p>
      <w:pPr>
        <w:ind w:right="460"/>
        <w:spacing w:after="0" w:line="281" w:lineRule="auto"/>
        <w:rPr>
          <w:sz w:val="20"/>
          <w:szCs w:val="20"/>
          <w:color w:val="auto"/>
        </w:rPr>
      </w:pPr>
      <w:r>
        <w:rPr>
          <w:rFonts w:ascii="Arial" w:cs="Arial" w:eastAsia="Arial" w:hAnsi="Arial"/>
          <w:sz w:val="17"/>
          <w:szCs w:val="17"/>
          <w:color w:val="auto"/>
        </w:rPr>
        <w:t>Our business could also be adversely affected by the effects of a widespread outbreak of contagious diseases, and has been adversely affected by the COVID-19 global pandemic (see risk factor entitled “</w:t>
      </w:r>
      <w:r>
        <w:rPr>
          <w:rFonts w:ascii="Arial" w:cs="Arial" w:eastAsia="Arial" w:hAnsi="Arial"/>
          <w:sz w:val="17"/>
          <w:szCs w:val="17"/>
          <w:i w:val="1"/>
          <w:iCs w:val="1"/>
          <w:color w:val="auto"/>
        </w:rPr>
        <w:t>While the ongoing global COVID-19 pandemic has stabilized within many global regions, it may</w:t>
      </w:r>
      <w:r>
        <w:rPr>
          <w:rFonts w:ascii="Arial" w:cs="Arial" w:eastAsia="Arial" w:hAnsi="Arial"/>
          <w:sz w:val="17"/>
          <w:szCs w:val="17"/>
          <w:color w:val="auto"/>
        </w:rPr>
        <w:t xml:space="preserve"> </w:t>
      </w:r>
      <w:r>
        <w:rPr>
          <w:rFonts w:ascii="Arial" w:cs="Arial" w:eastAsia="Arial" w:hAnsi="Arial"/>
          <w:sz w:val="17"/>
          <w:szCs w:val="17"/>
          <w:i w:val="1"/>
          <w:iCs w:val="1"/>
          <w:color w:val="auto"/>
        </w:rPr>
        <w:t>cyclically continue to adversely affect, our business, financial condition and results of operations</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materially and adversely affected by climate change and related matters.</w:t>
      </w:r>
    </w:p>
    <w:p>
      <w:pPr>
        <w:spacing w:after="0" w:line="2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analyze climate change risks in two separate categories: transition risks and physical risks. Transition risks are those risks relating to the transition of the global economy to a focus on more climate-friendly technologies. This transition could have adverse financial impacts on us in several ways. For instance, more stringent environmental policies or regulations could lead to increased expenses relating to green-house gas emissions or other emissions that could increase our operating costs. Enhanced emissions-reporting or shifting technology could require us to write off or impair assets or retire existing assets early. Increased environmental mandates could also increase our exposure to litigation. We could be required to incur increased costs and significant capital investment to transition to lower emissions technologies. In addition, overall market shifts could increase costs of our raw materials and cause unexpected shifts in energy costs. Focus on sustainability has increased, and the company or its industry could be stigmatized as not friendly to the environment, which could adversely affect our reputation and our business, including due to difficulties in employee hiring and retention and our ability to access capital. Any of these matters could materially and adversely affect our business, financial condition or results of operations.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Physical risks from climate change that could affect our business include acute weather events such as floods, tornadoes or other severe weather and ongoing changes such as rising temperatures or extreme variability in weather patterns. These events could lead to increased capital costs from damage to our facilities, increased insurance premiums or reduced revenue from decreased production capacity based on supply chain interruptions. Any of these events could have a material adverse effect on our business, financial condition or results of operations (see risk factor entitled “</w:t>
      </w:r>
      <w:r>
        <w:rPr>
          <w:rFonts w:ascii="Arial" w:cs="Arial" w:eastAsia="Arial" w:hAnsi="Arial"/>
          <w:sz w:val="16"/>
          <w:szCs w:val="16"/>
          <w:i w:val="1"/>
          <w:iCs w:val="1"/>
          <w:color w:val="auto"/>
        </w:rPr>
        <w:t>The occurrence of natural disasters,</w:t>
      </w:r>
      <w:r>
        <w:rPr>
          <w:rFonts w:ascii="Arial" w:cs="Arial" w:eastAsia="Arial" w:hAnsi="Arial"/>
          <w:sz w:val="16"/>
          <w:szCs w:val="16"/>
          <w:color w:val="auto"/>
        </w:rPr>
        <w:t xml:space="preserve"> </w:t>
      </w:r>
      <w:r>
        <w:rPr>
          <w:rFonts w:ascii="Arial" w:cs="Arial" w:eastAsia="Arial" w:hAnsi="Arial"/>
          <w:sz w:val="16"/>
          <w:szCs w:val="16"/>
          <w:i w:val="1"/>
          <w:iCs w:val="1"/>
          <w:color w:val="auto"/>
        </w:rPr>
        <w:t>health epidemics, and geopolitical instability caused by terrorist attacks and other threats may adversely impact our operations and sales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p>
      <w:pPr>
        <w:spacing w:after="0" w:line="16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Increasingly restrictive trade and export regulations may materially harm and limit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business and restrict our ability to sell products, specifically within China.</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There have been significant changes in U.S. export regulations relating to China since 2019. Such changes initially included restrictions on exports to certain China-domiciled entities including Huawei and broader definitions and restrictions on “military end users” and “uses.” In 2022, export controls were issued relating to the Chinese semiconductor manufacturing, advanced computing, and supercomputer industries, where these additional controls may impact our ability, and/or that of our customers, to sell and ship products to semiconductor fabrication facilities located in China. These export controls include restrictions on certain semiconductor integrated circuits, commodities containing such integrated circuits, and semiconductor manufacturing equipment. Furthermore, the export controls restrict the ability of U.S. persons to support the development or production of integrated circuits at certain semiconductor fabrication facilities in China.</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These collective export restrictions and the ongoing unpredictability of U.S.-China trade relations have encouraged China-based companies to actively seek to obtain a greater supply of similar or substitute products from our foreign competitors that are not subject to these restrictions, thereby decreasing our long-term competitiveness as a supplier to China-based companies. These ongoing actions indicate that the U.S. government may impose other new export restrictions. If implemented with no prior notice, even controls that ultimately have minimal long-term impact to Cohu, may create short-term limitations on Cohu’s business as it evaluates the full impact of such new and any subsequent controls. The prospect of future export controls that are implemented in a similar manner may continue to have an ongoing impact on Cohu’s business, results of operations, or financial conditions.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Political instability resulting from the military incursion into Ukraine by Russia continues to cause significant disruption to foreign and domestic economies, leading to broad and significant economic sanctions against Russia with an ongoing impact to material and commodity prices while raising sustained global uncertainty.</w:t>
      </w:r>
    </w:p>
    <w:p>
      <w:pPr>
        <w:spacing w:after="0" w:line="18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tensions related to Russia’s actions have resulted in the United States and many European countries imposing significant economic sanctions on Russia and specific individuals targeted as having connections to the Russian government. The totality of these actions has continued to impact international trade relationships, and resulted in sustained increases in the cost of materials, where higher oil and other commodity prices have resulted in further increased shipping and transportation costs. Furthermore, energy shortages, particularly with respect to natural gas, should they occur in Europe, would disrupt our test handler operations and research and development activities at our Kolbermoor, Germany and La Chaux-de-Fonds facilities. Any increases in the cost, or shortages, of materials or energy may continue to create supply issues for critical materials that could constrain manufacturing levels for Cohu’s customers, leading to a decrease in demand for Cohu’s products.</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global impact of the military action and subsequent imposing of sanctions continues to evolve and cannot be sufficiently measured or predicted with certainty. The inherent uncertainty surrounding this war may negatively impact the share prices of publicly traded companies. Government entities and both public and private companies within the United States may be exposed to attempted or actual cybersecurity attacks launched in retaliation, resulting in disruptions to domestic markets and a prolonged state of global market volatility. Furthermore, there remains ongoing uncertainty with respect to China’s willingness to support ongoing or expanded sanctions, which could distance China from its existing trade partners, potentially creating a significant impact to the semiconductor chip and equipment industries that conduct operations within China, Taiwan and the region. There is a likelihood that these sanctions, and related geopolitical tensions, will not be resolved in the short-term but will have a lengthy disruption to all global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Indebtedness, Financing and Future Access to Capital</w:t>
      </w:r>
    </w:p>
    <w:p>
      <w:pPr>
        <w:spacing w:after="0" w:line="22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Our Credit Agreement contains various representations and negative covenants that limit, subject to certain exceptions and baskets, our ability and/or our subsidiaries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take certain 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Cohu’s existing indebtedness of approximately $79 million, primarily the result of Cohu previously entering into a term loan facility (the “Credit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Agreement”), limits our ability to:</w:t>
      </w:r>
    </w:p>
    <w:p>
      <w:pPr>
        <w:spacing w:after="0" w:line="208" w:lineRule="exact"/>
        <w:rPr>
          <w:sz w:val="20"/>
          <w:szCs w:val="20"/>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cash dividends or make distributions on capital stock, repurchase, redeem or make payments on capital stock;</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rate, commodity, equity or currency swap, hedging or other similar transactions;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loans, investments or acquisitions;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220" w:lineRule="exact"/>
        <w:rPr>
          <w:rFonts w:ascii="Arial" w:cs="Arial" w:eastAsia="Arial" w:hAnsi="Arial"/>
          <w:sz w:val="18"/>
          <w:szCs w:val="18"/>
          <w:color w:val="auto"/>
        </w:rPr>
      </w:pPr>
    </w:p>
    <w:p>
      <w:pPr>
        <w:ind w:left="320" w:right="80" w:hanging="313"/>
        <w:spacing w:after="0" w:line="335"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create or permit restrictions on the ability of our subsidiaries to pay dividends or make other distributions to us or to guarantee our debt, limit our or any of our subsidiaries’ ability to create liens, or that require the grant of a lien to secure an obligation if a lien is granted to secure another obligation;</w:t>
      </w:r>
    </w:p>
    <w:p>
      <w:pPr>
        <w:spacing w:after="0" w:line="128" w:lineRule="exact"/>
        <w:rPr>
          <w:rFonts w:ascii="Arial" w:cs="Arial" w:eastAsia="Arial" w:hAnsi="Arial"/>
          <w:sz w:val="16"/>
          <w:szCs w:val="16"/>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transfer, license, lease or dispose of our or our subsidiaries’ assets; and</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dissolve, liquidate, consolidate or merge with or into, or sell substantially all the assets of us and our subsidiaries, taken as a whole, to another person.</w:t>
      </w:r>
    </w:p>
    <w:p>
      <w:pPr>
        <w:spacing w:after="0" w:line="24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contained in our Credit Agreement could adversely affect our ability to:</w:t>
      </w:r>
    </w:p>
    <w:p>
      <w:pPr>
        <w:spacing w:after="0" w:line="221" w:lineRule="exact"/>
        <w:rPr>
          <w:sz w:val="20"/>
          <w:szCs w:val="20"/>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 breach of any of these negative covenants could result in a default under the Credit Agreement. Further, additional indebtedness that we incur in the future may subject us to further covenants. Our failure to comply with these covenants could result in a default under the agreements governing the relevant indebtedness. The lender may accelerate the payment terms of the Credit Agreement upon the occurrence of certain events of default set forth therein, which include: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Any event that could require us to repay debt prior to its due date could have a material adverse impact on our financial condition and results of operations.</w:t>
      </w:r>
    </w:p>
    <w:p>
      <w:pPr>
        <w:spacing w:after="0" w:line="1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ability to comply with covenants contained in such debt agreements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 In addition, our obligations under the Credit Agreement are secured, on a first-priority basis, and such security interests could be enforced in the event of default by the collateral agent for the Credit Agreement.</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175" w:lineRule="exact"/>
        <w:rPr>
          <w:sz w:val="20"/>
          <w:szCs w:val="20"/>
          <w:color w:val="auto"/>
        </w:rPr>
      </w:pPr>
    </w:p>
    <w:p>
      <w:pPr>
        <w:ind w:right="140"/>
        <w:spacing w:after="0" w:line="335" w:lineRule="auto"/>
        <w:rPr>
          <w:sz w:val="20"/>
          <w:szCs w:val="20"/>
          <w:color w:val="auto"/>
        </w:rPr>
      </w:pPr>
      <w:r>
        <w:rPr>
          <w:rFonts w:ascii="Arial" w:cs="Arial" w:eastAsia="Arial" w:hAnsi="Arial"/>
          <w:sz w:val="16"/>
          <w:szCs w:val="16"/>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12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believe that our existing sources of liquidity, including cash resources and cash provided by operating activities will provide sufficient resources to meet our working capital and cash requirements for at least the next twelve months; however, a material adverse impact on our business from unforeseen events or a desire to reduce our outstanding indebtedness could result in a need to raise additional capital. Alternatively, we could decide to raise capital or incur additional indebtedness to fund strategic initiatives or operating activities, particularly if we pursue additional acquisitions. In the event we are required, or elect, to raise additional funds, we may be unable to do so on favorable terms, or at all, and may incur expenses in raising the additional funds and increase our interest rate exposure, and any future indebtedness could adversely affect our operating results and severely limit our ability to plan for, or react to, changes in our business or industry. Further, under our Credit Agreement, we are limited by financial and other negative covenants in our credit arrangements, including limitations on our borrowing of additional funds and issuing dividends.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 and Other Strategic Transactions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Because a significant portion of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total assets are represented by goodwill, which is subject to mandatory impairment evaluation, and other intangibles, Cohu could be required to write off some or all of this goodwill and other intangibles, which may adversely affect the combined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financial condition and results of operations.</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Goodwill and other intangibles comprise 29% of Cohu’s total assets, of which approximately $213.5 million of our total assets are allocated to goodwill. In accordance with Accounting Standards Codification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goodwill and certain other intangible assets with indefinite useful lives are not amortized but are reviewed at least annually for impairment, or more frequently if there are indications of impairment. Significant declines in the price of Cohu’s common stock could increase the risk of an impairment. All other intangible assets are subject to periodic amortization. Cohu evaluates the remaining useful lives of other intangible assets each quarter to determine whether events and circumstances warrant a revision to the remaining period of amortization. When Cohu performs future impairment tests, it is possible that the carrying value of goodwill or other intangible assets could exceed their implied fair value and therefore would require adjustment. Such adjustment would result in a charge to operating income in that period. There can be no assurance that there will not be further adjustments for impairment in future periods.</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are exposed to other risks associated with additional potential acquisitions, investments and divestitures such as integration difficulties, disruption to our core business, dilution of stockholder value, and diversion of management attention.</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part of our business strategy, we will continue to regularly evaluate investments in, or acquisitions of, complementary businesses, joint ventures, services and technologies, and we expect that periodically we will continue to make such investments and acquisitions in the future. Acquisitions and investments involve numerous risks, including, but not limited to:</w:t>
      </w:r>
    </w:p>
    <w:p>
      <w:pPr>
        <w:spacing w:after="0" w:line="186" w:lineRule="exact"/>
        <w:rPr>
          <w:sz w:val="20"/>
          <w:szCs w:val="20"/>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may underperform and we may not achieve any forecasted growth, benefits or synergies;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entering potentially new markets or manufacturing in new geographies where Cohu has no or limited direct prior experience;</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232" w:lineRule="exact"/>
        <w:rPr>
          <w:rFonts w:ascii="Arial" w:cs="Arial" w:eastAsia="Arial" w:hAnsi="Arial"/>
          <w:sz w:val="17"/>
          <w:szCs w:val="17"/>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risk of having to potentially develop new and unfamiliar sales channels for acquired businesses;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manufacturing disruptions and delays as we potentially consolidate certain manufacturing sites;</w:t>
      </w:r>
    </w:p>
    <w:p>
      <w:pPr>
        <w:spacing w:after="0" w:line="220" w:lineRule="exact"/>
        <w:rPr>
          <w:rFonts w:ascii="Arial" w:cs="Arial" w:eastAsia="Arial" w:hAnsi="Arial"/>
          <w:sz w:val="18"/>
          <w:szCs w:val="18"/>
          <w:color w:val="auto"/>
        </w:rPr>
      </w:pPr>
    </w:p>
    <w:p>
      <w:pPr>
        <w:ind w:left="320" w:right="140" w:hanging="313"/>
        <w:spacing w:after="0" w:line="271"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significant costs in integrating the systems and processes of two companies with complex operations including multiple manufacturing sites;</w:t>
      </w:r>
    </w:p>
    <w:p>
      <w:pPr>
        <w:spacing w:after="0" w:line="174"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Cohu or acquired businesses;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commercialize purchased technology;</w:t>
      </w:r>
    </w:p>
    <w:p>
      <w:pPr>
        <w:spacing w:after="0" w:line="220"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impairment of acquired intangible assets and goodwill that could result in significant charges to operating results in future periods; and</w:t>
      </w:r>
    </w:p>
    <w:p>
      <w:pPr>
        <w:spacing w:after="0" w:line="232" w:lineRule="exact"/>
        <w:rPr>
          <w:rFonts w:ascii="Arial" w:cs="Arial" w:eastAsia="Arial" w:hAnsi="Arial"/>
          <w:sz w:val="17"/>
          <w:szCs w:val="17"/>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22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may decide to finance future acquisitions and investments through a combination of borrowings, proceeds from equity or debt offerings and the use of cash, cash equivalents and short-term investments. If we finance acquisitions or investments by issuing equity-linked (such as convertible debt) or equity securities, our existing stockholders may be diluted which would likely affect the market price of our stock. Mergers, acquisitions and investments are inherently risky and the inability to effectively manage these risks could materially and adversely affect our business, financial condition and results of operations.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Owning Our Stock</w:t>
      </w:r>
    </w:p>
    <w:p>
      <w:pPr>
        <w:spacing w:after="0" w:line="225"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b w:val="1"/>
          <w:bCs w:val="1"/>
          <w:i w:val="1"/>
          <w:iCs w:val="1"/>
          <w:color w:val="auto"/>
        </w:rPr>
        <w:t>Our financial and operating results may vary and fall below analysts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estimates, or credit rating agencies may change their ratings on Cohu, any of which may cause the price of our common stock to decline or make it difficult to obtain other financing.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221" w:lineRule="exact"/>
        <w:rPr>
          <w:sz w:val="20"/>
          <w:szCs w:val="20"/>
          <w:color w:val="auto"/>
        </w:rPr>
      </w:pPr>
    </w:p>
    <w:p>
      <w:pPr>
        <w:ind w:left="300" w:hanging="293"/>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volatile and unpredictable nature of the semiconductor equipment industry;</w:t>
      </w:r>
    </w:p>
    <w:p>
      <w:pPr>
        <w:spacing w:after="0" w:line="220" w:lineRule="exact"/>
        <w:rPr>
          <w:rFonts w:ascii="Arial" w:cs="Arial" w:eastAsia="Arial" w:hAnsi="Arial"/>
          <w:sz w:val="18"/>
          <w:szCs w:val="18"/>
          <w:color w:val="auto"/>
        </w:rPr>
      </w:pPr>
    </w:p>
    <w:p>
      <w:pPr>
        <w:ind w:left="300" w:hanging="293"/>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220" w:lineRule="exact"/>
        <w:rPr>
          <w:rFonts w:ascii="Arial" w:cs="Arial" w:eastAsia="Arial" w:hAnsi="Arial"/>
          <w:sz w:val="18"/>
          <w:szCs w:val="18"/>
          <w:color w:val="auto"/>
        </w:rPr>
      </w:pPr>
    </w:p>
    <w:p>
      <w:pPr>
        <w:ind w:left="300" w:hanging="293"/>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decisions to cancel orders or push out deliveries;</w:t>
      </w:r>
    </w:p>
    <w:p>
      <w:pPr>
        <w:spacing w:after="0" w:line="220" w:lineRule="exact"/>
        <w:rPr>
          <w:rFonts w:ascii="Arial" w:cs="Arial" w:eastAsia="Arial" w:hAnsi="Arial"/>
          <w:sz w:val="18"/>
          <w:szCs w:val="18"/>
          <w:color w:val="auto"/>
        </w:rPr>
      </w:pPr>
    </w:p>
    <w:p>
      <w:pPr>
        <w:ind w:left="300" w:hanging="293"/>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220" w:lineRule="exact"/>
        <w:rPr>
          <w:rFonts w:ascii="Arial" w:cs="Arial" w:eastAsia="Arial" w:hAnsi="Arial"/>
          <w:sz w:val="18"/>
          <w:szCs w:val="18"/>
          <w:color w:val="auto"/>
        </w:rPr>
      </w:pPr>
    </w:p>
    <w:p>
      <w:pPr>
        <w:ind w:left="300" w:hanging="293"/>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220" w:lineRule="exact"/>
        <w:rPr>
          <w:rFonts w:ascii="Arial" w:cs="Arial" w:eastAsia="Arial" w:hAnsi="Arial"/>
          <w:sz w:val="18"/>
          <w:szCs w:val="18"/>
          <w:color w:val="auto"/>
        </w:rPr>
      </w:pPr>
    </w:p>
    <w:p>
      <w:pPr>
        <w:ind w:left="300" w:hanging="293"/>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expenses or cost overruns in the introduction and support of products;</w:t>
      </w:r>
    </w:p>
    <w:p>
      <w:pPr>
        <w:spacing w:after="0" w:line="220" w:lineRule="exact"/>
        <w:rPr>
          <w:rFonts w:ascii="Arial" w:cs="Arial" w:eastAsia="Arial" w:hAnsi="Arial"/>
          <w:sz w:val="18"/>
          <w:szCs w:val="18"/>
          <w:color w:val="auto"/>
        </w:rPr>
      </w:pPr>
    </w:p>
    <w:p>
      <w:pPr>
        <w:ind w:left="300" w:hanging="293"/>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w:t>
      </w:r>
    </w:p>
    <w:p>
      <w:pPr>
        <w:spacing w:after="0" w:line="220" w:lineRule="exact"/>
        <w:rPr>
          <w:rFonts w:ascii="Arial" w:cs="Arial" w:eastAsia="Arial" w:hAnsi="Arial"/>
          <w:sz w:val="18"/>
          <w:szCs w:val="18"/>
          <w:color w:val="auto"/>
        </w:rPr>
      </w:pPr>
    </w:p>
    <w:p>
      <w:pPr>
        <w:ind w:left="300" w:hanging="293"/>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geopolitical changes impacting our business, including with respect to China and Taiwan;</w:t>
      </w:r>
    </w:p>
    <w:p>
      <w:pPr>
        <w:spacing w:after="0" w:line="220" w:lineRule="exact"/>
        <w:rPr>
          <w:rFonts w:ascii="Arial" w:cs="Arial" w:eastAsia="Arial" w:hAnsi="Arial"/>
          <w:sz w:val="18"/>
          <w:szCs w:val="18"/>
          <w:color w:val="auto"/>
        </w:rPr>
      </w:pPr>
    </w:p>
    <w:p>
      <w:pPr>
        <w:ind w:left="300" w:hanging="293"/>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intangible and deferred tax asset write-downs; and</w:t>
      </w:r>
    </w:p>
    <w:p>
      <w:pPr>
        <w:spacing w:after="0" w:line="220" w:lineRule="exact"/>
        <w:rPr>
          <w:rFonts w:ascii="Arial" w:cs="Arial" w:eastAsia="Arial" w:hAnsi="Arial"/>
          <w:sz w:val="18"/>
          <w:szCs w:val="18"/>
          <w:color w:val="auto"/>
        </w:rPr>
      </w:pPr>
    </w:p>
    <w:p>
      <w:pPr>
        <w:ind w:right="260" w:firstLine="7"/>
        <w:spacing w:after="0" w:line="271" w:lineRule="auto"/>
        <w:tabs>
          <w:tab w:leader="none" w:pos="2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market conditions, including impacts from sanctions against Russia and the military conflict in Ukraine, increased inflationary pressures, interest rate changes, and any resurgence of the COVID-19 pandemic.</w:t>
      </w:r>
    </w:p>
    <w:p>
      <w:pPr>
        <w:spacing w:after="0" w:line="175" w:lineRule="exact"/>
        <w:rPr>
          <w:sz w:val="20"/>
          <w:szCs w:val="20"/>
          <w:color w:val="auto"/>
        </w:rPr>
      </w:pPr>
    </w:p>
    <w:p>
      <w:pPr>
        <w:jc w:val="both"/>
        <w:ind w:right="500"/>
        <w:spacing w:after="0" w:line="307" w:lineRule="auto"/>
        <w:rPr>
          <w:sz w:val="20"/>
          <w:szCs w:val="20"/>
          <w:color w:val="auto"/>
        </w:rPr>
      </w:pPr>
      <w:r>
        <w:rPr>
          <w:rFonts w:ascii="Arial" w:cs="Arial" w:eastAsia="Arial" w:hAnsi="Arial"/>
          <w:sz w:val="16"/>
          <w:szCs w:val="16"/>
          <w:color w:val="auto"/>
        </w:rPr>
        <w:t>Due to these factors or other unanticipated events, quarter-to-quarter comparisons of our operating results may not be reliable indicators of our future performance. In addition, from time-to-time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5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addition, as a result of the Term Loan Credit Facility, we maintain credit ratings with Moody’s Investors Service, Inc. (“Moody’s”) and S&amp;P Global Ratings (“S&amp;P”). Any downgrades of Cohu’s credit ratings or rating outlooks, if and when they were to occur, may materially and adversely affect the market price of our equity and the availability, cost or interest rate of other credit or financing. Cohu’s current credit ratings are considered non-investment grade and make it more costly (as compared to investment grade borrowers) for Cohu or its subsidiaries to borrow money or enter into new credit facilities and to raise certain other types of capital and/or complete additional financings.</w:t>
      </w:r>
    </w:p>
    <w:p>
      <w:pPr>
        <w:spacing w:after="0" w:line="17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and current and potential stockholders may lose confidence in our financial reporting.</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required by the Securities and Exchange Commission to establish and maintain adequate internal control over financial reporting that provides reasonable assurance regarding the reliability of our financial reporting and the preparation of financial statements in accordance with generally accepted accounting principles. We are likewise required, on a quarterly basis, to evaluate the effectiveness of our internal controls and to disclose any changes and material weaknesses in those internal controls. Although we believe that we have adequate internal controls in place at this time, we cannot be certain that, with significantly greater global complexity, we will be able to maintain adequate internal control over our financial reporting in future periods. Any failure to maintain such internal controls could adversely impact our ability to report our financial results on a timely and accurate basis. If our financial statements are not accurate, investors may not have a complete understanding of our operations. Likewise, if our financial statements are not filed on a timely basis as required by the Securities and Exchange Commission and Nasdaq Global Select Market, we could face severe consequences from those authorities. In either case, there could result a material adverse effect on our business. Inferior internal controls could also cause investors to lose confidence in our reported financial information, which could have a negative effect on the trading price of our stock.</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variety of factors may cause the price of our stock to be volatile. The stock market in general, and the market for shares of high-technology companies in particular, including ours, have experienced extreme price fluctuations, which have often been unrelated to the operating performance of affected companies. During the three-year period ended December 31, 2022, the price of our common stock has ranged from $51.86 to $8.89. The price of our stock may be more volatile than the stock of other companies due to, among other factors, the unpredictable, volatile and seasonal nature of the semiconductor industry, our significant customer concentration, intense competition in the test contactor, test handler, automated test equipment industry, our limited backlog, our debt levels, and our relatively low daily stock trading volume. The market price of our common stock is likely to continue to fluctuate significantly in the future, including fluctuations related and unrelated to our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underperform relative to our expectations.</w:t>
      </w:r>
    </w:p>
    <w:p>
      <w:pPr>
        <w:spacing w:after="0" w:line="2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business and financial performance are subject to certain risks and uncertainties, as described in these risk factors. We may not achieve our forecasted growth rates, levels of revenue, earnings, or operating efficiency that we expect and may incur losses in the business at any time. Any underperformance from our expectations or forecasts could have a material adverse effect on our financial condition, results of operations, and cause abrupt, significant stock price declines. Also, perceived company underperformance could attract shareholder activism and such activities could interfere with our ability to execute our business plans, be costly and time-consuming, disrupt our operations, divert the attention of management or result in other short-term focused corporate actions, any of which could have an adverse effect on our business or stock price.</w:t>
      </w:r>
    </w:p>
    <w:p>
      <w:pPr>
        <w:spacing w:after="0" w:line="17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The issuance of shares of our common stock in connection with any future offerings of securities by us, will dilute our shareholders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ownership interest in the company.</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may seek additional financing in the future to meet our capital needs, to repay outstanding indebtedness under our existing Credit Agreement or to meet our strategic initiatives or operating activities. We have in the past issued common stock as acquisition consideration and for general corporate purposes. For example, in March 2021, we issued 5,692,500 additional shares of our common stock in an underwritten follow-on public offering, an increase of 13.4% of outstanding shares of common stock. We may determine to utilize common stock as acquisition consideration, issue convertible debt, or pursue another follow-on equity offering to raise capital for debt reduction or for other general corporate purposes, at any time in the future. Any issuances of additional shares of our common stock would dilute shareholders’ ownership interest in our company, and shareholders would have a proportionately reduced ownership and voting interest in our company as a result of equity issuance. If we raise additional funds by issuing debt, we may be subject to limitations on our operations due to restrictive covenants. Additionally, our ability to make scheduled payments or refinance our obligations will depend on our operating and financial performance, which in turn is subject to prevailing economic conditions and financial, business and other factors beyond our control.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certificate of incorporation and bylaws and Delaware law may make a takeover of Cohu more difficult.</w:t>
      </w:r>
    </w:p>
    <w:p>
      <w:pPr>
        <w:spacing w:after="0" w:line="22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There are provisions in our basic corporate documents and under Delaware law that could discourage, delay or prevent a change in control, even if a change in control may be regarded as beneficial to some or all of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stock repurchase program may not have an impact that is fully reflected in the current stock valuation.</w:t>
      </w:r>
    </w:p>
    <w:p>
      <w:pPr>
        <w:spacing w:after="0" w:line="22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Effective November 2, 2021, a $70 million share repurchase program was authorized by our Board of Directors. On October 25, 2022, our Board of Directors authorized an additional $70 million under the share repurchase program. The stock repurchase program was authorized to potentially offset dilution from equity issuances under Cohu’s equity incentive plans and because the Board believes that, for reasons unrelated to the company’s performance, the trading price of Cohu’s common stock from time to time may not be reflective of the true value of the company. Any repurchases have been and may be made in the future using our existing cash resources. The company gives no assurances as to when, how much and for what duration stock repurchases may be made. However, stock repurchases may adversely affect the company if the economy turns downward, as it could leave the company limited in its ability to obtain cash necessary for ongoing operations or potential acquisition targets. In addition, any repurchase of stock may have no positive impact on our stock price. Further, as stock may be repurchased, given the volatility of our stock price, we may repurchase stock at prices which, in hindsight, are materially higher than the subsequent price of our stock.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changes in, and uncertainty with respect to, legislation, regulation and governmental policy in the United States.</w:t>
      </w:r>
    </w:p>
    <w:p>
      <w:pPr>
        <w:spacing w:after="0" w:line="221"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color w:val="auto"/>
        </w:rPr>
        <w:t>Specific legislative and regulatory proposals that could have a material impact on us include, but are not limited to, infrastructure renewal programs, modifications to international trade policy, increased duties, tariffs or other export restrictions, public company reporting requirements, climate change and environmental regulation, corporate tax legislation, new employment and privacy laws, and antitrust enforcement.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Unanticipated changes in our tax provisions, enactment of new tax laws, or exposure to additional income tax liabilities could affect our profitability.</w:t>
      </w:r>
    </w:p>
    <w:p>
      <w:pPr>
        <w:spacing w:after="0" w:line="2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subject to income and other taxes in the U.S. and numerous foreign jurisdictions. Our tax liabilities are affected by, among other things, the amounts our affiliated entities charge each other for intercompany transactions. Our German, Singaporean, Philippines, and Malaysian subsidiaries have income tax returns currently under routine examination by tax authorities for different periods between 2015 and 2020. We may be subject to ongoing tax examinations in various jurisdictions. Tax authorities may disagree with our intercompany charges or other matters and assess additional taxes. While we regularly assess the likely outcomes of these examinations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during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spacing w:after="0" w:line="19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Beginning in 2022, the Tax Cuts and Jobs Act, or the Tax Act, eliminated the option to deduct research and development expenditures currently and requires taxpayers to capitalize and amortize them over five or fifteen years pursuant to Internal Revenue Code Section 174. This has increased our effective tax rate and our cash tax payable in 2022. If the requirement to capitalize Section 174 expenditures is not modified, it may also impact our effective tax rate and our cash tax liability in future years.</w:t>
      </w:r>
    </w:p>
    <w:p>
      <w:pPr>
        <w:spacing w:after="0" w:line="1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December 2022, the Organization for Economic Cooperation and Development (“OECD”) announced that it has reached agreement among its 136-member countries that certain multinational enterprises will be subject to a global minimum tax rate of 15%, also known as Pillar Two. South Korea became the first country to enact such global minimum tax rules, which will be effective for fiscal years beginning on or after January 1, 2024. These specific actions did not impact our consolidated financial statements in 2022, however, many more countries are expected to issue laws and regulations to conform with this guidance soon. We will continue to monitor the pertinent law changes and regulations to determine the impact they would have on our operating and financial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 and impose costs.</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Certain products and services that we offer require compliance with U.S.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assurances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to government regulations regarding sale and export, we are subject to other regulations regarding our products. For example, the U.S. Securities and Exchange Commission has adopted disclosure rules for companies that use conflict minerals in their products, with substantial supply chain verification requirements if the materials come from, or could have come from, the Democratic Republic of the Congo or adjoining countries. These rules and verification requirements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pacing w:after="0" w:line="194" w:lineRule="exact"/>
        <w:rPr>
          <w:sz w:val="20"/>
          <w:szCs w:val="20"/>
          <w:color w:val="auto"/>
        </w:rPr>
      </w:pPr>
    </w:p>
    <w:p>
      <w:pPr>
        <w:ind w:right="180"/>
        <w:spacing w:after="0" w:line="335" w:lineRule="auto"/>
        <w:rPr>
          <w:sz w:val="20"/>
          <w:szCs w:val="20"/>
          <w:color w:val="auto"/>
        </w:rPr>
      </w:pPr>
      <w:r>
        <w:rPr>
          <w:rFonts w:ascii="Arial" w:cs="Arial" w:eastAsia="Arial" w:hAnsi="Arial"/>
          <w:sz w:val="16"/>
          <w:szCs w:val="16"/>
          <w:b w:val="1"/>
          <w:bCs w:val="1"/>
          <w:i w:val="1"/>
          <w:iCs w:val="1"/>
          <w:color w:val="auto"/>
        </w:rPr>
        <w:t>Any failure to comply with environmental laws and regulations could subject us to significant fines and liabilities, and new laws and regulations (such as involving climate change) or changes in regulatory interpretation or enforcement could make compliance more difficult and costly.</w:t>
      </w:r>
    </w:p>
    <w:p>
      <w:pPr>
        <w:spacing w:after="0" w:line="12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subject to various U.S. federal, state and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could incur substantial costs, including cleanup costs, civil or criminal fines or sanctions and third-party claims for property damage or personal injury, as a result of violations of or liabilities under environmental laws and regulations or non-compliance with the environmental permits required at our facilities. In addition, new regulations or shareholder or other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Cybersecurity, Intellectual Property and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cybersecurity breaches within our operational systems or products.</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cybersecurity incidents and to prevent their recurrence, but in some cases, we might be unaware of an incident or its magnitude and effects. We have been impacted by immaterial “phishing” schemes and we are continuing our efforts to train employees on such risks but may still incur damages from such schemes in the future. We believe that the implementation of extensive employee telework practices has increased our cybersecurity risks.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Any future attacks which may disrupt our IT systems, or those of our suppliers, could impact our sales, financial results and stock price. In response to these risks, we expect to continue to devote additional resources to the security of our information technology systems.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and we may incur litigation costs to protect our proprietary rights.</w:t>
      </w: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rely on patent, copyright, trademark and trade secret laws to establish and maintain proprietary rights in our technology and products. Any of our proprietary rights may expire due to patent life, or be challenged, invalidated or circumvented. We are also subject to the theft and misappropriation of our intellectual property by others, including incidents relating to former employees. Additionally, instances where we identify third parties potentially infringing on our proprietary rights may require our further investigation that could be time-consuming and costly. We believe that our company is taking reasonable actions to protect and continuously improve our security, through strengthened IT infrastructure and internal controls, but if these actions are not successful our business could be adversely affected.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Other parties may claim that we are infringing upon their intellectual property rights, and we could suffer litigation or licensing costs, and be prohibited from selling our products.</w:t>
      </w:r>
    </w:p>
    <w:p>
      <w:pPr>
        <w:spacing w:after="0" w:line="17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may receive notice from our competitors and third parties regarding patent or copyright claims of potential infringement by our company. Any such claims, with or without merit, could be time-consuming to defend, result in costly litigation, divert management’s attention and resources, and cause us to incur significant expenses. In the event of a successful claim of infringement against us, it may be costly for us to obtain licensing rights, or we may fail to obtain licensing rights or have an inability to license the infringed technology. Additionally, we may not be able to timely acquire or develop similar non-infringing technology, which may require us to change our products or processes. In each of these instances, our business, financial condition and results of operations could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31, 2022, is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Major</w:t>
            </w:r>
          </w:p>
        </w:tc>
        <w:tc>
          <w:tcPr>
            <w:tcW w:w="2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Approx.</w:t>
            </w:r>
          </w:p>
        </w:tc>
        <w:tc>
          <w:tcPr>
            <w:tcW w:w="2120" w:type="dxa"/>
            <w:vAlign w:val="bottom"/>
          </w:tcPr>
          <w:p>
            <w:pPr>
              <w:spacing w:after="0"/>
              <w:rPr>
                <w:sz w:val="18"/>
                <w:szCs w:val="18"/>
                <w:color w:val="auto"/>
              </w:rPr>
            </w:pPr>
          </w:p>
        </w:tc>
      </w:tr>
      <w:tr>
        <w:trPr>
          <w:trHeight w:val="232"/>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Activities</w:t>
            </w:r>
          </w:p>
        </w:tc>
        <w:tc>
          <w:tcPr>
            <w:tcW w:w="2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Sq. Ft.</w:t>
            </w: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08"/>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Poway, California</w:t>
            </w: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1, 2, 3, 4, 5</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147,000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4"/>
        </w:trPr>
        <w:tc>
          <w:tcPr>
            <w:tcW w:w="5760" w:type="dxa"/>
            <w:vAlign w:val="bottom"/>
          </w:tcPr>
          <w:p>
            <w:pPr>
              <w:spacing w:after="0"/>
              <w:rPr>
                <w:sz w:val="20"/>
                <w:szCs w:val="20"/>
                <w:color w:val="auto"/>
              </w:rPr>
            </w:pPr>
            <w:r>
              <w:rPr>
                <w:rFonts w:ascii="Arial" w:cs="Arial" w:eastAsia="Arial" w:hAnsi="Arial"/>
                <w:sz w:val="18"/>
                <w:szCs w:val="18"/>
                <w:color w:val="auto"/>
              </w:rPr>
              <w:t>Malacca, Malaysia</w:t>
            </w: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2, 3, 4, 5</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96,000</w:t>
            </w:r>
          </w:p>
        </w:tc>
        <w:tc>
          <w:tcPr>
            <w:tcW w:w="212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Kolbermoor, Germany</w:t>
            </w: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2, 3, 4, 5</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83,000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14"/>
        </w:trPr>
        <w:tc>
          <w:tcPr>
            <w:tcW w:w="5760" w:type="dxa"/>
            <w:vAlign w:val="bottom"/>
          </w:tcPr>
          <w:p>
            <w:pPr>
              <w:spacing w:after="0"/>
              <w:rPr>
                <w:sz w:val="20"/>
                <w:szCs w:val="20"/>
                <w:color w:val="auto"/>
              </w:rPr>
            </w:pPr>
            <w:r>
              <w:rPr>
                <w:rFonts w:ascii="Arial" w:cs="Arial" w:eastAsia="Arial" w:hAnsi="Arial"/>
                <w:sz w:val="18"/>
                <w:szCs w:val="18"/>
                <w:color w:val="auto"/>
              </w:rPr>
              <w:t>Osaka, Japan</w:t>
            </w: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2, 3, 4, 5</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67,000</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Norwood, Massachusetts</w:t>
            </w: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2, 4, 5</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56,000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4"/>
        </w:trPr>
        <w:tc>
          <w:tcPr>
            <w:tcW w:w="5760" w:type="dxa"/>
            <w:vAlign w:val="bottom"/>
          </w:tcPr>
          <w:p>
            <w:pPr>
              <w:spacing w:after="0"/>
              <w:rPr>
                <w:sz w:val="20"/>
                <w:szCs w:val="20"/>
                <w:color w:val="auto"/>
              </w:rPr>
            </w:pPr>
            <w:r>
              <w:rPr>
                <w:rFonts w:ascii="Arial" w:cs="Arial" w:eastAsia="Arial" w:hAnsi="Arial"/>
                <w:sz w:val="18"/>
                <w:szCs w:val="18"/>
                <w:color w:val="auto"/>
              </w:rPr>
              <w:t>Calamba City, Laguna, Philippines</w:t>
            </w: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2, 3, 4, 5</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52,000</w:t>
            </w:r>
          </w:p>
        </w:tc>
        <w:tc>
          <w:tcPr>
            <w:tcW w:w="212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 Chaux-de-Fonds, Switzerland</w:t>
            </w: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2, 4, 5</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33,000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4"/>
        </w:trPr>
        <w:tc>
          <w:tcPr>
            <w:tcW w:w="5760" w:type="dxa"/>
            <w:vAlign w:val="bottom"/>
          </w:tcPr>
          <w:p>
            <w:pPr>
              <w:spacing w:after="0"/>
              <w:rPr>
                <w:sz w:val="20"/>
                <w:szCs w:val="20"/>
                <w:color w:val="auto"/>
              </w:rPr>
            </w:pPr>
            <w:r>
              <w:rPr>
                <w:rFonts w:ascii="Arial" w:cs="Arial" w:eastAsia="Arial" w:hAnsi="Arial"/>
                <w:sz w:val="18"/>
                <w:szCs w:val="18"/>
                <w:color w:val="auto"/>
              </w:rPr>
              <w:t>Milpitas, California</w:t>
            </w: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2, 4, 5</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31,000</w:t>
            </w:r>
          </w:p>
        </w:tc>
        <w:tc>
          <w:tcPr>
            <w:tcW w:w="212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Lincoln, Rhode Island</w:t>
            </w: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2, 3, 4, 5</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22,000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4"/>
        </w:trPr>
        <w:tc>
          <w:tcPr>
            <w:tcW w:w="5760" w:type="dxa"/>
            <w:vAlign w:val="bottom"/>
          </w:tcPr>
          <w:p>
            <w:pPr>
              <w:spacing w:after="0"/>
              <w:rPr>
                <w:sz w:val="20"/>
                <w:szCs w:val="20"/>
                <w:color w:val="auto"/>
              </w:rPr>
            </w:pPr>
            <w:r>
              <w:rPr>
                <w:rFonts w:ascii="Arial" w:cs="Arial" w:eastAsia="Arial" w:hAnsi="Arial"/>
                <w:sz w:val="18"/>
                <w:szCs w:val="18"/>
                <w:color w:val="auto"/>
              </w:rPr>
              <w:t>Singapore</w:t>
            </w: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2, 4, 5</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20,000</w:t>
            </w:r>
          </w:p>
        </w:tc>
        <w:tc>
          <w:tcPr>
            <w:tcW w:w="212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St. Paul, Minnesota</w:t>
            </w: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2, 3, 4, 5</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17,000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387"/>
        </w:trPr>
        <w:tc>
          <w:tcPr>
            <w:tcW w:w="5760" w:type="dxa"/>
            <w:vAlign w:val="bottom"/>
          </w:tcPr>
          <w:p>
            <w:pPr>
              <w:spacing w:after="0"/>
              <w:rPr>
                <w:sz w:val="20"/>
                <w:szCs w:val="20"/>
                <w:color w:val="auto"/>
              </w:rPr>
            </w:pPr>
            <w:r>
              <w:rPr>
                <w:rFonts w:ascii="Arial" w:cs="Arial" w:eastAsia="Arial" w:hAnsi="Arial"/>
                <w:sz w:val="18"/>
                <w:szCs w:val="18"/>
                <w:color w:val="auto"/>
              </w:rPr>
              <w:t xml:space="preserve">Penang, Malaysia </w:t>
            </w:r>
            <w:r>
              <w:rPr>
                <w:rFonts w:ascii="Arial" w:cs="Arial" w:eastAsia="Arial" w:hAnsi="Arial"/>
                <w:sz w:val="29"/>
                <w:szCs w:val="29"/>
                <w:color w:val="auto"/>
                <w:vertAlign w:val="superscript"/>
              </w:rPr>
              <w:t>(1)</w:t>
            </w: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2, 3, 4, 5</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212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27" w:lineRule="exact"/>
        <w:rPr>
          <w:sz w:val="20"/>
          <w:szCs w:val="20"/>
          <w:color w:val="auto"/>
        </w:rPr>
      </w:pPr>
    </w:p>
    <w:p>
      <w:pPr>
        <w:ind w:right="120" w:firstLine="7"/>
        <w:spacing w:after="0" w:line="271" w:lineRule="auto"/>
        <w:tabs>
          <w:tab w:leader="none" w:pos="2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Location was acquired on January 30, 2023, in conjunction with the purchase of MCT, see Note 17, “Subsequent Event”, included in Part IV, Item 15(a) of this Form 10-K.</w:t>
      </w:r>
    </w:p>
    <w:p>
      <w:pPr>
        <w:spacing w:after="0" w:line="175" w:lineRule="exact"/>
        <w:rPr>
          <w:sz w:val="20"/>
          <w:szCs w:val="20"/>
          <w:color w:val="auto"/>
        </w:rPr>
      </w:pPr>
    </w:p>
    <w:p>
      <w:pPr>
        <w:ind w:right="220"/>
        <w:spacing w:after="0" w:line="335" w:lineRule="auto"/>
        <w:rPr>
          <w:sz w:val="20"/>
          <w:szCs w:val="20"/>
          <w:color w:val="auto"/>
        </w:rPr>
      </w:pPr>
      <w:r>
        <w:rPr>
          <w:rFonts w:ascii="Arial" w:cs="Arial" w:eastAsia="Arial" w:hAnsi="Arial"/>
          <w:sz w:val="16"/>
          <w:szCs w:val="16"/>
          <w:color w:val="auto"/>
        </w:rPr>
        <w:t>Major activities have been separated into the following categories: 1. Corporate Administration/Principal Executive Offices and Global Headquarters, 2. Sales, Service and Customer Support, 3. Manufacturing, 4. Engineering and Product Development, and 5. Marketing, Finance and General Administration</w:t>
      </w:r>
    </w:p>
    <w:p>
      <w:pPr>
        <w:spacing w:after="0" w:line="128"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color w:val="auto"/>
        </w:rPr>
        <w:t>In addition to the locations listed above, we lease other properties primarily for manufacturing, sales, service, engineering, and general administration in various locations. We believe our facilities are suitable for their respective uses and are adequate for our present needs.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12, “Commitments and Contingencies” in Part IV, Item 15(a) of this Form 10-K for information regarding legal proceedings.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w:t>
      </w:r>
      <w:r>
        <w:rPr>
          <w:rFonts w:ascii="Arial" w:cs="Arial" w:eastAsia="Arial" w:hAnsi="Arial"/>
          <w:sz w:val="18"/>
          <w:szCs w:val="18"/>
          <w:color w:val="auto"/>
        </w:rPr>
        <w:t>’</w:t>
      </w:r>
      <w:r>
        <w:rPr>
          <w:rFonts w:ascii="Arial" w:cs="Arial" w:eastAsia="Arial" w:hAnsi="Arial"/>
          <w:sz w:val="18"/>
          <w:szCs w:val="18"/>
          <w:b w:val="1"/>
          <w:bCs w:val="1"/>
          <w:color w:val="auto"/>
        </w:rPr>
        <w:t>s Common Equity, Related Stockholder Matters and Issuer Purchases of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Global Select Market under the symbol “COHU”.</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February 8, 2023, Cohu had 577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are proactively managing cash flow and Cohu’s Board of Directors authorized suspending our quarterly cash dividend indefinitely, as of May 5, 2020. The dividend suspension has resulted in approximately $10 million of annualized cash savings, which we are utilizing to deleverage and strengthen our balance sheet. Future reinstatement of our dividend policy may be affected by, among other items, our views on potential future capital requirements, including those related to debt service requirements, research and development, investments and acquisitions, legal risks and stock repurchases.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did not issue any securities that were not registered under the Securities Act of 1933, as amended.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October 28, 2021, we announced that our Board of Directors authorized a $70 million share repurchase program. On October 25, 2022, our Board of Directors authorized an additional $70 million under the share repurchase program. This share repurchase program was effective as of November 2, 2021 and has no expiration date.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The total number of shares of common stock we purchased during the fiscal year ended December 31, 2022 was 1,767,070 shares.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5360" w:type="dxa"/>
            <w:vAlign w:val="bottom"/>
            <w:gridSpan w:val="4"/>
          </w:tcPr>
          <w:p>
            <w:pPr>
              <w:spacing w:after="0"/>
              <w:rPr>
                <w:sz w:val="20"/>
                <w:szCs w:val="20"/>
                <w:color w:val="auto"/>
              </w:rPr>
            </w:pPr>
            <w:r>
              <w:rPr>
                <w:rFonts w:ascii="Arial" w:cs="Arial" w:eastAsia="Arial" w:hAnsi="Arial"/>
                <w:sz w:val="18"/>
                <w:szCs w:val="18"/>
                <w:color w:val="auto"/>
                <w:w w:val="90"/>
              </w:rPr>
              <w:t>Share repurchase activity during the fourth quarter of 2022 was as follows:</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Total Number of</w:t>
            </w:r>
          </w:p>
        </w:tc>
        <w:tc>
          <w:tcPr>
            <w:tcW w:w="220" w:type="dxa"/>
            <w:vAlign w:val="bottom"/>
          </w:tcPr>
          <w:p>
            <w:pPr>
              <w:spacing w:after="0"/>
              <w:rPr>
                <w:sz w:val="24"/>
                <w:szCs w:val="2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4"/>
              </w:rPr>
              <w:t>Maximum $</w:t>
            </w: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480" w:type="dxa"/>
            <w:vAlign w:val="bottom"/>
          </w:tcPr>
          <w:p>
            <w:pPr>
              <w:spacing w:after="0"/>
              <w:rPr>
                <w:sz w:val="18"/>
                <w:szCs w:val="18"/>
                <w:color w:val="auto"/>
              </w:rPr>
            </w:pPr>
          </w:p>
        </w:tc>
        <w:tc>
          <w:tcPr>
            <w:tcW w:w="1340" w:type="dxa"/>
            <w:vAlign w:val="bottom"/>
          </w:tcPr>
          <w:p>
            <w:pPr>
              <w:jc w:val="center"/>
              <w:ind w:right="372"/>
              <w:spacing w:after="0"/>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 Purchased</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Value of Shares</w:t>
            </w: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18"/>
                <w:szCs w:val="18"/>
                <w:color w:val="auto"/>
              </w:rPr>
            </w:pPr>
          </w:p>
        </w:tc>
        <w:tc>
          <w:tcPr>
            <w:tcW w:w="1340" w:type="dxa"/>
            <w:vAlign w:val="bottom"/>
          </w:tcPr>
          <w:p>
            <w:pPr>
              <w:jc w:val="center"/>
              <w:ind w:right="372"/>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as Part of Publicly</w:t>
            </w: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0"/>
              </w:rPr>
              <w:t>That May Yet Be</w:t>
            </w: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9"/>
                <w:szCs w:val="19"/>
                <w:color w:val="auto"/>
              </w:rPr>
            </w:pPr>
          </w:p>
        </w:tc>
        <w:tc>
          <w:tcPr>
            <w:tcW w:w="1340" w:type="dxa"/>
            <w:vAlign w:val="bottom"/>
          </w:tcPr>
          <w:p>
            <w:pPr>
              <w:jc w:val="center"/>
              <w:ind w:right="372"/>
              <w:spacing w:after="0"/>
              <w:rPr>
                <w:sz w:val="20"/>
                <w:szCs w:val="20"/>
                <w:color w:val="auto"/>
              </w:rPr>
            </w:pPr>
            <w:r>
              <w:rPr>
                <w:rFonts w:ascii="Arial" w:cs="Arial" w:eastAsia="Arial" w:hAnsi="Arial"/>
                <w:sz w:val="18"/>
                <w:szCs w:val="18"/>
                <w:color w:val="auto"/>
                <w:w w:val="87"/>
              </w:rPr>
              <w:t>Price Paid</w:t>
            </w:r>
          </w:p>
        </w:tc>
        <w:tc>
          <w:tcPr>
            <w:tcW w:w="22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4"/>
              </w:rPr>
              <w:t>Purchase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7"/>
              </w:rPr>
              <w:t>Purchased Under</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480" w:type="dxa"/>
            <w:vAlign w:val="bottom"/>
          </w:tcPr>
          <w:p>
            <w:pPr>
              <w:spacing w:after="0"/>
              <w:rPr>
                <w:sz w:val="19"/>
                <w:szCs w:val="19"/>
                <w:color w:val="auto"/>
              </w:rPr>
            </w:pPr>
          </w:p>
        </w:tc>
        <w:tc>
          <w:tcPr>
            <w:tcW w:w="1340" w:type="dxa"/>
            <w:vAlign w:val="bottom"/>
          </w:tcPr>
          <w:p>
            <w:pPr>
              <w:jc w:val="center"/>
              <w:ind w:right="392"/>
              <w:spacing w:after="0" w:line="228" w:lineRule="exact"/>
              <w:rPr>
                <w:sz w:val="20"/>
                <w:szCs w:val="20"/>
                <w:color w:val="auto"/>
              </w:rPr>
            </w:pPr>
            <w:r>
              <w:rPr>
                <w:rFonts w:ascii="Arial" w:cs="Arial" w:eastAsia="Arial" w:hAnsi="Arial"/>
                <w:sz w:val="16"/>
                <w:szCs w:val="16"/>
                <w:color w:val="auto"/>
                <w:w w:val="92"/>
              </w:rPr>
              <w:t>Per Share</w:t>
            </w:r>
            <w:r>
              <w:rPr>
                <w:rFonts w:ascii="Arial" w:cs="Arial" w:eastAsia="Arial" w:hAnsi="Arial"/>
                <w:sz w:val="26"/>
                <w:szCs w:val="26"/>
                <w:color w:val="auto"/>
                <w:w w:val="92"/>
                <w:vertAlign w:val="superscript"/>
              </w:rPr>
              <w:t>(1)</w:t>
            </w:r>
          </w:p>
        </w:tc>
        <w:tc>
          <w:tcPr>
            <w:tcW w:w="220" w:type="dxa"/>
            <w:vAlign w:val="bottom"/>
          </w:tcPr>
          <w:p>
            <w:pPr>
              <w:spacing w:after="0"/>
              <w:rPr>
                <w:sz w:val="19"/>
                <w:szCs w:val="19"/>
                <w:color w:val="auto"/>
              </w:rPr>
            </w:pPr>
          </w:p>
        </w:tc>
        <w:tc>
          <w:tcPr>
            <w:tcW w:w="1320" w:type="dxa"/>
            <w:vAlign w:val="bottom"/>
            <w:gridSpan w:val="2"/>
          </w:tcPr>
          <w:p>
            <w:pPr>
              <w:jc w:val="center"/>
              <w:ind w:right="420"/>
              <w:spacing w:after="0" w:line="228" w:lineRule="exact"/>
              <w:rPr>
                <w:sz w:val="20"/>
                <w:szCs w:val="20"/>
                <w:color w:val="auto"/>
              </w:rPr>
            </w:pPr>
            <w:r>
              <w:rPr>
                <w:rFonts w:ascii="Arial" w:cs="Arial" w:eastAsia="Arial" w:hAnsi="Arial"/>
                <w:sz w:val="16"/>
                <w:szCs w:val="16"/>
                <w:color w:val="auto"/>
                <w:w w:val="92"/>
              </w:rPr>
              <w:t>Cost</w:t>
            </w:r>
            <w:r>
              <w:rPr>
                <w:rFonts w:ascii="Arial" w:cs="Arial" w:eastAsia="Arial" w:hAnsi="Arial"/>
                <w:sz w:val="26"/>
                <w:szCs w:val="26"/>
                <w:color w:val="auto"/>
                <w:w w:val="92"/>
                <w:vertAlign w:val="superscript"/>
              </w:rPr>
              <w:t>(2)</w:t>
            </w:r>
          </w:p>
        </w:tc>
        <w:tc>
          <w:tcPr>
            <w:tcW w:w="1440" w:type="dxa"/>
            <w:vAlign w:val="bottom"/>
            <w:gridSpan w:val="2"/>
          </w:tcPr>
          <w:p>
            <w:pPr>
              <w:jc w:val="center"/>
              <w:ind w:right="100"/>
              <w:spacing w:after="0" w:line="228" w:lineRule="exact"/>
              <w:rPr>
                <w:sz w:val="20"/>
                <w:szCs w:val="20"/>
                <w:color w:val="auto"/>
              </w:rPr>
            </w:pPr>
            <w:r>
              <w:rPr>
                <w:rFonts w:ascii="Arial" w:cs="Arial" w:eastAsia="Arial" w:hAnsi="Arial"/>
                <w:sz w:val="16"/>
                <w:szCs w:val="16"/>
                <w:color w:val="auto"/>
                <w:w w:val="94"/>
              </w:rPr>
              <w:t>Programs</w:t>
            </w:r>
            <w:r>
              <w:rPr>
                <w:rFonts w:ascii="Arial" w:cs="Arial" w:eastAsia="Arial" w:hAnsi="Arial"/>
                <w:sz w:val="26"/>
                <w:szCs w:val="26"/>
                <w:color w:val="auto"/>
                <w:w w:val="94"/>
                <w:vertAlign w:val="superscript"/>
              </w:rPr>
              <w:t>(3)</w:t>
            </w:r>
          </w:p>
        </w:tc>
        <w:tc>
          <w:tcPr>
            <w:tcW w:w="1560" w:type="dxa"/>
            <w:vAlign w:val="bottom"/>
            <w:gridSpan w:val="3"/>
          </w:tcPr>
          <w:p>
            <w:pPr>
              <w:jc w:val="center"/>
              <w:spacing w:after="0" w:line="228" w:lineRule="exact"/>
              <w:rPr>
                <w:sz w:val="20"/>
                <w:szCs w:val="20"/>
                <w:color w:val="auto"/>
              </w:rPr>
            </w:pPr>
            <w:r>
              <w:rPr>
                <w:rFonts w:ascii="Arial" w:cs="Arial" w:eastAsia="Arial" w:hAnsi="Arial"/>
                <w:sz w:val="16"/>
                <w:szCs w:val="16"/>
                <w:color w:val="auto"/>
                <w:w w:val="96"/>
              </w:rPr>
              <w:t>The Programs</w:t>
            </w:r>
            <w:r>
              <w:rPr>
                <w:rFonts w:ascii="Arial" w:cs="Arial" w:eastAsia="Arial" w:hAnsi="Arial"/>
                <w:sz w:val="26"/>
                <w:szCs w:val="26"/>
                <w:color w:val="auto"/>
                <w:w w:val="96"/>
                <w:vertAlign w:val="superscript"/>
              </w:rPr>
              <w:t>(3)</w:t>
            </w:r>
          </w:p>
        </w:tc>
        <w:tc>
          <w:tcPr>
            <w:tcW w:w="0" w:type="dxa"/>
            <w:vAlign w:val="bottom"/>
          </w:tcPr>
          <w:p>
            <w:pPr>
              <w:spacing w:after="0"/>
              <w:rPr>
                <w:sz w:val="1"/>
                <w:szCs w:val="1"/>
                <w:color w:val="auto"/>
              </w:rPr>
            </w:pPr>
          </w:p>
        </w:tc>
      </w:tr>
      <w:tr>
        <w:trPr>
          <w:trHeight w:val="207"/>
        </w:trPr>
        <w:tc>
          <w:tcPr>
            <w:tcW w:w="3520" w:type="dxa"/>
            <w:vAlign w:val="bottom"/>
            <w:gridSpan w:val="2"/>
          </w:tcPr>
          <w:p>
            <w:pPr>
              <w:ind w:left="480"/>
              <w:spacing w:after="0"/>
              <w:rPr>
                <w:sz w:val="20"/>
                <w:szCs w:val="20"/>
                <w:color w:val="auto"/>
              </w:rPr>
            </w:pPr>
            <w:r>
              <w:rPr>
                <w:rFonts w:ascii="Arial" w:cs="Arial" w:eastAsia="Arial" w:hAnsi="Arial"/>
                <w:sz w:val="18"/>
                <w:szCs w:val="18"/>
                <w:i w:val="1"/>
                <w:iCs w:val="1"/>
                <w:color w:val="auto"/>
              </w:rPr>
              <w:t>(in thousands except price per share)</w:t>
            </w:r>
          </w:p>
        </w:tc>
        <w:tc>
          <w:tcPr>
            <w:tcW w:w="13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 25, 2022 - Oct 22, 2022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27.54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89,085</w:t>
            </w:r>
          </w:p>
        </w:tc>
        <w:tc>
          <w:tcPr>
            <w:tcW w:w="0" w:type="dxa"/>
            <w:vAlign w:val="bottom"/>
          </w:tcPr>
          <w:p>
            <w:pPr>
              <w:spacing w:after="0"/>
              <w:rPr>
                <w:sz w:val="1"/>
                <w:szCs w:val="1"/>
                <w:color w:val="auto"/>
              </w:rPr>
            </w:pPr>
          </w:p>
        </w:tc>
      </w:tr>
      <w:tr>
        <w:trPr>
          <w:trHeight w:val="214"/>
        </w:trPr>
        <w:tc>
          <w:tcPr>
            <w:tcW w:w="3520" w:type="dxa"/>
            <w:vAlign w:val="bottom"/>
            <w:gridSpan w:val="2"/>
          </w:tcPr>
          <w:p>
            <w:pPr>
              <w:spacing w:after="0"/>
              <w:rPr>
                <w:sz w:val="20"/>
                <w:szCs w:val="20"/>
                <w:color w:val="auto"/>
              </w:rPr>
            </w:pPr>
            <w:r>
              <w:rPr>
                <w:rFonts w:ascii="Arial" w:cs="Arial" w:eastAsia="Arial" w:hAnsi="Arial"/>
                <w:sz w:val="18"/>
                <w:szCs w:val="18"/>
                <w:color w:val="auto"/>
              </w:rPr>
              <w:t>Oct 23, 2022 - Nov 19, 2022</w:t>
            </w: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33.20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2,041</w:t>
            </w: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87,044</w:t>
            </w:r>
          </w:p>
        </w:tc>
        <w:tc>
          <w:tcPr>
            <w:tcW w:w="0" w:type="dxa"/>
            <w:vAlign w:val="bottom"/>
          </w:tcPr>
          <w:p>
            <w:pPr>
              <w:spacing w:after="0"/>
              <w:rPr>
                <w:sz w:val="1"/>
                <w:szCs w:val="1"/>
                <w:color w:val="auto"/>
              </w:rPr>
            </w:pPr>
          </w:p>
        </w:tc>
      </w:tr>
      <w:tr>
        <w:trPr>
          <w:trHeight w:val="214"/>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 20, 2022 - Dec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33.87</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81,957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w:t>
            </w:r>
          </w:p>
        </w:tc>
        <w:tc>
          <w:tcPr>
            <w:tcW w:w="4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30.70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12,642</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60" w:hanging="253"/>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weighted average price paid per share of common stock does not include the cost of commissions.</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total purchase cost includes the cost of commissions.</w:t>
      </w:r>
    </w:p>
    <w:p>
      <w:pPr>
        <w:spacing w:after="0" w:line="6" w:lineRule="exact"/>
        <w:rPr>
          <w:rFonts w:ascii="Arial" w:cs="Arial" w:eastAsia="Arial" w:hAnsi="Arial"/>
          <w:sz w:val="18"/>
          <w:szCs w:val="18"/>
          <w:color w:val="auto"/>
        </w:rPr>
      </w:pPr>
    </w:p>
    <w:p>
      <w:pPr>
        <w:ind w:left="260" w:right="120" w:hanging="253"/>
        <w:spacing w:after="0" w:line="266"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October 28, 2021, we announced that our Board of Directors authorized a $70 million share repurchase program. On October 25, 2022, our Board of Directors authorized an additional $70 million under the share repurchase program. This share repurchase program is effective as of November 2, 2021 and has no expiration date.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information required by this Item regarding equity compensation plans is incorporated by reference to the information set forth in Part III, Item 12 of this Annual Report on Form 10-K.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0" w:name="page31"/>
    <w:bookmarkEnd w:id="30"/>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The information contained in this Stock Performance Graph section shall not be deemed to be </w:t>
      </w:r>
      <w:r>
        <w:rPr>
          <w:rFonts w:ascii="Arial" w:cs="Arial" w:eastAsia="Arial" w:hAnsi="Arial"/>
          <w:sz w:val="18"/>
          <w:szCs w:val="18"/>
          <w:color w:val="auto"/>
        </w:rPr>
        <w:t>“</w:t>
      </w:r>
      <w:r>
        <w:rPr>
          <w:rFonts w:ascii="Arial" w:cs="Arial" w:eastAsia="Arial" w:hAnsi="Arial"/>
          <w:sz w:val="18"/>
          <w:szCs w:val="18"/>
          <w:i w:val="1"/>
          <w:iCs w:val="1"/>
          <w:color w:val="auto"/>
        </w:rPr>
        <w:t>soliciting material</w:t>
      </w:r>
      <w:r>
        <w:rPr>
          <w:rFonts w:ascii="Arial" w:cs="Arial" w:eastAsia="Arial" w:hAnsi="Arial"/>
          <w:sz w:val="18"/>
          <w:szCs w:val="18"/>
          <w:color w:val="auto"/>
        </w:rPr>
        <w:t>”</w:t>
      </w:r>
      <w:r>
        <w:rPr>
          <w:rFonts w:ascii="Arial" w:cs="Arial" w:eastAsia="Arial" w:hAnsi="Arial"/>
          <w:sz w:val="18"/>
          <w:szCs w:val="18"/>
          <w:i w:val="1"/>
          <w:iCs w:val="1"/>
          <w:color w:val="auto"/>
        </w:rPr>
        <w:t xml:space="preserve"> or </w:t>
      </w:r>
      <w:r>
        <w:rPr>
          <w:rFonts w:ascii="Arial" w:cs="Arial" w:eastAsia="Arial" w:hAnsi="Arial"/>
          <w:sz w:val="18"/>
          <w:szCs w:val="18"/>
          <w:color w:val="auto"/>
        </w:rPr>
        <w:t>“</w:t>
      </w:r>
      <w:r>
        <w:rPr>
          <w:rFonts w:ascii="Arial" w:cs="Arial" w:eastAsia="Arial" w:hAnsi="Arial"/>
          <w:sz w:val="18"/>
          <w:szCs w:val="18"/>
          <w:i w:val="1"/>
          <w:iCs w:val="1"/>
          <w:color w:val="auto"/>
        </w:rPr>
        <w:t>filed</w:t>
      </w:r>
      <w:r>
        <w:rPr>
          <w:rFonts w:ascii="Arial" w:cs="Arial" w:eastAsia="Arial" w:hAnsi="Arial"/>
          <w:sz w:val="18"/>
          <w:szCs w:val="18"/>
          <w:color w:val="auto"/>
        </w:rPr>
        <w:t>”</w:t>
      </w:r>
      <w:r>
        <w:rPr>
          <w:rFonts w:ascii="Arial" w:cs="Arial" w:eastAsia="Arial" w:hAnsi="Arial"/>
          <w:sz w:val="18"/>
          <w:szCs w:val="18"/>
          <w:i w:val="1"/>
          <w:iCs w:val="1"/>
          <w:color w:val="auto"/>
        </w:rPr>
        <w:t xml:space="preserve"> with the SEC or subject to the liabilities of Section 18 of the Exchange Act except to the extent that Cohu specifically incorporates it by reference into a document filed under the Securities Act or the Exchange Act.</w:t>
      </w:r>
    </w:p>
    <w:p>
      <w:pPr>
        <w:spacing w:after="0" w:line="18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graph below compares the cumulative total stockholder return on the common stock of Cohu for the last five fiscal years with the cumulative total return on custom Peer Group Indexes and a Nasdaq Global Select Market Index over the same period (assuming the investment of $100 in Cohu’s common stock, Peer Group Index and Nasdaq Global Select Market Index on December 30, 2017, and reinvestment of all dividends). The custom Peer Group Indexes are comprised of companies within our industry and are utilized in our executive compensation planning process. This peer group is revised annually to reflect acquisitions and to include comparable companies in the semiconductor equipment market to ensure a sufficient number of companies in the peer group composition to enable a meaningful comparison and benchmarking. In 2022, the custom peer group was comprised of Advanced Energy Industries, Inc., Alpha &amp; Omega Semiconductor Limited, Axcelis Technologies, Inc., Badger Meter, Inc., Cirrus Logic, Inc., FormFactor, Inc., Harmonic Inc., Ichor Holdings Ltd., Kulicke and Soffa Industries, Inc., MACOM Technology Solutions Holdings, Inc., MaxLinear, Inc., National Instruments Corporation, Novanta, Inc., Onto Innovation, OSI Systems, Inc., Photronics, Inc., Smart Global Holdings, Inc., Ultra Clean Holdings, Inc. and Veeco Instruments, Inc. In selecting our 2022 peer group the Compensation Committee of our Board of Directors considered competitive market data and an analysis prepared by Compensia and identified companies headquartered in the U.S. in the semiconductor capital equipment and electronic capital equipment and instrumentation sectors that were comparable to us on the basis of revenue, our market capitalization, and that had similar scope of operations. In 2021, the custom Peer Group Index was comprised of Advanced Energy Industries, Inc., Axcelis Technologies, Inc., Azenta, Inc. (formerly Brooks Automation, Inc.), Cirrus Logic, Inc., Entegris, Inc., FormFactor, Inc., Kulicke and Soffa Industries, Inc., Novanta, Inc., OSI Systems, Inc., Onto Innovation, Inc., Photronics, Inc., Synaptics, Inc., Ultra Clean Holdings, Inc. and Veeco Instruments,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116840</wp:posOffset>
            </wp:positionV>
            <wp:extent cx="5944870" cy="4424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44870" cy="442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r>
      <w:tr>
        <w:trPr>
          <w:trHeight w:val="20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Cohu, Inc.</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4"/>
        </w:trPr>
        <w:tc>
          <w:tcPr>
            <w:tcW w:w="3280" w:type="dxa"/>
            <w:vAlign w:val="bottom"/>
          </w:tcPr>
          <w:p>
            <w:pPr>
              <w:spacing w:after="0"/>
              <w:rPr>
                <w:sz w:val="20"/>
                <w:szCs w:val="20"/>
                <w:color w:val="auto"/>
              </w:rPr>
            </w:pPr>
            <w:r>
              <w:rPr>
                <w:rFonts w:ascii="Arial" w:cs="Arial" w:eastAsia="Arial" w:hAnsi="Arial"/>
                <w:sz w:val="18"/>
                <w:szCs w:val="18"/>
                <w:color w:val="auto"/>
              </w:rPr>
              <w:t>NASDAQ Index</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14"/>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Russell 2000</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4"/>
        </w:trPr>
        <w:tc>
          <w:tcPr>
            <w:tcW w:w="3280" w:type="dxa"/>
            <w:vAlign w:val="bottom"/>
          </w:tcPr>
          <w:p>
            <w:pPr>
              <w:spacing w:after="0"/>
              <w:rPr>
                <w:sz w:val="20"/>
                <w:szCs w:val="20"/>
                <w:color w:val="auto"/>
              </w:rPr>
            </w:pPr>
            <w:r>
              <w:rPr>
                <w:rFonts w:ascii="Arial" w:cs="Arial" w:eastAsia="Arial" w:hAnsi="Arial"/>
                <w:sz w:val="18"/>
                <w:szCs w:val="18"/>
                <w:color w:val="auto"/>
              </w:rPr>
              <w:t>2021 Peer Group</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314</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14"/>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2022 Peer Group</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have adopted the amendments to Items 301 and 302 of Regulation S-K contained in SEC Release No. 33-10890. As a result, the disclosure previously provided in Part II, Item 6 is no longer required. There were no retrospective changes to the Consolidated Statements of Operations for any quarters in the two most recent fiscal years that would require disclosure under Item 302,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180"/>
        <w:spacing w:after="0" w:line="417" w:lineRule="auto"/>
        <w:rPr>
          <w:sz w:val="20"/>
          <w:szCs w:val="20"/>
          <w:color w:val="auto"/>
        </w:rPr>
      </w:pPr>
      <w:r>
        <w:rPr>
          <w:rFonts w:ascii="Arial" w:cs="Arial" w:eastAsia="Arial" w:hAnsi="Arial"/>
          <w:sz w:val="14"/>
          <w:szCs w:val="14"/>
          <w:color w:val="auto"/>
        </w:rPr>
        <w:t>Cohu is a leading supplier of semiconductor test and inspection automation systems (handlers), micro-electromechanical system (“MEMS”) test modules, test contactors and thermal subsystems, and semiconductor automated test equipment used by global semiconductor manufacturers and test subcontractors.</w:t>
      </w:r>
    </w:p>
    <w:p>
      <w:pPr>
        <w:sectPr>
          <w:pgSz w:w="11900" w:h="16853" w:orient="portrait"/>
          <w:cols w:equalWidth="0" w:num="1">
            <w:col w:w="11240"/>
          </w:cols>
          <w:pgMar w:left="320" w:top="125" w:right="339" w:bottom="0" w:gutter="0" w:footer="0" w:header="0"/>
        </w:sectPr>
      </w:pPr>
    </w:p>
    <w:bookmarkStart w:id="31" w:name="page32"/>
    <w:bookmarkEnd w:id="31"/>
    <w:p>
      <w:pPr>
        <w:spacing w:after="0" w:line="270" w:lineRule="auto"/>
        <w:rPr>
          <w:sz w:val="20"/>
          <w:szCs w:val="20"/>
          <w:color w:val="auto"/>
        </w:rPr>
      </w:pPr>
      <w:r>
        <w:rPr>
          <w:rFonts w:ascii="Arial" w:cs="Arial" w:eastAsia="Arial" w:hAnsi="Arial"/>
          <w:sz w:val="17"/>
          <w:szCs w:val="17"/>
          <w:color w:val="auto"/>
        </w:rPr>
        <w:t>We offer a wide range of products and services and our revenue from capital equipment products is driven by the capital expenditure budgets and spending patterns of our customers, who often abruptly delay or accelerate purchases in reaction to variations in their business. The level of capital expenditures by these companies depends on the current and anticipated market demand for semiconductor devices and the products that incorporate them. Our consumable products are driven by the number of semiconductor devices that are tested and by the continuous introduction of new products and new technologies by our customers. As a result, our consumable products provide a more stable recurring source of revenue and generally do not have the same degree of cyclicality as our capital equipment products.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For the year ended December 31, 2022, our net sales decreased 8.4% year-over-year to $812.8 million. Although customer test cell utilization rates remain high and we continue to benefit from robust demand for semiconductor test equipment, as compared to the prior year, our net sales declined during 2022 due to lower demand for mobility and 5G-related products as well as the divestiture of our PCB Test business, which contributed $26.8 million in sales during 2021 through its disposition on June 24, 2021. Over the past twelve months, consolidated net sales benefitted from growth in our semiconductor test business, and we saw improvements in gross margin due to favorable product mix, and increased insourcing of contactor manufacturing. Also, price increases offset cost increases in our supply chain. Based on the strength of current business conditions and the results from our operations, we have continued to take actions to reduce outstanding principal under our Term Loan Credit Facility through voluntary prepayments and we have also repurchased 1,767,070 shares of our common stock for $50.7 million during 2022.</w:t>
      </w:r>
    </w:p>
    <w:p>
      <w:pPr>
        <w:spacing w:after="0" w:line="18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continue to focus on building a well-balanced and resilient business model. Our long-term market drivers and market strategy remain intact, and we are encouraged by demand across our main market segments, along with customer traction with our new products. We continue to capture new customers and remain optimistic about the long-term prospects for our business due to the increasing ubiquity of semiconductors, the continued rollout of 5G networks, increasing semiconductor complexity, increasing quality demands from semiconductor customers, increasing test intensity and continued proliferation of electronics in a variety of products across the automotive, mobility, industrial and consumer markets.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22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investors’ understanding of our financial results and condition and require complex management judgment include:</w:t>
      </w:r>
    </w:p>
    <w:p>
      <w:pPr>
        <w:spacing w:after="0" w:line="183" w:lineRule="exact"/>
        <w:rPr>
          <w:sz w:val="20"/>
          <w:szCs w:val="20"/>
          <w:color w:val="auto"/>
        </w:rPr>
      </w:pPr>
    </w:p>
    <w:p>
      <w:pPr>
        <w:ind w:left="500" w:hanging="319"/>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19" w:lineRule="exact"/>
        <w:rPr>
          <w:rFonts w:ascii="Arial" w:cs="Arial" w:eastAsia="Arial" w:hAnsi="Arial"/>
          <w:sz w:val="18"/>
          <w:szCs w:val="18"/>
          <w:color w:val="auto"/>
        </w:rPr>
      </w:pPr>
    </w:p>
    <w:p>
      <w:pPr>
        <w:ind w:left="500" w:hanging="319"/>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estimation of valuation allowances and accrued liabilities, specifically inventory reserves, which impact gross margin or operating expenses;</w:t>
      </w:r>
    </w:p>
    <w:p>
      <w:pPr>
        <w:spacing w:after="0" w:line="18" w:lineRule="exact"/>
        <w:rPr>
          <w:rFonts w:ascii="Arial" w:cs="Arial" w:eastAsia="Arial" w:hAnsi="Arial"/>
          <w:sz w:val="17"/>
          <w:szCs w:val="17"/>
          <w:color w:val="auto"/>
        </w:rPr>
      </w:pPr>
    </w:p>
    <w:p>
      <w:pPr>
        <w:ind w:left="500" w:right="460" w:hanging="319"/>
        <w:spacing w:after="0" w:line="279"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p>
      <w:pPr>
        <w:ind w:left="500" w:hanging="319"/>
        <w:spacing w:after="0" w:line="256"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assessment of recoverability of long-lived and indefinite-lived assets including goodwill and other intangible assets, which primarily impacts gross margin or operating expenses if we are required to record impairments of assets or accelerate their depreciation.</w:t>
      </w:r>
    </w:p>
    <w:p>
      <w:pPr>
        <w:spacing w:after="0" w:line="188" w:lineRule="exact"/>
        <w:rPr>
          <w:sz w:val="20"/>
          <w:szCs w:val="20"/>
          <w:color w:val="auto"/>
        </w:rPr>
      </w:pPr>
    </w:p>
    <w:p>
      <w:pPr>
        <w:ind w:right="500"/>
        <w:spacing w:after="0" w:line="301" w:lineRule="auto"/>
        <w:rPr>
          <w:sz w:val="20"/>
          <w:szCs w:val="20"/>
          <w:color w:val="auto"/>
        </w:rPr>
      </w:pPr>
      <w:r>
        <w:rPr>
          <w:rFonts w:ascii="Arial" w:cs="Arial" w:eastAsia="Arial" w:hAnsi="Arial"/>
          <w:sz w:val="17"/>
          <w:szCs w:val="17"/>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Our net sales are derived from the sale of products and services and are adjusted for estimated returns and allowances,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historically have been insignificant. We recognize revenue when the obligations under the terms of a contract with our customers are satisfied; generally, this occurs with the transfer of control of our systems,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At December 31, 2022, and December 25, 2021, we had $7.1 million and $7.7 million of revenue expected to be recognized in the future related to performance obligations that are unsatisfied (or partially unsatisfied) with expected durations of over one year, respectively. As allowed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we have opted to not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(“ASC 460”),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The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 On shipments where sales are not recognized, gross profit is generally recorded as deferred profit in our consolidated balance sheet representing the difference between the receivable recorded and the inventory shipped.</w:t>
      </w:r>
    </w:p>
    <w:p>
      <w:pPr>
        <w:spacing w:after="0" w:line="38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i w:val="1"/>
          <w:iCs w:val="1"/>
          <w:color w:val="auto"/>
        </w:rPr>
        <w:t xml:space="preserve">Accounts Receivable: </w:t>
      </w:r>
      <w:r>
        <w:rPr>
          <w:rFonts w:ascii="Arial" w:cs="Arial" w:eastAsia="Arial" w:hAnsi="Arial"/>
          <w:sz w:val="17"/>
          <w:szCs w:val="17"/>
          <w:color w:val="auto"/>
        </w:rPr>
        <w:t>We maintain an allowance for credit losses for estimated losses resulting from the inability of our customers to make required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If the 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7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 (i)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31, 2022, was approximately $114.5 million, with a valuation allowance of approximately $89.2 million.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December 2022, the Organization for Economic Cooperation and Development (OECD) announced that it has reached agreement among its 136-member countries that certain multinational enterprises will be subject to a global minimum tax rate of 15%, also known as Pillar Two. South Korea became the first country to enact such global minimum tax rules, which will be effective for fiscal years beginning on or after January 1, 2024. These specific actions did not impact our consolidated financial statements in 2022, however, many more countries are expected to issue laws and regulations to conform with this guidance soon. We will continue to monitor the pertinent law changes and regulations to determine the impact they would have on our operating and financial results.</w:t>
      </w:r>
    </w:p>
    <w:p>
      <w:pPr>
        <w:spacing w:after="0" w:line="194"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 xml:space="preserve">Segment Information: </w:t>
      </w:r>
      <w:r>
        <w:rPr>
          <w:rFonts w:ascii="Arial" w:cs="Arial" w:eastAsia="Arial" w:hAnsi="Arial"/>
          <w:sz w:val="17"/>
          <w:szCs w:val="17"/>
          <w:color w:val="auto"/>
        </w:rPr>
        <w:t>We applied the provisions of ASC Topic 280,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Segment Reporting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(“ASC 280”), which sets forth a management approach to segment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Test Handler Group (“THG”), Semiconductor Tester Group (“STG”) and Interface Solutions Group (“ISG”). Our THG, STG and ISG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 Prior to the sale of our PCB Test Group (“PTG”) on June 24, 2021, we reported in two segments, Semiconductor Test &amp; Inspection and PCB Test Equipment (“PCB Test”).</w:t>
      </w:r>
    </w:p>
    <w:p>
      <w:pPr>
        <w:spacing w:after="0" w:line="183"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i w:val="1"/>
          <w:iCs w:val="1"/>
          <w:color w:val="auto"/>
        </w:rPr>
        <w:t xml:space="preserve">Goodwill and Indefinite-Lived Intangibles, Other Intangible Assets and Long-lived Assets: </w:t>
      </w:r>
      <w:r>
        <w:rPr>
          <w:rFonts w:ascii="Arial" w:cs="Arial" w:eastAsia="Arial" w:hAnsi="Arial"/>
          <w:sz w:val="16"/>
          <w:szCs w:val="16"/>
          <w:color w:val="auto"/>
        </w:rPr>
        <w:t>We evaluate goodwill and other indefinite-lived intangible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which are solely comprised of in-process research and development (“IPR&amp;D”), for impairment annually and when an event occurs or circumstances change that indicate that the carrying value may not be recoverable. We test goodwill for impairment by first comparing the book value of net assets to the fair value of the reporting unit or asset, in the case of in-process research and development. If the fair value is determined to be less than the book value, a second step is performed to compute the amount of impairment as the difference between the fair value of the reporting unit and it’s carrying value of goodwill. We estimated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in order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spacing w:after="0" w:line="17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conduct our annual impairment test as of October 1st of each year, and have determined there was no impairment as of October 1, 2022, as we determined that the estimated fair values of our reporting units exceeded their carrying values on that date. Other events and changes in circumstances may also require goodwill to be tested for impairment between annual measurement dates. As of December 31, 2022,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During the first quarter of 2020, the volatility in Cohu’s stock price, the global economic downturn and business interruptions associated with the COVID-19 pandemic led us to determine that there was a triggering event related to goodwill within all of our identified reporting units and our indefinite-lived intangible assets. We performed an interim assessment as of March 28, 2020 and determined that the fair values of our identified reporting units all exceeded their carrying values and we concluded there was no impairment of goodwill within our reporting units. Anticipated delays in customer adoption of certain new products under development as a result of the COVID-19 pandemic, changes to future project roadmaps and an increase in the discount rate used in the developing our interim fair value estimate resulted in a $3.9 million impairment to IPR&amp;D recorded during the first quarter as the carrying value exceeded fair value. During the third quarter of 2020, we became aware of additional delays in customer adoption of the same new products under development leading us to re-evaluate the fair value of these projects and we determined that the carrying value exceeded the fair value and, as a result, we recorded a $7.3 million impairment to IPR&amp;D. For the twelve months ended December 26, 2020 total impairments recorded to IPR&amp;D projects was $11.2 million. During the fourth quarter of 2021 we completed and transferred to developed technology our last remaining in-process technology project which was reviewed for impairment as part of this process. Due to a change in forecasted results an impairment charge of $0.1 million was recorded.</w:t>
      </w:r>
    </w:p>
    <w:p>
      <w:pPr>
        <w:spacing w:after="0" w:line="17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spacing w:after="0" w:line="194"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We are subject to certain contingencies that arise in the ordinary course of our businesses which require us to assess the likelihood that future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restricted stock unit awards is calculated based on the market price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spacing w:after="0" w:line="19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Our estimate of share-based compensation expense requires a number of complex and subjective assumptions and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For a description of accounting changes and recent accounting pronouncements, including the expected dates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and estimated effects, if any, on our consolidated financial statements, see Note 1, “Recent Accounting Pronouncements” in Part IV, Item 15(a) of this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Transactions Impacting Results of Operations</w:t>
      </w: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24, 2021, we completed the sale of our PCB Test business. Due to the timing of the divestment of this business our results for 2021 include our PCB Test business for the six months ended June 24, 2021, whereas our results for the period ended December 26, 2020 include this business for the full twelve months. Previously, management determined that the fixtures services business, that was acquired as part of Xcerra, did not align with Cohu’s long-term strategic plan and management divested this business in February 2020. The operating results of our fixtures business are presented as “discontinued operations” for the periods ended December 31, 2022, December 25, 2021 and December 26, 2020. Unless otherwise indicated, the discussion below covers the comparative results from continuing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Table of Contents</w:t>
            </w:r>
          </w:p>
        </w:tc>
        <w:tc>
          <w:tcPr>
            <w:tcW w:w="48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6140" w:type="dxa"/>
            <w:vAlign w:val="bottom"/>
            <w:gridSpan w:val="4"/>
          </w:tcPr>
          <w:p>
            <w:pPr>
              <w:spacing w:after="0"/>
              <w:rPr>
                <w:sz w:val="20"/>
                <w:szCs w:val="20"/>
                <w:color w:val="auto"/>
              </w:rPr>
            </w:pPr>
            <w:r>
              <w:rPr>
                <w:rFonts w:ascii="Arial" w:cs="Arial" w:eastAsia="Arial" w:hAnsi="Arial"/>
                <w:sz w:val="18"/>
                <w:szCs w:val="18"/>
                <w:color w:val="auto"/>
                <w:w w:val="91"/>
              </w:rPr>
              <w:t>The following table summarizes certain operating data as a percentage of net sales: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140" w:type="dxa"/>
            <w:vAlign w:val="bottom"/>
            <w:gridSpan w:val="3"/>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4"/>
                <w:szCs w:val="24"/>
                <w:color w:val="auto"/>
              </w:rPr>
            </w:pPr>
          </w:p>
        </w:tc>
        <w:tc>
          <w:tcPr>
            <w:tcW w:w="1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(56.4)</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Amortization of purchased intangible assets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PCB Test business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Restructuring charges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Gain on sale of facilities</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0"/>
        <w:spacing w:after="0" w:line="335" w:lineRule="auto"/>
        <w:rPr>
          <w:sz w:val="20"/>
          <w:szCs w:val="20"/>
          <w:color w:val="auto"/>
        </w:rPr>
      </w:pPr>
      <w:r>
        <w:rPr>
          <w:rFonts w:ascii="Arial" w:cs="Arial" w:eastAsia="Arial" w:hAnsi="Arial"/>
          <w:sz w:val="16"/>
          <w:szCs w:val="16"/>
          <w:color w:val="auto"/>
        </w:rPr>
        <w:t>Please refer to “Management’s Discussion and Analysis of Financial Condition and Results of Operations” in Part II, Item 7 in our 2021 Annual Report on Form 10-K, filed with the SEC on February 18, 2022, for comparative discussion of our fiscal years ended December 25, 2021 and December 26,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Compared to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Cohu’s consolidated net sales decreased 8.4% from $887.2 million in 2021 to $812.8 million in 2022. During 2022, although customer test cell utilization rates remained high and we continued to benefit from robust demand for semiconductor test equipment, as compared to 2021, net sales declined due to lower demand for mobility and 5G-related products as well as the divestiture of our PCB Test business, which contributed $26.8 million in sales during 2021 through its disposition on June 24, 2021. During 2021 our net sales were favorably impacted by robust automotive demand, driven by xEV and ADAS technologies, strength in industrial markets, and continued mobility expansion with 5G proliferation. Demand for equipment testing 5G, Wi-Fi 6 and Ultra-Wideband devices, data centers, personal computers and automotive semiconductor and sensors were at near record levels.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(exclusive of amortization of acquisition-related intangible assets described below)</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Gross margin consists of net sales less cost of sales (excluding the impact of amortization of developed technology). Cost of sales consists primarily of the materials, assembly and test labor and overhead from operations. Our gross margin can fluctuate due to a number of factors, including, but not limited to, the mix of products sold, product support costs, increases to inventory reserves, the sale of previously reserved inventory and business volume which impacts the utilization of our manufacturing capacity. Our gross margin, as a percentage of net sales, increased to 47.2% in 2022 from 43.6% in 2021. During 2022 our gross margin improved compared to 2021 due to favorable product mix, increased insourcing of contactor manufacturing and foreign currency fluctuations.</w:t>
      </w:r>
    </w:p>
    <w:p>
      <w:pPr>
        <w:spacing w:after="0" w:line="16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compute the majority of our excess and obsolete inventory reserve requirements using inventory usage forecasts. During 2022, we recorded net charges to cost of sales of approximately $7.2 million for excess and obsolete inventory. In 2021, net charges to cost of sales for excess and obsolete inventory were $7.1 million. We believe our reserves for excess and obsolete inventory and lower of cost or net realizable value are adequate to cover known exposures at December 31, 2022. Reductions in customer forecasts, continued modifications to products, our failure to meet specifications or other customer requirements may result in additional charges to operations that could negatively impact our gross margin in future periods.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w:t>
      </w:r>
      <w:r>
        <w:rPr>
          <w:rFonts w:ascii="Arial" w:cs="Arial" w:eastAsia="Arial" w:hAnsi="Arial"/>
          <w:sz w:val="18"/>
          <w:szCs w:val="18"/>
          <w:color w:val="auto"/>
        </w:rPr>
        <w:t>“</w:t>
      </w:r>
      <w:r>
        <w:rPr>
          <w:rFonts w:ascii="Arial" w:cs="Arial" w:eastAsia="Arial" w:hAnsi="Arial"/>
          <w:sz w:val="18"/>
          <w:szCs w:val="18"/>
          <w:b w:val="1"/>
          <w:bCs w:val="1"/>
          <w:i w:val="1"/>
          <w:iCs w:val="1"/>
          <w:color w:val="auto"/>
        </w:rPr>
        <w:t>R&amp;D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2022 was $92.6 million, or 11.4% of net sales, compared to $92.0 million, or 10.4% of net sales in 2021. R&amp;D expense in 2021 includes the results of our PCB Test business, which incurred $1.5 million of costs prior to its disposition on June 24, 2021. During 2022 R&amp;D expense increased due to higher spending on labor and materials associated with product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w:t>
      </w:r>
      <w:r>
        <w:rPr>
          <w:rFonts w:ascii="Arial" w:cs="Arial" w:eastAsia="Arial" w:hAnsi="Arial"/>
          <w:sz w:val="18"/>
          <w:szCs w:val="18"/>
          <w:color w:val="auto"/>
        </w:rPr>
        <w:t>“</w:t>
      </w:r>
      <w:r>
        <w:rPr>
          <w:rFonts w:ascii="Arial" w:cs="Arial" w:eastAsia="Arial" w:hAnsi="Arial"/>
          <w:sz w:val="18"/>
          <w:szCs w:val="18"/>
          <w:b w:val="1"/>
          <w:bCs w:val="1"/>
          <w:i w:val="1"/>
          <w:iCs w:val="1"/>
          <w:color w:val="auto"/>
        </w:rPr>
        <w:t>SG&amp;A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 and costs of professional services. SG&amp;A expense as a percentage of net sales increased to 16.2% in 2022, from 14.3% in 2021, increasing from</w:t>
      </w:r>
    </w:p>
    <w:p>
      <w:pPr>
        <w:spacing w:after="0" w:line="1" w:lineRule="exact"/>
        <w:rPr>
          <w:sz w:val="20"/>
          <w:szCs w:val="20"/>
          <w:color w:val="auto"/>
        </w:rPr>
      </w:pPr>
    </w:p>
    <w:p>
      <w:pPr>
        <w:jc w:val="both"/>
        <w:ind w:right="380"/>
        <w:spacing w:after="0" w:line="318" w:lineRule="auto"/>
        <w:rPr>
          <w:sz w:val="20"/>
          <w:szCs w:val="20"/>
          <w:color w:val="auto"/>
        </w:rPr>
      </w:pPr>
      <w:r>
        <w:rPr>
          <w:rFonts w:ascii="Arial" w:cs="Arial" w:eastAsia="Arial" w:hAnsi="Arial"/>
          <w:sz w:val="16"/>
          <w:szCs w:val="16"/>
          <w:color w:val="auto"/>
        </w:rPr>
        <w:t>$127.0 million in 2021 to $131.4 million in 2022. SG&amp;A expense in 2021 includes the results of our PCB Test business, which incurred $3.3 million of SG&amp;A expense prior to its disposition on June 24, 2021. During 2022 SG&amp;A expense has increased due to higher labor and professional services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Purchased Intangible Assets</w:t>
      </w: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Amortization of purchased intangibles is the process of expensing the cost of an intangible asset acquired through a business combination over the projected life of the asset. Amortization of acquisition-related intangible assets was $33.2 million and $35.4 million for 2022 and 2021, respectively. The decrease in expense recorded during 2021 was a result of fluctuations in exchange rates and the sale of PCB Test business on June 24, 2021 as remaining purchased intangible assets that were being amortized were written-off as part of the sale.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PCB Test Business</w:t>
      </w:r>
    </w:p>
    <w:p>
      <w:pPr>
        <w:spacing w:after="0" w:line="221" w:lineRule="exact"/>
        <w:rPr>
          <w:sz w:val="20"/>
          <w:szCs w:val="20"/>
          <w:color w:val="auto"/>
        </w:rPr>
      </w:pPr>
    </w:p>
    <w:p>
      <w:pPr>
        <w:jc w:val="both"/>
        <w:ind w:right="240"/>
        <w:spacing w:after="0" w:line="307" w:lineRule="auto"/>
        <w:rPr>
          <w:sz w:val="20"/>
          <w:szCs w:val="20"/>
          <w:color w:val="auto"/>
        </w:rPr>
      </w:pPr>
      <w:r>
        <w:rPr>
          <w:rFonts w:ascii="Arial" w:cs="Arial" w:eastAsia="Arial" w:hAnsi="Arial"/>
          <w:sz w:val="16"/>
          <w:szCs w:val="16"/>
          <w:color w:val="auto"/>
        </w:rPr>
        <w:t>On June 24, 2021, we completed the divestment of our PCB Test business which resulted in a gain of $70.8 million in 2021. As part of the transaction we also sold certain intellectual property held by our Semiconductor Test &amp; Inspection segment that is utilized by the PCB Test business. Our decision to sell this non-core business resulted from management’s determination that that the PCB test business was no longer a fit within our organization.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Subsequent to the merger with Xcerra in the fourth quarter 2018, we began a strategic restructuring program designed to reposition our organization and improve our cost structure as part of our targeted integration plan regarding Xcerra. In connection with the integration plan, we recorded restructuring charges totaling $0.6 million and $1.8 million in 2022 and 2021, respectively. The decrease in expense year-over-year is a result of fewer activities under the restructuring projects.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4, “Restructuring Charges” in Part IV, Item 15(a) of this Form 10-K for additional information with respect to restructuring charges.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During the fourth quarter of 2021 we completed and transferred to developed technology our last remaining in-process technology project which we tested for impairment as part of this process. A change in forecasted results of this project led to an impairment charge of $0.1 million being recorded in the fourth quarter of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Income</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Interest expense was $4.2 million in 2022 compared to $6.4 million in 2021. The year-over-year decrease in our interest expense resulted from a reduction in the outstanding balance of our Term Loan Credit Facility.</w:t>
      </w:r>
    </w:p>
    <w:p>
      <w:pPr>
        <w:spacing w:after="0" w:line="17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Interest income was $4.0 million and $0.2 million in 2022 and 2021, respectively. The increase in interest income year-over-year is a result of increased investments and higher rates.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Transaction Gain (Loss) and Other</w:t>
      </w:r>
    </w:p>
    <w:p>
      <w:pPr>
        <w:spacing w:after="0" w:line="22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have operations in foreign countries and conduct business in the local currency in these countries. Starting in the fourth quarter of 2020, we began entering into foreign currency forward contracts to hedge against future movements in foreign exchange rates that affect certain U.S. Dollar denominated assets and liabilities that are held at our subsidiaries whose functional currency is the local currency. During both 2022 and 2021, the U.S. Dollar strengthened against the Swiss Franc, Euro and Japanese Yen resulting in foreign currency gains. During 2022 we recognized gains of $1.6 million, net of $5.4 million of losses generated by our foreign currency forward contracts and in 2021 we recognized gains of $0.4 million, net of $3.4 million of losses generated by our foreign currency forward contracts.</w:t>
      </w:r>
    </w:p>
    <w:p>
      <w:pPr>
        <w:sectPr>
          <w:pgSz w:w="11900" w:h="16838" w:orient="portrait"/>
          <w:cols w:equalWidth="0" w:num="1">
            <w:col w:w="11200"/>
          </w:cols>
          <w:pgMar w:left="320" w:top="125" w:right="379" w:bottom="1440" w:gutter="0" w:footer="0" w:header="0"/>
        </w:sectPr>
      </w:pP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See Note 7 “Derivative Financial Instruments” in Part IV, Item 15(a) of this Form 10-K for additional information with respect to our foreign currency forward contracts.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income tax provision expressed as a percentage of pre-tax income or loss in 2022 and 2021 was 23.6% and 13.0%, respectively. The increase in the provision for income taxes from 2021 to 2022 is primarily related to the changes in our jurisdictional mix of income, offset by lower GILTI inclusion and foreign tax withholdings and other factors.</w:t>
      </w:r>
    </w:p>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9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the evidence available including a lack of sustainable earnings and history of expiring unused NOLs, and tax credits, we continue to maintain our judgement that a previously recorded valuation allowance against substantially of our net deferred tax assets in the United States is still required. If a change in judgement regarding this valuation allowance were to occur in the future, we will record a potentially material deferred tax benefit, which could result in a favorable impact on the effective tax rate in that period.</w:t>
      </w:r>
    </w:p>
    <w:p>
      <w:pPr>
        <w:spacing w:after="0" w:line="190"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Our valuation allowance on our DTAs at December 31, 2022, and December 25, 2021, was approximately $89.2 million and $76.3 million, respectively. The remaining gross DTAs for which a valuation allowance was not recorded are realizable primarily through future reversals of existing taxable temporary differences and to a lesser extent future taxable income in certain jurisdictions exclusive of reversing temporary differences and carryforwards.</w:t>
      </w:r>
    </w:p>
    <w:p>
      <w:pPr>
        <w:spacing w:after="0" w:line="15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9, “Income Taxes”, included in Part IV, Item 15(a) of this Form 10-K, which is incorporated herein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$96.8 million in 2022 and $167.3 million in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The seasonal and volatile nature of demand for semiconductor equipment, our primary industry, makes estimates of future revenues, results of operations and net cash flows difficult.</w:t>
      </w:r>
    </w:p>
    <w:p>
      <w:pPr>
        <w:spacing w:after="0" w:line="18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December 31, 2022, $154.5 million or 40.1% of our cash, cash equivalents and short-term investments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2022, our total indebtedness, net of discount and deferred financing costs, was $79.0 million, which included $66.2 million outstanding under the Term Loan Credit Facility, $2.5 million outstanding under Kita’s term loans, $8.4 million outstanding under Cohu GmbH’s construction loans, and $1.9 million outstanding under Kita’s lines of credit.</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2021, we closed an underwritten follow-on public offering totaling 5,692,500 shares of our common stock at $41.00 per share, raising net proceeds of approximately $223.1 million, after deducting underwriting discounts and commissions and offering expenses. We used $100.0 million of the net proceeds of this offering to repay outstanding principal on our Term Loan Credit Facility and we intend to use the rest for general corporate purposes, including to fund future growth initiatives. On June 30, 2021, we prepaid an additional $100.0 million of our Term Loan Credit Facility utilizing a portion of the net proceeds from the sale of our PCB Test business. In 2022, we repurchased 1,767,070 shares of our outstanding common stock for $50.7 million to be held as treasury stock.</w:t>
      </w:r>
    </w:p>
    <w:p>
      <w:pPr>
        <w:spacing w:after="0" w:line="1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 A discussion of cash flows for the year ended December 26, 2020 has been omitted from this Annual Report on Form 10-K, but may be found in “Item 7. Management’s Discussion and Analysis of Financial Condition and Results of Operations,” under the heading “Liquidity and Capital Resources” in our Annual Report on Form 10-K for the year ended December 25, 2021, filed with the SEC on February 18, 2022, which discussion is incorporated herein by reference and which is available free of charge on the SEC’s website at www.sec.gov.</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31, 2022 and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Percentage</w:t>
            </w:r>
          </w:p>
        </w:tc>
      </w:tr>
      <w:tr>
        <w:trPr>
          <w:trHeight w:val="228"/>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95"/>
              </w:rPr>
              <w:t>Increase</w:t>
            </w: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Change</w:t>
            </w:r>
          </w:p>
        </w:tc>
      </w:tr>
      <w:tr>
        <w:trPr>
          <w:trHeight w:val="20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385,576</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379,905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5,671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Working capital</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603,979</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558,334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45,645</w:t>
            </w: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provided by operating activities consists of our net income adjusted for non-cash expenses and changes in operating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These adjustments include impairment charges, depreciation expense on property, plant and equipment, share-based compensation expense, amortization of intangible assets, deferred income taxes, amortization of cloud-based software implementation costs, loss on extinguishment of debt, interest capitalized associated with cloud computing implementation, amortization of debt discounts and issuance costs and gains from the sale of our PCB Test business and property, plant and equipment. Our net cash flows provided by operating activities in 2022 totaled $112.9 million compared to $97.9 million in 2021. Cash provided by operating activities in the current year was a result of an increase in net income as compared to a net loss in the prior year. Cash provided by operating activities was also impacted by changes in current assets and liabilities which included decreases in accounts payable and accounts receivable. The timing of payments to our suppliers resulted in the $33.1 million decrease in accounts payable, and net sales in the fourth quarter of 2022 and the timing of the resulting cash conversion cycle drove the $12.5 million decrease in accounts receivable. Deferred profit decreased $5.0 million as a result of the recognition of revenue that had been previously deferred in accordance with our revenue recognition policy, and accrued compensation, warranty and other liabilities decreased $4.0 million due to lower business volume resulting in lower rates of accrual. Cash provided by operating activities was also impacted by increases in income taxes payable of $20.9 million a result of higher income tax to be paid in certain jurisdictions. During 2022, inventories increased $18.5 million due to purchases from suppliers made in the fourth quarter to fulfill anticipated future shipments of product, and other current assets increased $16.2 million due to income tax prepayments and supplier advance deposits for inventory that will be received over the next twelve months.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Investing cash flows consist primarily of cash used for capital expenditures in support of our business, purchases of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acquisitions and proceeds from investment maturities, asset disposals and business divestitures. Our net cash used in investing activities in 2022 totaled $67.9 million. In 2022 we used $208.9 million in cash for purchases of short-term investments and generated $155.4 million from sales and maturities. We invest our excess cash, in an attempt to seek the highest available return while preserving capital, in short-term investments since excess cash may be required for a business-related purpose. Additions to property, plant and equipment in 2022 were $14.8 million and were made to support our operating and development activities. Our net cash provided by investing activities in 2021 totaled $39.9 million. In 2021 we used $12.0 million for additions to property, plant and equipment and we used $204.7 million in cash for purchases of short-term investments and generated $135.5 million from sales and maturities. Our net cash provided by investing activities in 2021 also included the net cash proceeds of $120.9 million from the sale of our PCB Test business on June 24, 2021. The decision to sell our PCB Test business resulted from Cohu management’s determination that this industry segment was not a fit within our organization and we could utilize the proceeds from the sale business to reduce outstanding debt and invest in growth opportunities in line with our core business strategy.</w:t>
      </w:r>
    </w:p>
    <w:p>
      <w:pPr>
        <w:spacing w:after="0" w:line="18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Financing cash flows consist primarily of net proceeds from the issuance of common stock from an underwritten public offering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our stock option and employee stock purchase plans and repayments of debt, net of new borrowings. In fiscal 2022, our cash used in financing activities totaled $91.1 million. In fiscal 2021, our cash provided by financing activities totaled $6.5 million. In March 2021, we closed an underwritten public offering totaling 5,692,500 shares of our common stock at $41.00 per share, raising net proceeds of approximately $223.1 million, after deducting underwriting discounts and commissions and offering expenses. Repayments of short-term borrowings and long-term debt during 2022 totaled $38.2 million, which includes $31.7 million of cash prepayments of our Term Loan Credit Facility. During 2021 our repayments totaled $206.1 million and included $200.0 million of cash prepayments of our Term Loan Credit Facility using proceeds from our underwritten public offering and the sale of our PCB Test business to deleverage our balance sheet. In 2021, we received proceeds under a revolving line of credit and construction loan totaling $1.4 million. Proceeds from the construction loan was used to expand our facility in Kolbermoor, Germany, enabling us to consolidate the German operations of our Semiconductor Test &amp; Inspection segment. Proceeds from the revolving line of credit are being used to increase the manufacturing capacity of our Semiconductor Test &amp; Inspection segment facility located in Osaka, Japan. During 2022 and 2021, we made payments totaling $50.7 million and $7.3 million, respectively for shares of our common stock repurchased under our share repurchase program to be held as treasury stock. We issue restricted stock units, stock options and maintain an employee stock purchase plan as components of our overall employee compensation. In 2022, cash used to settle the minimum statutory tax withholding requirements on behalf of our employees upon vesting of restricted and performance stock awards, net of proceeds from shares issued under our employee stock purchase plan and from the exercise of employee stock options was $2.0 million. In 2021, net cash used to settle the minimum statutory tax withholding requirements on behalf of our employees totaled $4.4 million. The decrease in cash used to settle tax withholding requirements between 2022 and 2021 is directly correlated to the decrease in Cohu’s stock price at the end of March year over year when the majority of awards vest.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On October 28, 2021, we announced that our Board of Directors authorized a $70 million share repurchase program. On October 25, 2022, our Board of Directors authorized an additional $70 million under the share repurchase program. This share repurchase program was effective as of November 2, 2021, and has no expiration date.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For the year ended December 31, 2022, we repurchased 1,767,070 shares of our common stock for $50.7 million to be held as treasury stock. As of December 31, 2022, we may purchase up to $82.0 million of shares of our common stock under our share repurchase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have access to credit facilitates and other borrowings provided by financial institutions to finance acquisitions, capital expenditures and our operations if needed. A summary of our borrowings and available credit is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must be repaid on or before October 1, 2025. The loans under the Term Loan Credit Facility bear interest, at Cohu’s option, at a floating annual rate equal to LIBOR plus a margin of 3.00%. At December 31, 2022, the outstanding loan balance, net of discount and deferred financing costs, was $66.2 million and $3.2 million of the outstanding balance is presented as current installments of long-term debt in our consolidated balance sheets. At December 25, 2021, the outstanding loan balance, net of discount and deferred financing costs, was $101.6 million and $10.1 million of the outstanding balance is presented as current installments of long-term debt in our consolidated balance sheets. As of December 31, 2022, the fair value of the debt was $66.6 million. The measurement of the fair value of debt is based on the average of the bid and ask trading quotes as of December 31, 2022 and is considered a Level 2 fair value measurement.</w:t>
      </w:r>
    </w:p>
    <w:p>
      <w:pPr>
        <w:spacing w:after="0" w:line="16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terms of the Credit Agreement, the lender may accelerate the payment terms upon the occurrence of certain events of default set forth therein, which include: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As of December 31, 2022, we believe no such events of default have occurred.</w:t>
      </w:r>
    </w:p>
    <w:p>
      <w:pPr>
        <w:spacing w:after="0" w:line="16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2022, we prepaid $31.8 million in principal of our Term Loan Credit Facility for $31.7 million in cash. We accounted for the prepayment as a debt extinguishment, which resulted in a loss of $0.3 million reflected in our consolidated statement of operations and a $0.4 million reduction in debt discounts and deferred financing costs in our consolidated balance sheets. During 2021, we repurchased $200.0 million in principal of our Term Loan Credit Facility for $200.0 million in cash. We accounted for the repurchase as a debt extinguishment, which resulted in a loss of $3.4 million reflected in our consolidated statement of operations, as well as a $3.4 million reduction in debt discounts and deferred financing costs in our consolidated balance sheets. Approximately $67.0 million in principal of the Term Loan Credit Facility remains outstanding as of December 31,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Kita Term Loans</w:t>
      </w:r>
    </w:p>
    <w:p>
      <w:pPr>
        <w:spacing w:after="0" w:line="2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a result of our acquisition of Kita, we assumed term loans from a series of Japanese financial institutions primarily related to the expansion of Kita’s facility in Osaka, Japan. The loans are collateralized by the facility and land, carry interest rates ranging from 0.05% to 0.43%, and expire at various dates through 2034. At December 31, 2022, the outstanding loan balance was $2.5 million and $0.2 million of the outstanding balance is presented as current installments of long-term debt in our consolidated balance sheets. At December 25, 2021, the outstanding loan balance was $3.1 million and $0.2 million of the outstanding balance is presented as current installments of long-term debt in our consolidated balance sheets. The term loans are denominated in Japanese Yen and, as a result, amounts disclosed herein will fluctuate because of changes in currency exchange rates.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Construction Loans</w:t>
      </w:r>
    </w:p>
    <w:p>
      <w:pPr>
        <w:spacing w:after="0" w:line="2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July 2019 and June 2020, one of our wholly owned subsidiaries located in Germany entered into a series of construction loans (“Loan Facilities”) with a German financial institution providing it with total borrowings of up to €10.1 million. The Loan Facilities are being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At December 31, 2022, total outstanding borrowings under the Loan Facilities was $8.4 million with $1.0 million of the total outstanding balance being presented as current installments of long-term debt in our consolidated balance sheets. At December 25, 2021, total outstanding borrowings under the Loan Facilities was $10.0 million with $1.0 million of the total outstanding balance being presented as current installments of long-term debt in our consolidated balance sheets. The loans are denominated in Euros and, as a result, amounts disclosed herein will fluctuate because of changes in currency exchange rates. The fair value of the debt approximates the carrying value at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Lines of Credit</w:t>
      </w: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960 million Japanese Yen of which 250 million Japanese Yen is drawn. At December 31, 2022, total borrowings outstanding under the revolving lines of credit were $1.9 million. As these credit facility agreements renew monthly, they have been included in short-term borrowings in our consolidated balance sheets.</w:t>
      </w:r>
    </w:p>
    <w:p>
      <w:pPr>
        <w:spacing w:after="0" w:line="19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revolving lines of credit are denominated in Japanese Yen and, as a result, amounts disclosed herein will fluctuate because of changes in currency exchange rates.</w:t>
      </w:r>
    </w:p>
    <w:p>
      <w:pPr>
        <w:spacing w:after="0" w:line="175" w:lineRule="exact"/>
        <w:rPr>
          <w:sz w:val="20"/>
          <w:szCs w:val="20"/>
          <w:color w:val="auto"/>
        </w:rPr>
      </w:pPr>
    </w:p>
    <w:p>
      <w:pPr>
        <w:ind w:right="60"/>
        <w:spacing w:after="0" w:line="335" w:lineRule="auto"/>
        <w:rPr>
          <w:sz w:val="20"/>
          <w:szCs w:val="20"/>
          <w:color w:val="auto"/>
        </w:rPr>
      </w:pPr>
      <w:r>
        <w:rPr>
          <w:rFonts w:ascii="Arial" w:cs="Arial" w:eastAsia="Arial" w:hAnsi="Arial"/>
          <w:sz w:val="16"/>
          <w:szCs w:val="16"/>
          <w:color w:val="auto"/>
        </w:rPr>
        <w:t>Our wholly owned subsidiary in Switzerland has one available line of credit which provides it with borrowings of up to a total of 2.0 million Swiss Francs, a portion of which is reserved for tax guarantees. At December 31, 2022 and December 25, 2021, no amounts were outstanding under this line of credit.</w:t>
      </w:r>
    </w:p>
    <w:p>
      <w:pPr>
        <w:spacing w:after="0" w:line="12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As of December 31, 2022, $0.3 million was outstanding under standby letters of credit and bank guarantees.</w:t>
      </w:r>
    </w:p>
    <w:p>
      <w:pPr>
        <w:spacing w:after="0" w:line="15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following table summarizes our significant contractual obligations at December 31, 2022, and the effect such obligations are expected to have on our liquidity and cash flows in future periods. Amounts excluded include our liability for unrecognized tax benefits that totaled approximately $33.4 million at December 31, 2022. We are currently unable to provide a reasonably reliable estimate of the amount or period(s) the cash settlement of this liability may occur.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year-end</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2024-2025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5"/>
              </w:rPr>
              <w:t>2026-2027</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3"/>
              </w:rPr>
              <w:t>Thereafter</w:t>
            </w:r>
          </w:p>
        </w:tc>
        <w:tc>
          <w:tcPr>
            <w:tcW w:w="100" w:type="dxa"/>
            <w:vAlign w:val="bottom"/>
          </w:tcPr>
          <w:p>
            <w:pPr>
              <w:spacing w:after="0"/>
              <w:rPr>
                <w:sz w:val="19"/>
                <w:szCs w:val="19"/>
                <w:color w:val="auto"/>
              </w:rPr>
            </w:pPr>
          </w:p>
        </w:tc>
      </w:tr>
      <w:tr>
        <w:trPr>
          <w:trHeight w:val="208"/>
        </w:trPr>
        <w:tc>
          <w:tcPr>
            <w:tcW w:w="4640" w:type="dxa"/>
            <w:vAlign w:val="bottom"/>
            <w:shd w:val="clear" w:color="auto" w:fill="CCEEFF"/>
          </w:tcPr>
          <w:p>
            <w:pPr>
              <w:spacing w:after="0" w:line="207" w:lineRule="exact"/>
              <w:rPr>
                <w:sz w:val="20"/>
                <w:szCs w:val="20"/>
                <w:color w:val="auto"/>
              </w:rPr>
            </w:pPr>
            <w:r>
              <w:rPr>
                <w:rFonts w:ascii="Arial" w:cs="Arial" w:eastAsia="Arial" w:hAnsi="Arial"/>
                <w:sz w:val="15"/>
                <w:szCs w:val="15"/>
                <w:color w:val="auto"/>
              </w:rPr>
              <w:t xml:space="preserve">Operating leases </w:t>
            </w:r>
            <w:r>
              <w:rPr>
                <w:rFonts w:ascii="Arial" w:cs="Arial" w:eastAsia="Arial" w:hAnsi="Arial"/>
                <w:sz w:val="24"/>
                <w:szCs w:val="24"/>
                <w:color w:val="auto"/>
                <w:vertAlign w:val="superscript"/>
              </w:rPr>
              <w:t>(1)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29,812</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00" w:type="dxa"/>
            <w:vAlign w:val="bottom"/>
            <w:shd w:val="clear" w:color="auto" w:fill="CCEEFF"/>
          </w:tcPr>
          <w:p>
            <w:pPr>
              <w:spacing w:after="0"/>
              <w:rPr>
                <w:sz w:val="18"/>
                <w:szCs w:val="18"/>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Bank term loans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principal and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10,132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75,925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18"/>
                <w:szCs w:val="18"/>
                <w:color w:val="auto"/>
              </w:rPr>
            </w:pPr>
          </w:p>
        </w:tc>
      </w:tr>
      <w:tr>
        <w:trPr>
          <w:trHeight w:val="214"/>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464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125,497</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18,286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87,029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7,118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13,064</w:t>
            </w: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left="360" w:hanging="353"/>
        <w:spacing w:after="0"/>
        <w:tabs>
          <w:tab w:leader="none" w:pos="3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Excludes an insignificant amount of short-term lease obligations.</w:t>
      </w:r>
    </w:p>
    <w:p>
      <w:pPr>
        <w:spacing w:after="0" w:line="21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13, “Guarantees” in Part IV, Item 15(a) of this Form 10-K.</w:t>
      </w:r>
    </w:p>
    <w:p>
      <w:pPr>
        <w:spacing w:after="0" w:line="18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 xml:space="preserve">Commitments to contract manufacturers and suppliers. </w:t>
      </w:r>
      <w:r>
        <w:rPr>
          <w:rFonts w:ascii="Arial" w:cs="Arial" w:eastAsia="Arial" w:hAnsi="Arial"/>
          <w:sz w:val="16"/>
          <w:szCs w:val="16"/>
          <w:color w:val="auto"/>
        </w:rPr>
        <w:t>From time-to-time, we enter into commitments with our vendors and outsourcing partners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31, 2022, $0.3 million was outstanding under standby letters of credit.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2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At December 31, 2022, our investment portfolio included short-term, fixed-income investment securities with a fair value of approximately $143.2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1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31, 2022, the cost and fair value of investments with loss positions were approximately $86.3 million and $85.5 million, respectively. We evaluated the nature of these investments, credit worthiness of the issuer and the duration of these impairments and concluded that these losses were temporary and we have the ability and intent to hold these investments to maturity.</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long-term debt is carried at amortized cost, and fluctuations in interest rates do not impact our consolidated financial statements. However, the fair value of our debt will generally fluctuate with movements of interest rates, increasing in periods of declining rates of interest and declining in periods of increasing rates of interest. As of December 31, 2022, we have approximately $67.0 million of long-term debt due under a Term Loan Credit Facility that is subject to quarterly interest payments that are based on either a base rate plus a margin of up to 2.0% per annum, or the London Interbank Offered Rate (“LIBOR”) plus a margin of up to 3.0% per annum. The selection of the interest rate formula is at our discretion. The interest rate otherwise payable under the Term Loan Credit Facility would be subject to increase by 2.0% per annum during the continuance of a payment default and may be subject to increase by 2.0% per annum with respect to the overdue principal amount of any loans outstanding and overdue interest payments and other overdue fees and amounts. At December 31, 2022, the interest rate in effect on these borrowings was 6.37%.</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July 2017, the UK’s Financial Conduct Authority (“FCA”), which regulates the LIBOR, announced that it intended to phase out LIBOR by the end of 2021. In March 2021, the FCA announced an extension of the phase out in the case of U.S. dollar settings for certain tenors until the end of June 2023. Various central bank committees and working groups continue to discuss replacement of benchmark rates, the process for amending existing LIBOR-based contracts, and the potential economic impacts of different alternatives. It is unclear whether new methods of calculating LIBOR will be established such that it continues to exist after 2023. While the U.S. Federal Reserve, in conjunction with the Alternative Reference Rates Committee, has chosen the secured overnight financing rate (“SOFR”) as the recommended risk-free reference rate for the U.S, we cannot currently predict the extent to which this index will gain widespread acceptance as a replacement for LIBOR. We cannot currently predict the effect of the discontinuation of, or other changes to, LIBOR or any establishment of alternative reference rates in the United States, the European Union or elsewhere on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Our Term Loan Credit Facility constitutes our most significant exposure to this transition and there is no guarantee that a shift from LIBOR to a new reference rate will not result in increases to our borrowing costs.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0"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spacing w:after="0" w:line="19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During the fourth quarter of 2020, we began entering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in order to mitigate the risks and volatility associated with foreign currency transaction gains or losses.</w:t>
      </w:r>
    </w:p>
    <w:p>
      <w:pPr>
        <w:spacing w:after="0" w:line="15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 accounts are translated at an average exchange rate during the year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December 31, 2022 compared to December 25, 2021, our stockholders’ equity decreased by $18.0 million as a result of the foreign currency translation.</w:t>
      </w:r>
    </w:p>
    <w:p>
      <w:pPr>
        <w:spacing w:after="0" w:line="19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Based upon the current levels of net foreign assets, a hypothetical 10% devaluation of the U.S. dollar as compared to these currencies as of December 31, 2022 would result in an approximate $34.2 million positive translation adjustment recorded in other comprehensive income within stockholders’ equity. Conversely, a hypothetical 10% appreciation of the U.S. dollar as compared to these currencies as of December 31, 2022 would result in an approximate $34.2 million negative translation adjustment recorded in other comprehensive income within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color w:val="auto"/>
        </w:rPr>
        <w:t xml:space="preserve">Conclusion Regarding the Effectiveness of Disclosure Controls and Procedures - </w:t>
      </w:r>
      <w:r>
        <w:rPr>
          <w:rFonts w:ascii="Arial" w:cs="Arial" w:eastAsia="Arial" w:hAnsi="Arial"/>
          <w:sz w:val="17"/>
          <w:szCs w:val="17"/>
          <w:color w:val="auto"/>
        </w:rPr>
        <w:t>Under the supervision and with the participation of our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31, 2022, the end of the period covered by this annual report.</w:t>
      </w:r>
    </w:p>
    <w:p>
      <w:pPr>
        <w:spacing w:after="0" w:line="17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was no change in our internal control over financial reporting (as defined in Rules 13a-15(f) and 15d-15(f) under the Exchange Act) during the three months ended December 31, 2022, that has materially affected, or is reasonably likely to materially affect, our internal control over financial reporting.</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Management</w:t>
      </w:r>
      <w:r>
        <w:rPr>
          <w:rFonts w:ascii="Arial" w:cs="Arial" w:eastAsia="Arial" w:hAnsi="Arial"/>
          <w:sz w:val="17"/>
          <w:szCs w:val="17"/>
          <w:color w:val="auto"/>
        </w:rPr>
        <w:t>’</w:t>
      </w:r>
      <w:r>
        <w:rPr>
          <w:rFonts w:ascii="Arial" w:cs="Arial" w:eastAsia="Arial" w:hAnsi="Arial"/>
          <w:sz w:val="17"/>
          <w:szCs w:val="17"/>
          <w:b w:val="1"/>
          <w:bCs w:val="1"/>
          <w:color w:val="auto"/>
        </w:rPr>
        <w:t xml:space="preserve">s Annual Report on Internal Control Over Financial Reporting - </w:t>
      </w:r>
      <w:r>
        <w:rPr>
          <w:rFonts w:ascii="Arial" w:cs="Arial" w:eastAsia="Arial" w:hAnsi="Arial"/>
          <w:sz w:val="17"/>
          <w:szCs w:val="17"/>
          <w:color w:val="auto"/>
        </w:rPr>
        <w:t>Our management is responsible for establishing and maintaining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(2013 framework).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31, 2022.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31, 2022, as stated in their report which is included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Cohu, Inc.’s internal control over financial reporting as of December 31, 2022, based on criteria established in Internal Control—Integrated Framework issued by the Committee of Sponsoring Organizations of the Treadway Commission (2013 framework) (the COSO criteria). In our opinion, Cohu, Inc. (the Company) maintained, in all material respects, effective internal control over financial reporting as of December 31, 2022, based on the COSO criteria.</w:t>
      </w:r>
    </w:p>
    <w:p>
      <w:pPr>
        <w:spacing w:after="0" w:line="190"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December 25, 2021, and the related consolidated statements of operations, comprehensive income, stockholders’ equity, and cash flows for each of the three years in the period ended December 31, 2022, and the related notes and the financial statement schedule listed in the Index at Item 15(a) and our report dated February 17, 2023, expressed an unqualified opinion thereon.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5" w:lineRule="exact"/>
        <w:rPr>
          <w:sz w:val="20"/>
          <w:szCs w:val="20"/>
          <w:color w:val="auto"/>
        </w:rPr>
      </w:pPr>
    </w:p>
    <w:p>
      <w:pPr>
        <w:jc w:val="both"/>
        <w:ind w:right="380"/>
        <w:spacing w:after="0" w:line="28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under the heading “Information About Our Executive Officers” in Part I, Item 1 of this Form 10-K is incorporated by reference in this section. The other information required by this item is hereby incorporated by reference to Cohu’s definitive proxy statement, which will be filed with the Securities and Exchange Commission (SEC) within 120 days after the close of fiscal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Code of Ethics</w:t>
      </w:r>
    </w:p>
    <w:p>
      <w:pPr>
        <w:spacing w:after="0" w:line="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 within four business days of such amendment or waiver.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 and Certain Committee Charters</w:t>
      </w:r>
    </w:p>
    <w:p>
      <w:pPr>
        <w:spacing w:after="0" w:line="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our website is not incorporated by reference in or considered to be a part of this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Information regarding Executive Compensation is hereby incorporated by reference to Cohu’s definitive proxy statement, which will be filed with the SEC within 120 days after the close of fiscal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ind w:right="400"/>
        <w:spacing w:after="0" w:line="301" w:lineRule="auto"/>
        <w:rPr>
          <w:sz w:val="20"/>
          <w:szCs w:val="20"/>
          <w:color w:val="auto"/>
        </w:rPr>
      </w:pPr>
      <w:r>
        <w:rPr>
          <w:rFonts w:ascii="Arial" w:cs="Arial" w:eastAsia="Arial" w:hAnsi="Arial"/>
          <w:sz w:val="17"/>
          <w:szCs w:val="17"/>
          <w:color w:val="auto"/>
        </w:rPr>
        <w:t>Information regarding Security Ownership of Certain Beneficial Owners and Management and Related Stockholder Matters is hereby incorporated by reference to Cohu’s definitive proxy statement, which will be filed with the SEC within 120 days after the close of fiscal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Information regarding Certain Relationships and Related Transactions, and Director Independence is hereby incorporated by reference to Cohu’s definitive proxy statement, which will be filed with the SEC within 120 days after the close of fiscal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Cohu’s definitive proxy statement, which will be filed with the SEC within 120 days after the close of fiscal 2022.</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220" w:lineRule="exact"/>
        <w:rPr>
          <w:rFonts w:ascii="Arial" w:cs="Arial" w:eastAsia="Arial" w:hAnsi="Arial"/>
          <w:sz w:val="18"/>
          <w:szCs w:val="18"/>
          <w:color w:val="auto"/>
        </w:rPr>
      </w:pPr>
    </w:p>
    <w:p>
      <w:pPr>
        <w:ind w:left="640" w:hanging="312"/>
        <w:spacing w:after="0"/>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48" w:lineRule="exact"/>
        <w:rPr>
          <w:sz w:val="20"/>
          <w:szCs w:val="20"/>
          <w:color w:val="auto"/>
        </w:rPr>
      </w:pPr>
    </w:p>
    <w:p>
      <w:pPr>
        <w:ind w:right="380" w:firstLine="802"/>
        <w:spacing w:after="0" w:line="271"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46: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4"/>
              </w:rPr>
              <w:t>Form 10-K</w:t>
            </w:r>
          </w:p>
        </w:tc>
      </w:tr>
      <w:tr>
        <w:trPr>
          <w:trHeight w:val="389"/>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0"/>
          </w:tcPr>
          <w:p>
            <w:pPr>
              <w:ind w:left="20"/>
              <w:spacing w:after="0"/>
              <w:rPr>
                <w:sz w:val="20"/>
                <w:szCs w:val="20"/>
                <w:color w:val="auto"/>
              </w:rPr>
            </w:pPr>
            <w:r>
              <w:rPr>
                <w:rFonts w:ascii="Arial" w:cs="Arial" w:eastAsia="Arial" w:hAnsi="Arial"/>
                <w:sz w:val="18"/>
                <w:szCs w:val="18"/>
                <w:color w:val="auto"/>
              </w:rPr>
              <w:t>Description</w:t>
            </w: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86"/>
              </w:rPr>
              <w:t>Page Number</w:t>
            </w: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408"/>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0"/>
          </w:tcPr>
          <w:p>
            <w:pPr>
              <w:ind w:left="20"/>
              <w:spacing w:after="0"/>
              <w:rPr>
                <w:sz w:val="20"/>
                <w:szCs w:val="20"/>
                <w:color w:val="auto"/>
              </w:rPr>
            </w:pPr>
            <w:r>
              <w:rPr>
                <w:rFonts w:ascii="Arial" w:cs="Arial" w:eastAsia="Arial" w:hAnsi="Arial"/>
                <w:sz w:val="18"/>
                <w:szCs w:val="18"/>
                <w:color w:val="0000EE"/>
              </w:rPr>
              <w:t>Consolidated Balance Sheets at December 31, 2022 and December 25, 2021</w:t>
            </w:r>
          </w:p>
        </w:tc>
        <w:tc>
          <w:tcPr>
            <w:tcW w:w="560" w:type="dxa"/>
            <w:vAlign w:val="bottom"/>
            <w:gridSpan w:val="2"/>
          </w:tcPr>
          <w:p>
            <w:pPr>
              <w:jc w:val="center"/>
              <w:ind w:left="311"/>
              <w:spacing w:after="0"/>
              <w:rPr>
                <w:sz w:val="20"/>
                <w:szCs w:val="20"/>
                <w:color w:val="auto"/>
              </w:rPr>
            </w:pPr>
            <w:r>
              <w:rPr>
                <w:rFonts w:ascii="Arial" w:cs="Arial" w:eastAsia="Arial" w:hAnsi="Arial"/>
                <w:sz w:val="18"/>
                <w:szCs w:val="18"/>
                <w:color w:val="0000EE"/>
                <w:w w:val="79"/>
              </w:rPr>
              <w:t>45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60" w:type="dxa"/>
            <w:vAlign w:val="bottom"/>
            <w:gridSpan w:val="6"/>
          </w:tcPr>
          <w:p>
            <w:pPr>
              <w:ind w:left="20"/>
              <w:spacing w:after="0"/>
              <w:rPr>
                <w:sz w:val="20"/>
                <w:szCs w:val="20"/>
                <w:color w:val="auto"/>
              </w:rPr>
            </w:pPr>
            <w:r>
              <w:rPr>
                <w:rFonts w:ascii="Arial" w:cs="Arial" w:eastAsia="Arial" w:hAnsi="Arial"/>
                <w:sz w:val="18"/>
                <w:szCs w:val="18"/>
                <w:color w:val="0000EE"/>
                <w:w w:val="88"/>
              </w:rPr>
              <w:t>Consolidated Statements of Operations for each of the three years in the period ended December 31, 2022</w:t>
            </w:r>
          </w:p>
        </w:tc>
        <w:tc>
          <w:tcPr>
            <w:tcW w:w="1860" w:type="dxa"/>
            <w:vAlign w:val="bottom"/>
            <w:gridSpan w:val="4"/>
          </w:tcPr>
          <w:p>
            <w:pPr>
              <w:spacing w:after="0"/>
              <w:rPr>
                <w:sz w:val="24"/>
                <w:szCs w:val="24"/>
                <w:color w:val="auto"/>
              </w:rPr>
            </w:pPr>
          </w:p>
        </w:tc>
        <w:tc>
          <w:tcPr>
            <w:tcW w:w="560" w:type="dxa"/>
            <w:vAlign w:val="bottom"/>
            <w:gridSpan w:val="2"/>
          </w:tcPr>
          <w:p>
            <w:pPr>
              <w:jc w:val="center"/>
              <w:ind w:left="311"/>
              <w:spacing w:after="0"/>
              <w:rPr>
                <w:sz w:val="20"/>
                <w:szCs w:val="20"/>
                <w:color w:val="auto"/>
              </w:rPr>
            </w:pPr>
            <w:r>
              <w:rPr>
                <w:rFonts w:ascii="Arial" w:cs="Arial" w:eastAsia="Arial" w:hAnsi="Arial"/>
                <w:sz w:val="18"/>
                <w:szCs w:val="18"/>
                <w:color w:val="0000EE"/>
                <w:w w:val="79"/>
              </w:rPr>
              <w:t>46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80" w:type="dxa"/>
            <w:vAlign w:val="bottom"/>
            <w:gridSpan w:val="9"/>
          </w:tcPr>
          <w:p>
            <w:pPr>
              <w:ind w:left="20"/>
              <w:spacing w:after="0"/>
              <w:rPr>
                <w:sz w:val="20"/>
                <w:szCs w:val="20"/>
                <w:color w:val="auto"/>
              </w:rPr>
            </w:pPr>
            <w:r>
              <w:rPr>
                <w:rFonts w:ascii="Arial" w:cs="Arial" w:eastAsia="Arial" w:hAnsi="Arial"/>
                <w:sz w:val="18"/>
                <w:szCs w:val="18"/>
                <w:color w:val="0000EE"/>
                <w:w w:val="88"/>
              </w:rPr>
              <w:t>Consolidated Statements of Comprehensive Income for each of the three years in the period ended December 31, 2022</w:t>
            </w:r>
          </w:p>
        </w:tc>
        <w:tc>
          <w:tcPr>
            <w:tcW w:w="940" w:type="dxa"/>
            <w:vAlign w:val="bottom"/>
          </w:tcPr>
          <w:p>
            <w:pPr>
              <w:spacing w:after="0"/>
              <w:rPr>
                <w:sz w:val="24"/>
                <w:szCs w:val="24"/>
                <w:color w:val="auto"/>
              </w:rPr>
            </w:pPr>
          </w:p>
        </w:tc>
        <w:tc>
          <w:tcPr>
            <w:tcW w:w="560" w:type="dxa"/>
            <w:vAlign w:val="bottom"/>
            <w:gridSpan w:val="2"/>
          </w:tcPr>
          <w:p>
            <w:pPr>
              <w:jc w:val="center"/>
              <w:ind w:left="311"/>
              <w:spacing w:after="0"/>
              <w:rPr>
                <w:sz w:val="20"/>
                <w:szCs w:val="20"/>
                <w:color w:val="auto"/>
              </w:rPr>
            </w:pPr>
            <w:r>
              <w:rPr>
                <w:rFonts w:ascii="Arial" w:cs="Arial" w:eastAsia="Arial" w:hAnsi="Arial"/>
                <w:sz w:val="18"/>
                <w:szCs w:val="18"/>
                <w:color w:val="0000EE"/>
                <w:w w:val="79"/>
              </w:rPr>
              <w:t>47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80" w:type="dxa"/>
            <w:vAlign w:val="bottom"/>
            <w:gridSpan w:val="9"/>
          </w:tcPr>
          <w:p>
            <w:pPr>
              <w:ind w:left="20"/>
              <w:spacing w:after="0"/>
              <w:rPr>
                <w:sz w:val="20"/>
                <w:szCs w:val="20"/>
                <w:color w:val="auto"/>
              </w:rPr>
            </w:pPr>
            <w:r>
              <w:rPr>
                <w:rFonts w:ascii="Arial" w:cs="Arial" w:eastAsia="Arial" w:hAnsi="Arial"/>
                <w:sz w:val="18"/>
                <w:szCs w:val="18"/>
                <w:color w:val="0000EE"/>
                <w:w w:val="91"/>
              </w:rPr>
              <w:t>Consolidated Statements of Stockholders’ Equity for each of the three years in the period ended December 31, 2022</w:t>
            </w:r>
          </w:p>
        </w:tc>
        <w:tc>
          <w:tcPr>
            <w:tcW w:w="940" w:type="dxa"/>
            <w:vAlign w:val="bottom"/>
          </w:tcPr>
          <w:p>
            <w:pPr>
              <w:spacing w:after="0"/>
              <w:rPr>
                <w:sz w:val="24"/>
                <w:szCs w:val="24"/>
                <w:color w:val="auto"/>
              </w:rPr>
            </w:pPr>
          </w:p>
        </w:tc>
        <w:tc>
          <w:tcPr>
            <w:tcW w:w="560" w:type="dxa"/>
            <w:vAlign w:val="bottom"/>
            <w:gridSpan w:val="2"/>
          </w:tcPr>
          <w:p>
            <w:pPr>
              <w:jc w:val="center"/>
              <w:ind w:left="311"/>
              <w:spacing w:after="0"/>
              <w:rPr>
                <w:sz w:val="20"/>
                <w:szCs w:val="20"/>
                <w:color w:val="auto"/>
              </w:rPr>
            </w:pPr>
            <w:r>
              <w:rPr>
                <w:rFonts w:ascii="Arial" w:cs="Arial" w:eastAsia="Arial" w:hAnsi="Arial"/>
                <w:sz w:val="18"/>
                <w:szCs w:val="18"/>
                <w:color w:val="0000EE"/>
                <w:w w:val="79"/>
              </w:rPr>
              <w:t>48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20" w:type="dxa"/>
            <w:vAlign w:val="bottom"/>
            <w:gridSpan w:val="7"/>
          </w:tcPr>
          <w:p>
            <w:pPr>
              <w:ind w:left="20"/>
              <w:spacing w:after="0"/>
              <w:rPr>
                <w:sz w:val="20"/>
                <w:szCs w:val="20"/>
                <w:color w:val="auto"/>
              </w:rPr>
            </w:pPr>
            <w:r>
              <w:rPr>
                <w:rFonts w:ascii="Arial" w:cs="Arial" w:eastAsia="Arial" w:hAnsi="Arial"/>
                <w:sz w:val="18"/>
                <w:szCs w:val="18"/>
                <w:color w:val="0000EE"/>
                <w:w w:val="88"/>
              </w:rPr>
              <w:t>Consolidated Statements of Cash Flows for each of the three years in the period ended December 31, 2022</w:t>
            </w:r>
          </w:p>
        </w:tc>
        <w:tc>
          <w:tcPr>
            <w:tcW w:w="66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560" w:type="dxa"/>
            <w:vAlign w:val="bottom"/>
            <w:gridSpan w:val="2"/>
          </w:tcPr>
          <w:p>
            <w:pPr>
              <w:jc w:val="center"/>
              <w:ind w:left="311"/>
              <w:spacing w:after="0"/>
              <w:rPr>
                <w:sz w:val="20"/>
                <w:szCs w:val="20"/>
                <w:color w:val="auto"/>
              </w:rPr>
            </w:pPr>
            <w:r>
              <w:rPr>
                <w:rFonts w:ascii="Arial" w:cs="Arial" w:eastAsia="Arial" w:hAnsi="Arial"/>
                <w:sz w:val="18"/>
                <w:szCs w:val="18"/>
                <w:color w:val="0000EE"/>
                <w:w w:val="79"/>
              </w:rPr>
              <w:t>49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20" w:type="dxa"/>
            <w:vAlign w:val="bottom"/>
            <w:gridSpan w:val="7"/>
          </w:tcPr>
          <w:p>
            <w:pPr>
              <w:ind w:left="20"/>
              <w:spacing w:after="0"/>
              <w:rPr>
                <w:sz w:val="20"/>
                <w:szCs w:val="20"/>
                <w:color w:val="auto"/>
              </w:rPr>
            </w:pPr>
            <w:r>
              <w:rPr>
                <w:rFonts w:ascii="Arial" w:cs="Arial" w:eastAsia="Arial" w:hAnsi="Arial"/>
                <w:sz w:val="18"/>
                <w:szCs w:val="18"/>
                <w:color w:val="0000EE"/>
              </w:rPr>
              <w:t>Notes to Consolidated Financial Statements</w:t>
            </w:r>
          </w:p>
        </w:tc>
        <w:tc>
          <w:tcPr>
            <w:tcW w:w="1800" w:type="dxa"/>
            <w:vAlign w:val="bottom"/>
            <w:gridSpan w:val="3"/>
          </w:tcPr>
          <w:p>
            <w:pPr>
              <w:spacing w:after="0"/>
              <w:rPr>
                <w:sz w:val="24"/>
                <w:szCs w:val="24"/>
                <w:color w:val="auto"/>
              </w:rPr>
            </w:pPr>
          </w:p>
        </w:tc>
        <w:tc>
          <w:tcPr>
            <w:tcW w:w="560" w:type="dxa"/>
            <w:vAlign w:val="bottom"/>
            <w:gridSpan w:val="2"/>
          </w:tcPr>
          <w:p>
            <w:pPr>
              <w:jc w:val="center"/>
              <w:ind w:left="311"/>
              <w:spacing w:after="0"/>
              <w:rPr>
                <w:sz w:val="20"/>
                <w:szCs w:val="20"/>
                <w:color w:val="auto"/>
              </w:rPr>
            </w:pPr>
            <w:r>
              <w:rPr>
                <w:rFonts w:ascii="Arial" w:cs="Arial" w:eastAsia="Arial" w:hAnsi="Arial"/>
                <w:sz w:val="18"/>
                <w:szCs w:val="18"/>
                <w:color w:val="0000EE"/>
                <w:w w:val="79"/>
              </w:rPr>
              <w:t>50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60" w:type="dxa"/>
            <w:vAlign w:val="bottom"/>
            <w:gridSpan w:val="5"/>
          </w:tcPr>
          <w:p>
            <w:pPr>
              <w:ind w:left="20"/>
              <w:spacing w:after="0"/>
              <w:rPr>
                <w:sz w:val="20"/>
                <w:szCs w:val="20"/>
                <w:color w:val="auto"/>
              </w:rPr>
            </w:pPr>
            <w:r>
              <w:rPr>
                <w:rFonts w:ascii="Arial" w:cs="Arial" w:eastAsia="Arial" w:hAnsi="Arial"/>
                <w:sz w:val="18"/>
                <w:szCs w:val="18"/>
                <w:color w:val="0000EE"/>
                <w:w w:val="91"/>
              </w:rPr>
              <w:t>Report of Independent Registered Public Accounting Firm (PCAOB ID: 42)</w:t>
            </w:r>
          </w:p>
        </w:tc>
        <w:tc>
          <w:tcPr>
            <w:tcW w:w="3960" w:type="dxa"/>
            <w:vAlign w:val="bottom"/>
            <w:gridSpan w:val="5"/>
          </w:tcPr>
          <w:p>
            <w:pPr>
              <w:spacing w:after="0"/>
              <w:rPr>
                <w:sz w:val="24"/>
                <w:szCs w:val="24"/>
                <w:color w:val="auto"/>
              </w:rPr>
            </w:pPr>
          </w:p>
        </w:tc>
        <w:tc>
          <w:tcPr>
            <w:tcW w:w="560" w:type="dxa"/>
            <w:vAlign w:val="bottom"/>
            <w:gridSpan w:val="2"/>
          </w:tcPr>
          <w:p>
            <w:pPr>
              <w:jc w:val="center"/>
              <w:ind w:left="311"/>
              <w:spacing w:after="0"/>
              <w:rPr>
                <w:sz w:val="20"/>
                <w:szCs w:val="20"/>
                <w:color w:val="auto"/>
              </w:rPr>
            </w:pPr>
            <w:r>
              <w:rPr>
                <w:rFonts w:ascii="Arial" w:cs="Arial" w:eastAsia="Arial" w:hAnsi="Arial"/>
                <w:sz w:val="18"/>
                <w:szCs w:val="18"/>
                <w:color w:val="0000EE"/>
                <w:w w:val="79"/>
              </w:rPr>
              <w:t>78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7"/>
        </w:trPr>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9780" w:type="dxa"/>
            <w:vAlign w:val="bottom"/>
            <w:gridSpan w:val="11"/>
          </w:tcPr>
          <w:p>
            <w:pPr>
              <w:ind w:left="40"/>
              <w:spacing w:after="0"/>
              <w:rPr>
                <w:sz w:val="20"/>
                <w:szCs w:val="20"/>
                <w:color w:val="auto"/>
              </w:rPr>
            </w:pPr>
            <w:r>
              <w:rPr>
                <w:rFonts w:ascii="Arial" w:cs="Arial" w:eastAsia="Arial" w:hAnsi="Arial"/>
                <w:sz w:val="18"/>
                <w:szCs w:val="18"/>
                <w:color w:val="auto"/>
              </w:rPr>
              <w:t>Financial Statement Schedule</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0"/>
          </w:tcPr>
          <w:p>
            <w:pPr>
              <w:ind w:left="20"/>
              <w:spacing w:after="0"/>
              <w:rPr>
                <w:sz w:val="20"/>
                <w:szCs w:val="20"/>
                <w:color w:val="auto"/>
              </w:rPr>
            </w:pPr>
            <w:r>
              <w:rPr>
                <w:rFonts w:ascii="Arial" w:cs="Arial" w:eastAsia="Arial" w:hAnsi="Arial"/>
                <w:sz w:val="18"/>
                <w:szCs w:val="18"/>
                <w:color w:val="0000EE"/>
              </w:rPr>
              <w:t>Schedule II – Valuation and Qualifying Accounts</w:t>
            </w:r>
          </w:p>
        </w:tc>
        <w:tc>
          <w:tcPr>
            <w:tcW w:w="560" w:type="dxa"/>
            <w:vAlign w:val="bottom"/>
            <w:gridSpan w:val="2"/>
          </w:tcPr>
          <w:p>
            <w:pPr>
              <w:jc w:val="center"/>
              <w:ind w:left="311"/>
              <w:spacing w:after="0"/>
              <w:rPr>
                <w:sz w:val="20"/>
                <w:szCs w:val="20"/>
                <w:color w:val="auto"/>
              </w:rPr>
            </w:pPr>
            <w:r>
              <w:rPr>
                <w:rFonts w:ascii="Arial" w:cs="Arial" w:eastAsia="Arial" w:hAnsi="Arial"/>
                <w:sz w:val="18"/>
                <w:szCs w:val="18"/>
                <w:color w:val="0000EE"/>
                <w:w w:val="79"/>
              </w:rPr>
              <w:t>85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6300" w:type="dxa"/>
            <w:vAlign w:val="bottom"/>
            <w:gridSpan w:val="8"/>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3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380" w:type="dxa"/>
            <w:vAlign w:val="bottom"/>
            <w:gridSpan w:val="14"/>
          </w:tcPr>
          <w:p>
            <w:pPr>
              <w:ind w:left="20"/>
              <w:spacing w:after="0"/>
              <w:rPr>
                <w:sz w:val="20"/>
                <w:szCs w:val="20"/>
                <w:color w:val="auto"/>
              </w:rPr>
            </w:pPr>
            <w:r>
              <w:rPr>
                <w:rFonts w:ascii="Arial" w:cs="Arial" w:eastAsia="Arial" w:hAnsi="Arial"/>
                <w:sz w:val="18"/>
                <w:szCs w:val="18"/>
                <w:color w:val="auto"/>
                <w:w w:val="96"/>
              </w:rPr>
              <w:t>All other financial statement schedules have been omitted because the required information is not applicable or not present in amounts</w:t>
            </w:r>
          </w:p>
        </w:tc>
      </w:tr>
      <w:tr>
        <w:trPr>
          <w:trHeight w:val="214"/>
        </w:trPr>
        <w:tc>
          <w:tcPr>
            <w:tcW w:w="600" w:type="dxa"/>
            <w:vAlign w:val="bottom"/>
          </w:tcPr>
          <w:p>
            <w:pPr>
              <w:spacing w:after="0"/>
              <w:rPr>
                <w:sz w:val="18"/>
                <w:szCs w:val="18"/>
                <w:color w:val="auto"/>
              </w:rPr>
            </w:pPr>
          </w:p>
        </w:tc>
        <w:tc>
          <w:tcPr>
            <w:tcW w:w="10740" w:type="dxa"/>
            <w:vAlign w:val="bottom"/>
            <w:gridSpan w:val="15"/>
          </w:tcPr>
          <w:p>
            <w:pPr>
              <w:ind w:left="40"/>
              <w:spacing w:after="0"/>
              <w:rPr>
                <w:sz w:val="20"/>
                <w:szCs w:val="20"/>
                <w:color w:val="auto"/>
              </w:rPr>
            </w:pPr>
            <w:r>
              <w:rPr>
                <w:rFonts w:ascii="Arial" w:cs="Arial" w:eastAsia="Arial" w:hAnsi="Arial"/>
                <w:sz w:val="18"/>
                <w:szCs w:val="18"/>
                <w:color w:val="auto"/>
                <w:w w:val="90"/>
              </w:rPr>
              <w:t>sufficient to require submission of the schedule, or because the information required is included in the consolidated financial statements or the notes</w:t>
            </w:r>
          </w:p>
        </w:tc>
      </w:tr>
      <w:tr>
        <w:trPr>
          <w:trHeight w:val="227"/>
        </w:trPr>
        <w:tc>
          <w:tcPr>
            <w:tcW w:w="600" w:type="dxa"/>
            <w:vAlign w:val="bottom"/>
          </w:tcPr>
          <w:p>
            <w:pPr>
              <w:spacing w:after="0"/>
              <w:rPr>
                <w:sz w:val="19"/>
                <w:szCs w:val="19"/>
                <w:color w:val="auto"/>
              </w:rPr>
            </w:pPr>
          </w:p>
        </w:tc>
        <w:tc>
          <w:tcPr>
            <w:tcW w:w="9780" w:type="dxa"/>
            <w:vAlign w:val="bottom"/>
            <w:gridSpan w:val="11"/>
          </w:tcPr>
          <w:p>
            <w:pPr>
              <w:ind w:left="40"/>
              <w:spacing w:after="0"/>
              <w:rPr>
                <w:sz w:val="20"/>
                <w:szCs w:val="20"/>
                <w:color w:val="auto"/>
              </w:rPr>
            </w:pPr>
            <w:r>
              <w:rPr>
                <w:rFonts w:ascii="Arial" w:cs="Arial" w:eastAsia="Arial" w:hAnsi="Arial"/>
                <w:sz w:val="18"/>
                <w:szCs w:val="18"/>
                <w:color w:val="auto"/>
              </w:rPr>
              <w:t>thereto.</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8"/>
        </w:trPr>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9780" w:type="dxa"/>
            <w:vAlign w:val="bottom"/>
            <w:gridSpan w:val="11"/>
          </w:tcPr>
          <w:p>
            <w:pPr>
              <w:ind w:left="40"/>
              <w:spacing w:after="0"/>
              <w:rPr>
                <w:sz w:val="20"/>
                <w:szCs w:val="20"/>
                <w:color w:val="auto"/>
              </w:rPr>
            </w:pPr>
            <w:r>
              <w:rPr>
                <w:rFonts w:ascii="Arial" w:cs="Arial" w:eastAsia="Arial" w:hAnsi="Arial"/>
                <w:sz w:val="18"/>
                <w:szCs w:val="18"/>
                <w:color w:val="auto"/>
              </w:rPr>
              <w:t>Exhibits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5"/>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0"/>
          </w:tcPr>
          <w:p>
            <w:pPr>
              <w:ind w:left="20"/>
              <w:spacing w:after="0"/>
              <w:rPr>
                <w:sz w:val="20"/>
                <w:szCs w:val="20"/>
                <w:color w:val="auto"/>
              </w:rPr>
            </w:pPr>
            <w:r>
              <w:rPr>
                <w:rFonts w:ascii="Arial" w:cs="Arial" w:eastAsia="Arial" w:hAnsi="Arial"/>
                <w:sz w:val="18"/>
                <w:szCs w:val="18"/>
                <w:color w:val="auto"/>
                <w:w w:val="94"/>
              </w:rPr>
              <w:t>The exhibits listed under Item 15(b) hereof are filed with, or incorporated by reference into, this Annual Report on Form 10-K.</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600" w:type="dxa"/>
            <w:vAlign w:val="bottom"/>
          </w:tcPr>
          <w:p>
            <w:pPr>
              <w:spacing w:after="0"/>
              <w:rPr>
                <w:sz w:val="24"/>
                <w:szCs w:val="24"/>
                <w:color w:val="auto"/>
              </w:rPr>
            </w:pPr>
          </w:p>
        </w:tc>
        <w:tc>
          <w:tcPr>
            <w:tcW w:w="5800" w:type="dxa"/>
            <w:vAlign w:val="bottom"/>
            <w:gridSpan w:val="5"/>
          </w:tcPr>
          <w:p>
            <w:pPr>
              <w:ind w:left="494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bl>
    <w:p>
      <w:pPr>
        <w:sectPr>
          <w:pgSz w:w="11900" w:h="16838" w:orient="portrait"/>
          <w:cols w:equalWidth="0" w:num="1">
            <w:col w:w="11340"/>
          </w:cols>
          <w:pgMar w:left="32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 except par value)</w:t>
            </w: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8"/>
                <w:szCs w:val="18"/>
                <w:color w:val="auto"/>
                <w:w w:val="95"/>
              </w:rPr>
              <w:t>December 31,</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8"/>
                <w:szCs w:val="18"/>
                <w:color w:val="auto"/>
                <w:w w:val="93"/>
              </w:rPr>
              <w:t>December 25,</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7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8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242,341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290,201</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143,235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89,704</w:t>
            </w:r>
          </w:p>
        </w:tc>
        <w:tc>
          <w:tcPr>
            <w:tcW w:w="0" w:type="dxa"/>
            <w:vAlign w:val="bottom"/>
          </w:tcPr>
          <w:p>
            <w:pPr>
              <w:spacing w:after="0"/>
              <w:rPr>
                <w:sz w:val="1"/>
                <w:szCs w:val="1"/>
                <w:color w:val="auto"/>
              </w:rPr>
            </w:pPr>
          </w:p>
        </w:tc>
      </w:tr>
      <w:tr>
        <w:trPr>
          <w:trHeight w:val="214"/>
        </w:trPr>
        <w:tc>
          <w:tcPr>
            <w:tcW w:w="78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176,148</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192,873</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170,141</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161,053</w:t>
            </w:r>
          </w:p>
        </w:tc>
        <w:tc>
          <w:tcPr>
            <w:tcW w:w="0" w:type="dxa"/>
            <w:vAlign w:val="bottom"/>
          </w:tcPr>
          <w:p>
            <w:pPr>
              <w:spacing w:after="0"/>
              <w:rPr>
                <w:sz w:val="1"/>
                <w:szCs w:val="1"/>
                <w:color w:val="auto"/>
              </w:rPr>
            </w:pPr>
          </w:p>
        </w:tc>
      </w:tr>
      <w:tr>
        <w:trPr>
          <w:trHeight w:val="214"/>
        </w:trPr>
        <w:tc>
          <w:tcPr>
            <w:tcW w:w="784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24,017</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16,194</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78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764,851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750,793</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65,011</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63,957</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213,539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219,791</w:t>
            </w:r>
          </w:p>
        </w:tc>
        <w:tc>
          <w:tcPr>
            <w:tcW w:w="0" w:type="dxa"/>
            <w:vAlign w:val="bottom"/>
          </w:tcPr>
          <w:p>
            <w:pPr>
              <w:spacing w:after="0"/>
              <w:rPr>
                <w:sz w:val="1"/>
                <w:szCs w:val="1"/>
                <w:color w:val="auto"/>
              </w:rPr>
            </w:pPr>
          </w:p>
        </w:tc>
      </w:tr>
      <w:tr>
        <w:trPr>
          <w:trHeight w:val="214"/>
        </w:trPr>
        <w:tc>
          <w:tcPr>
            <w:tcW w:w="78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140,104</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177,320</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21,105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214"/>
        </w:trPr>
        <w:tc>
          <w:tcPr>
            <w:tcW w:w="784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25,060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8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1,227,414</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1,259,044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8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1,907</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4"/>
        </w:trPr>
        <w:tc>
          <w:tcPr>
            <w:tcW w:w="7840" w:type="dxa"/>
            <w:vAlign w:val="bottom"/>
          </w:tcPr>
          <w:p>
            <w:pPr>
              <w:ind w:left="160"/>
              <w:spacing w:after="0"/>
              <w:rPr>
                <w:sz w:val="20"/>
                <w:szCs w:val="20"/>
                <w:color w:val="auto"/>
              </w:rPr>
            </w:pPr>
            <w:r>
              <w:rPr>
                <w:rFonts w:ascii="Arial" w:cs="Arial" w:eastAsia="Arial" w:hAnsi="Arial"/>
                <w:sz w:val="18"/>
                <w:szCs w:val="18"/>
                <w:color w:val="auto"/>
              </w:rPr>
              <w:t>Current installments of long-term debt</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4,404</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51,763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85,230</w:t>
            </w:r>
          </w:p>
        </w:tc>
        <w:tc>
          <w:tcPr>
            <w:tcW w:w="0" w:type="dxa"/>
            <w:vAlign w:val="bottom"/>
          </w:tcPr>
          <w:p>
            <w:pPr>
              <w:spacing w:after="0"/>
              <w:rPr>
                <w:sz w:val="1"/>
                <w:szCs w:val="1"/>
                <w:color w:val="auto"/>
              </w:rPr>
            </w:pPr>
          </w:p>
        </w:tc>
      </w:tr>
      <w:tr>
        <w:trPr>
          <w:trHeight w:val="214"/>
        </w:trPr>
        <w:tc>
          <w:tcPr>
            <w:tcW w:w="7840" w:type="dxa"/>
            <w:vAlign w:val="bottom"/>
          </w:tcPr>
          <w:p>
            <w:pPr>
              <w:ind w:left="160"/>
              <w:spacing w:after="0"/>
              <w:rPr>
                <w:sz w:val="20"/>
                <w:szCs w:val="20"/>
                <w:color w:val="auto"/>
              </w:rPr>
            </w:pPr>
            <w:r>
              <w:rPr>
                <w:rFonts w:ascii="Arial" w:cs="Arial" w:eastAsia="Arial" w:hAnsi="Arial"/>
                <w:sz w:val="18"/>
                <w:szCs w:val="18"/>
                <w:color w:val="auto"/>
              </w:rPr>
              <w:t>Customer advances</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6,886</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38,348</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39,835</w:t>
            </w:r>
          </w:p>
        </w:tc>
        <w:tc>
          <w:tcPr>
            <w:tcW w:w="0" w:type="dxa"/>
            <w:vAlign w:val="bottom"/>
          </w:tcPr>
          <w:p>
            <w:pPr>
              <w:spacing w:after="0"/>
              <w:rPr>
                <w:sz w:val="1"/>
                <w:szCs w:val="1"/>
                <w:color w:val="auto"/>
              </w:rPr>
            </w:pPr>
          </w:p>
        </w:tc>
      </w:tr>
      <w:tr>
        <w:trPr>
          <w:trHeight w:val="214"/>
        </w:trPr>
        <w:tc>
          <w:tcPr>
            <w:tcW w:w="784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5,614</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profit</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214"/>
        </w:trPr>
        <w:tc>
          <w:tcPr>
            <w:tcW w:w="78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26,648</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19,002</w:t>
            </w:r>
          </w:p>
        </w:tc>
        <w:tc>
          <w:tcPr>
            <w:tcW w:w="0" w:type="dxa"/>
            <w:vAlign w:val="bottom"/>
          </w:tcPr>
          <w:p>
            <w:pPr>
              <w:spacing w:after="0"/>
              <w:rPr>
                <w:sz w:val="1"/>
                <w:szCs w:val="1"/>
                <w:color w:val="auto"/>
              </w:rPr>
            </w:pPr>
          </w:p>
        </w:tc>
      </w:tr>
      <w:tr>
        <w:trPr>
          <w:trHeight w:val="20"/>
        </w:trPr>
        <w:tc>
          <w:tcPr>
            <w:tcW w:w="78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160,872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192,459</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4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7,620</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income tax liabilities</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14"/>
        </w:trPr>
        <w:tc>
          <w:tcPr>
            <w:tcW w:w="7840" w:type="dxa"/>
            <w:vAlign w:val="bottom"/>
          </w:tcPr>
          <w:p>
            <w:pPr>
              <w:spacing w:after="0"/>
              <w:rPr>
                <w:sz w:val="20"/>
                <w:szCs w:val="20"/>
                <w:color w:val="auto"/>
              </w:rPr>
            </w:pPr>
            <w:r>
              <w:rPr>
                <w:rFonts w:ascii="Arial" w:cs="Arial" w:eastAsia="Arial" w:hAnsi="Arial"/>
                <w:sz w:val="18"/>
                <w:szCs w:val="18"/>
                <w:color w:val="auto"/>
              </w:rPr>
              <w:t>Accrued retirement benefits</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10,363</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18,037</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21,359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25,887</w:t>
            </w:r>
          </w:p>
        </w:tc>
        <w:tc>
          <w:tcPr>
            <w:tcW w:w="0" w:type="dxa"/>
            <w:vAlign w:val="bottom"/>
          </w:tcPr>
          <w:p>
            <w:pPr>
              <w:spacing w:after="0"/>
              <w:rPr>
                <w:sz w:val="1"/>
                <w:szCs w:val="1"/>
                <w:color w:val="auto"/>
              </w:rPr>
            </w:pPr>
          </w:p>
        </w:tc>
      </w:tr>
      <w:tr>
        <w:trPr>
          <w:trHeight w:val="214"/>
        </w:trPr>
        <w:tc>
          <w:tcPr>
            <w:tcW w:w="784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72,664</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103,393</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lease liabilities</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22,040</w:t>
            </w:r>
          </w:p>
        </w:tc>
        <w:tc>
          <w:tcPr>
            <w:tcW w:w="0" w:type="dxa"/>
            <w:vAlign w:val="bottom"/>
          </w:tcPr>
          <w:p>
            <w:pPr>
              <w:spacing w:after="0"/>
              <w:rPr>
                <w:sz w:val="1"/>
                <w:szCs w:val="1"/>
                <w:color w:val="auto"/>
              </w:rPr>
            </w:pPr>
          </w:p>
        </w:tc>
      </w:tr>
      <w:tr>
        <w:trPr>
          <w:trHeight w:val="214"/>
        </w:trPr>
        <w:tc>
          <w:tcPr>
            <w:tcW w:w="784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40" w:type="dxa"/>
            <w:vAlign w:val="bottom"/>
          </w:tcPr>
          <w:p>
            <w:pPr>
              <w:ind w:left="160"/>
              <w:spacing w:after="0"/>
              <w:rPr>
                <w:sz w:val="20"/>
                <w:szCs w:val="20"/>
                <w:color w:val="auto"/>
              </w:rPr>
            </w:pPr>
            <w:r>
              <w:rPr>
                <w:rFonts w:ascii="Arial" w:cs="Arial" w:eastAsia="Arial" w:hAnsi="Arial"/>
                <w:sz w:val="18"/>
                <w:szCs w:val="18"/>
                <w:color w:val="auto"/>
              </w:rPr>
              <w:t>Preferred stock, $1 par value; 1,000 shares authorized, none issued</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40" w:type="dxa"/>
            <w:vAlign w:val="bottom"/>
            <w:tcBorders>
              <w:right w:val="single" w:sz="8" w:color="CCEEFF"/>
            </w:tcBorders>
            <w:shd w:val="clear" w:color="auto" w:fill="CCEEFF"/>
          </w:tcPr>
          <w:p>
            <w:pPr>
              <w:ind w:left="160"/>
              <w:spacing w:after="0" w:line="200" w:lineRule="exact"/>
              <w:rPr>
                <w:sz w:val="20"/>
                <w:szCs w:val="20"/>
                <w:color w:val="auto"/>
              </w:rPr>
            </w:pPr>
            <w:r>
              <w:rPr>
                <w:rFonts w:ascii="Arial" w:cs="Arial" w:eastAsia="Arial" w:hAnsi="Arial"/>
                <w:sz w:val="18"/>
                <w:szCs w:val="18"/>
                <w:color w:val="auto"/>
                <w:w w:val="89"/>
              </w:rPr>
              <w:t>Common stock, $1 par value; 90,000 shares authorized, 49,276 shares issued and outstanding in 2022 and</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8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48,756 shares in 2021</w:t>
            </w:r>
          </w:p>
        </w:tc>
        <w:tc>
          <w:tcPr>
            <w:tcW w:w="160" w:type="dxa"/>
            <w:vAlign w:val="bottom"/>
            <w:shd w:val="clear" w:color="auto" w:fill="CCEEFF"/>
          </w:tcPr>
          <w:p>
            <w:pPr>
              <w:spacing w:after="0"/>
              <w:rPr>
                <w:sz w:val="19"/>
                <w:szCs w:val="19"/>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49,276</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48,756</w:t>
            </w:r>
          </w:p>
        </w:tc>
        <w:tc>
          <w:tcPr>
            <w:tcW w:w="0" w:type="dxa"/>
            <w:vAlign w:val="bottom"/>
          </w:tcPr>
          <w:p>
            <w:pPr>
              <w:spacing w:after="0"/>
              <w:rPr>
                <w:sz w:val="1"/>
                <w:szCs w:val="1"/>
                <w:color w:val="auto"/>
              </w:rPr>
            </w:pPr>
          </w:p>
        </w:tc>
      </w:tr>
      <w:tr>
        <w:trPr>
          <w:trHeight w:val="214"/>
        </w:trPr>
        <w:tc>
          <w:tcPr>
            <w:tcW w:w="784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687,218</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674,777</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Treasury stock, at cost; 1,767 shares in 2022 and 207 shares in 2021</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(58,043)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14"/>
        </w:trPr>
        <w:tc>
          <w:tcPr>
            <w:tcW w:w="78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290,402</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193,555</w:t>
            </w:r>
          </w:p>
        </w:tc>
        <w:tc>
          <w:tcPr>
            <w:tcW w:w="0" w:type="dxa"/>
            <w:vAlign w:val="bottom"/>
          </w:tcPr>
          <w:p>
            <w:pPr>
              <w:spacing w:after="0"/>
              <w:rPr>
                <w:sz w:val="1"/>
                <w:szCs w:val="1"/>
                <w:color w:val="auto"/>
              </w:rPr>
            </w:pPr>
          </w:p>
        </w:tc>
      </w:tr>
      <w:tr>
        <w:trPr>
          <w:trHeight w:val="214"/>
        </w:trPr>
        <w:tc>
          <w:tcPr>
            <w:tcW w:w="7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(40,012)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(27,262)</w:t>
            </w:r>
          </w:p>
        </w:tc>
        <w:tc>
          <w:tcPr>
            <w:tcW w:w="0" w:type="dxa"/>
            <w:vAlign w:val="bottom"/>
          </w:tcPr>
          <w:p>
            <w:pPr>
              <w:spacing w:after="0"/>
              <w:rPr>
                <w:sz w:val="1"/>
                <w:szCs w:val="1"/>
                <w:color w:val="auto"/>
              </w:rPr>
            </w:pPr>
          </w:p>
        </w:tc>
      </w:tr>
      <w:tr>
        <w:trPr>
          <w:trHeight w:val="20"/>
        </w:trPr>
        <w:tc>
          <w:tcPr>
            <w:tcW w:w="78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928,841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882,502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8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1,227,414</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1,259,044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8"/>
                <w:szCs w:val="18"/>
                <w:color w:val="auto"/>
                <w:w w:val="84"/>
              </w:rPr>
              <w:t>Years ended</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380" w:type="dxa"/>
            <w:vAlign w:val="bottom"/>
          </w:tcPr>
          <w:p>
            <w:pPr>
              <w:spacing w:after="0"/>
              <w:rPr>
                <w:sz w:val="16"/>
                <w:szCs w:val="16"/>
                <w:color w:val="auto"/>
              </w:rPr>
            </w:pPr>
          </w:p>
        </w:tc>
        <w:tc>
          <w:tcPr>
            <w:tcW w:w="1320" w:type="dxa"/>
            <w:vAlign w:val="bottom"/>
            <w:gridSpan w:val="3"/>
          </w:tcPr>
          <w:p>
            <w:pPr>
              <w:jc w:val="center"/>
              <w:ind w:right="200"/>
              <w:spacing w:after="0" w:line="195" w:lineRule="exact"/>
              <w:rPr>
                <w:sz w:val="20"/>
                <w:szCs w:val="20"/>
                <w:color w:val="auto"/>
              </w:rPr>
            </w:pPr>
            <w:r>
              <w:rPr>
                <w:rFonts w:ascii="Arial" w:cs="Arial" w:eastAsia="Arial" w:hAnsi="Arial"/>
                <w:sz w:val="18"/>
                <w:szCs w:val="18"/>
                <w:color w:val="auto"/>
                <w:w w:val="88"/>
              </w:rPr>
              <w:t>December 31,</w:t>
            </w:r>
          </w:p>
        </w:tc>
        <w:tc>
          <w:tcPr>
            <w:tcW w:w="1320" w:type="dxa"/>
            <w:vAlign w:val="bottom"/>
            <w:gridSpan w:val="3"/>
          </w:tcPr>
          <w:p>
            <w:pPr>
              <w:jc w:val="center"/>
              <w:ind w:right="200"/>
              <w:spacing w:after="0" w:line="195" w:lineRule="exact"/>
              <w:rPr>
                <w:sz w:val="20"/>
                <w:szCs w:val="20"/>
                <w:color w:val="auto"/>
              </w:rPr>
            </w:pPr>
            <w:r>
              <w:rPr>
                <w:rFonts w:ascii="Arial" w:cs="Arial" w:eastAsia="Arial" w:hAnsi="Arial"/>
                <w:sz w:val="18"/>
                <w:szCs w:val="18"/>
                <w:color w:val="auto"/>
                <w:w w:val="88"/>
              </w:rPr>
              <w:t>December 25,</w:t>
            </w:r>
          </w:p>
        </w:tc>
        <w:tc>
          <w:tcPr>
            <w:tcW w:w="11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1"/>
              </w:rPr>
              <w:t>December 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812,775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tcPr>
          <w:p>
            <w:pPr>
              <w:spacing w:after="0"/>
              <w:rPr>
                <w:sz w:val="20"/>
                <w:szCs w:val="20"/>
                <w:color w:val="auto"/>
              </w:rPr>
            </w:pPr>
            <w:r>
              <w:rPr>
                <w:rFonts w:ascii="Arial" w:cs="Arial" w:eastAsia="Arial" w:hAnsi="Arial"/>
                <w:sz w:val="18"/>
                <w:szCs w:val="18"/>
                <w:color w:val="auto"/>
              </w:rPr>
              <w:t>Cost and 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160"/>
              <w:spacing w:after="0" w:line="214" w:lineRule="exact"/>
              <w:rPr>
                <w:sz w:val="20"/>
                <w:szCs w:val="20"/>
                <w:color w:val="auto"/>
              </w:rPr>
            </w:pPr>
            <w:r>
              <w:rPr>
                <w:rFonts w:ascii="Arial" w:cs="Arial" w:eastAsia="Arial" w:hAnsi="Arial"/>
                <w:sz w:val="15"/>
                <w:szCs w:val="15"/>
                <w:color w:val="auto"/>
              </w:rPr>
              <w:t xml:space="preserve">Cost of sales </w:t>
            </w:r>
            <w:r>
              <w:rPr>
                <w:rFonts w:ascii="Arial" w:cs="Arial" w:eastAsia="Arial" w:hAnsi="Arial"/>
                <w:sz w:val="24"/>
                <w:szCs w:val="24"/>
                <w:color w:val="auto"/>
                <w:vertAlign w:val="superscript"/>
              </w:rPr>
              <w:t>(1)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429,449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500,253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92,589</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91,963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86,151</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131,390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tcPr>
          <w:p>
            <w:pPr>
              <w:ind w:left="16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33,185</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35,414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38,746</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160"/>
              <w:spacing w:after="0" w:line="214" w:lineRule="exact"/>
              <w:rPr>
                <w:sz w:val="20"/>
                <w:szCs w:val="20"/>
                <w:color w:val="auto"/>
              </w:rPr>
            </w:pPr>
            <w:r>
              <w:rPr>
                <w:rFonts w:ascii="Arial" w:cs="Arial" w:eastAsia="Arial" w:hAnsi="Arial"/>
                <w:sz w:val="15"/>
                <w:szCs w:val="15"/>
                <w:color w:val="auto"/>
              </w:rPr>
              <w:t xml:space="preserve">Gain on sale of PCB Test business </w:t>
            </w:r>
            <w:r>
              <w:rPr>
                <w:rFonts w:ascii="Arial" w:cs="Arial" w:eastAsia="Arial" w:hAnsi="Arial"/>
                <w:sz w:val="24"/>
                <w:szCs w:val="24"/>
                <w:color w:val="auto"/>
                <w:vertAlign w:val="superscript"/>
              </w:rPr>
              <w:t>(2)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(70,815)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tcPr>
          <w:p>
            <w:pPr>
              <w:ind w:left="160"/>
              <w:spacing w:after="0"/>
              <w:rPr>
                <w:sz w:val="20"/>
                <w:szCs w:val="20"/>
                <w:color w:val="auto"/>
              </w:rPr>
            </w:pPr>
            <w:r>
              <w:rPr>
                <w:rFonts w:ascii="Arial" w:cs="Arial" w:eastAsia="Arial" w:hAnsi="Arial"/>
                <w:sz w:val="18"/>
                <w:szCs w:val="18"/>
                <w:color w:val="auto"/>
              </w:rPr>
              <w:t>Restructuring charges (Note 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tcPr>
          <w:p>
            <w:pPr>
              <w:ind w:left="160"/>
              <w:spacing w:after="0"/>
              <w:rPr>
                <w:sz w:val="20"/>
                <w:szCs w:val="20"/>
                <w:color w:val="auto"/>
              </w:rPr>
            </w:pPr>
            <w:r>
              <w:rPr>
                <w:rFonts w:ascii="Arial" w:cs="Arial" w:eastAsia="Arial" w:hAnsi="Arial"/>
                <w:sz w:val="18"/>
                <w:szCs w:val="18"/>
                <w:color w:val="auto"/>
              </w:rPr>
              <w:t>Gain on sale of facilities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687,218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125,557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201,518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(6,413)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4"/>
        </w:trPr>
        <w:tc>
          <w:tcPr>
            <w:tcW w:w="7380" w:type="dxa"/>
            <w:vAlign w:val="bottom"/>
          </w:tcPr>
          <w:p>
            <w:pPr>
              <w:ind w:left="160"/>
              <w:spacing w:after="0"/>
              <w:rPr>
                <w:sz w:val="20"/>
                <w:szCs w:val="20"/>
                <w:color w:val="auto"/>
              </w:rPr>
            </w:pPr>
            <w:r>
              <w:rPr>
                <w:rFonts w:ascii="Arial" w:cs="Arial" w:eastAsia="Arial" w:hAnsi="Arial"/>
                <w:sz w:val="18"/>
                <w:szCs w:val="18"/>
                <w:color w:val="auto"/>
              </w:rPr>
              <w:t>Foreign transaction gain (loss)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extinguishment of debt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7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8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126,715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192,344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(13,177)</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7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96,847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167,325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8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5"/>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96,847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167,325</w:t>
            </w:r>
          </w:p>
        </w:tc>
        <w:tc>
          <w:tcPr>
            <w:tcW w:w="20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380" w:type="dxa"/>
            <w:vAlign w:val="bottom"/>
          </w:tcPr>
          <w:p>
            <w:pPr>
              <w:spacing w:after="0"/>
              <w:rPr>
                <w:sz w:val="20"/>
                <w:szCs w:val="20"/>
                <w:color w:val="auto"/>
              </w:rPr>
            </w:pPr>
            <w:r>
              <w:rPr>
                <w:rFonts w:ascii="Arial" w:cs="Arial" w:eastAsia="Arial" w:hAnsi="Arial"/>
                <w:sz w:val="18"/>
                <w:szCs w:val="18"/>
                <w:color w:val="auto"/>
              </w:rPr>
              <w:t>Income (loss) per share: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65"/>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7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8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5"/>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4"/>
        </w:trPr>
        <w:tc>
          <w:tcPr>
            <w:tcW w:w="7380" w:type="dxa"/>
            <w:vAlign w:val="bottom"/>
          </w:tcPr>
          <w:p>
            <w:pPr>
              <w:ind w:left="3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94"/>
        </w:trPr>
        <w:tc>
          <w:tcPr>
            <w:tcW w:w="73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48,178</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47,409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41,854</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8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5" w:lineRule="exact"/>
              <w:rPr>
                <w:sz w:val="20"/>
                <w:szCs w:val="20"/>
                <w:color w:val="auto"/>
              </w:rPr>
            </w:pPr>
            <w:r>
              <w:rPr>
                <w:rFonts w:ascii="Arial" w:cs="Arial" w:eastAsia="Arial" w:hAnsi="Arial"/>
                <w:sz w:val="18"/>
                <w:szCs w:val="18"/>
                <w:color w:val="auto"/>
              </w:rPr>
              <w:t>48,799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line="195" w:lineRule="exact"/>
              <w:rPr>
                <w:sz w:val="20"/>
                <w:szCs w:val="20"/>
                <w:color w:val="auto"/>
              </w:rPr>
            </w:pPr>
            <w:r>
              <w:rPr>
                <w:rFonts w:ascii="Arial" w:cs="Arial" w:eastAsia="Arial" w:hAnsi="Arial"/>
                <w:sz w:val="18"/>
                <w:szCs w:val="18"/>
                <w:color w:val="auto"/>
              </w:rPr>
              <w:t>48,460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5" w:lineRule="exact"/>
              <w:rPr>
                <w:sz w:val="20"/>
                <w:szCs w:val="20"/>
                <w:color w:val="auto"/>
              </w:rPr>
            </w:pPr>
            <w:r>
              <w:rPr>
                <w:rFonts w:ascii="Arial" w:cs="Arial" w:eastAsia="Arial" w:hAnsi="Arial"/>
                <w:sz w:val="18"/>
                <w:szCs w:val="18"/>
                <w:color w:val="auto"/>
              </w:rPr>
              <w:t>41,854</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right="680" w:hanging="313"/>
        <w:spacing w:after="0" w:line="271"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amortization of $26,023, $27,508, and $29,510 for the years ended December 31, 2022, December 25, 2021, and December 26, 2020, respectively.</w:t>
      </w:r>
    </w:p>
    <w:p>
      <w:pPr>
        <w:spacing w:after="0" w:line="174" w:lineRule="exact"/>
        <w:rPr>
          <w:rFonts w:ascii="Arial" w:cs="Arial" w:eastAsia="Arial" w:hAnsi="Arial"/>
          <w:sz w:val="18"/>
          <w:szCs w:val="18"/>
          <w:color w:val="auto"/>
        </w:rPr>
      </w:pPr>
    </w:p>
    <w:p>
      <w:pPr>
        <w:ind w:left="320" w:right="80" w:hanging="313"/>
        <w:spacing w:after="0" w:line="281"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June 24, 2021 we completed the divestment of our PCB Test business. The divestment of this business did not qualify for presentation as discontinued operations and the results of the PCB Test business are included in continuing operations for all periods presented. See Note 14, “Business Divestitures and Discontinued Operations” for additional information on this transaction and financial statement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8"/>
                <w:szCs w:val="18"/>
                <w:color w:val="auto"/>
                <w:w w:val="84"/>
              </w:rPr>
              <w:t>Years ended</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380"/>
              <w:spacing w:after="0" w:line="195" w:lineRule="exact"/>
              <w:rPr>
                <w:sz w:val="20"/>
                <w:szCs w:val="20"/>
                <w:color w:val="auto"/>
              </w:rPr>
            </w:pPr>
            <w:r>
              <w:rPr>
                <w:rFonts w:ascii="Arial" w:cs="Arial" w:eastAsia="Arial" w:hAnsi="Arial"/>
                <w:sz w:val="18"/>
                <w:szCs w:val="18"/>
                <w:color w:val="auto"/>
                <w:w w:val="91"/>
              </w:rPr>
              <w:t>December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8"/>
              </w:rPr>
              <w:t>December 25,</w:t>
            </w:r>
          </w:p>
        </w:tc>
        <w:tc>
          <w:tcPr>
            <w:tcW w:w="160" w:type="dxa"/>
            <w:vAlign w:val="bottom"/>
          </w:tcPr>
          <w:p>
            <w:pPr>
              <w:spacing w:after="0"/>
              <w:rPr>
                <w:sz w:val="16"/>
                <w:szCs w:val="16"/>
                <w:color w:val="auto"/>
              </w:rPr>
            </w:pPr>
          </w:p>
        </w:tc>
        <w:tc>
          <w:tcPr>
            <w:tcW w:w="1320" w:type="dxa"/>
            <w:vAlign w:val="bottom"/>
          </w:tcPr>
          <w:p>
            <w:pPr>
              <w:jc w:val="right"/>
              <w:ind w:right="151"/>
              <w:spacing w:after="0" w:line="195" w:lineRule="exact"/>
              <w:rPr>
                <w:sz w:val="20"/>
                <w:szCs w:val="20"/>
                <w:color w:val="auto"/>
              </w:rPr>
            </w:pPr>
            <w:r>
              <w:rPr>
                <w:rFonts w:ascii="Arial" w:cs="Arial" w:eastAsia="Arial" w:hAnsi="Arial"/>
                <w:sz w:val="18"/>
                <w:szCs w:val="18"/>
                <w:color w:val="auto"/>
                <w:w w:val="93"/>
              </w:rPr>
              <w:t>December 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167,325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14"/>
        </w:trPr>
        <w:tc>
          <w:tcPr>
            <w:tcW w:w="62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(22,956)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27,321</w:t>
            </w:r>
          </w:p>
        </w:tc>
        <w:tc>
          <w:tcPr>
            <w:tcW w:w="0" w:type="dxa"/>
            <w:vAlign w:val="bottom"/>
          </w:tcPr>
          <w:p>
            <w:pPr>
              <w:spacing w:after="0"/>
              <w:rPr>
                <w:sz w:val="1"/>
                <w:szCs w:val="1"/>
                <w:color w:val="auto"/>
              </w:rPr>
            </w:pPr>
          </w:p>
        </w:tc>
      </w:tr>
      <w:tr>
        <w:trPr>
          <w:trHeight w:val="214"/>
        </w:trPr>
        <w:tc>
          <w:tcPr>
            <w:tcW w:w="6260" w:type="dxa"/>
            <w:vAlign w:val="bottom"/>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2,602</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4"/>
        </w:trPr>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60" w:type="dxa"/>
            <w:vAlign w:val="bottom"/>
          </w:tcPr>
          <w:p>
            <w:pPr>
              <w:ind w:left="160"/>
              <w:spacing w:after="0"/>
              <w:rPr>
                <w:sz w:val="20"/>
                <w:szCs w:val="20"/>
                <w:color w:val="auto"/>
              </w:rPr>
            </w:pPr>
            <w:r>
              <w:rPr>
                <w:rFonts w:ascii="Arial" w:cs="Arial" w:eastAsia="Arial" w:hAnsi="Arial"/>
                <w:sz w:val="18"/>
                <w:szCs w:val="18"/>
                <w:color w:val="auto"/>
              </w:rPr>
              <w:t>Reclassification due to sale of PCB Test business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(2,515)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(22,936)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0"/>
        </w:trPr>
        <w:tc>
          <w:tcPr>
            <w:tcW w:w="6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6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84,097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144,389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15,903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0573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5739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31"/>
              <w:spacing w:after="0"/>
              <w:rPr>
                <w:sz w:val="20"/>
                <w:szCs w:val="20"/>
                <w:color w:val="auto"/>
              </w:rPr>
            </w:pPr>
            <w:r>
              <w:rPr>
                <w:rFonts w:ascii="Arial" w:cs="Arial" w:eastAsia="Arial" w:hAnsi="Arial"/>
                <w:sz w:val="18"/>
                <w:szCs w:val="18"/>
                <w:color w:val="auto"/>
                <w:w w:val="90"/>
              </w:rPr>
              <w:t>Accumulated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color w:val="auto"/>
                <w:w w:val="90"/>
              </w:rPr>
              <w:t>Common</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31"/>
              <w:spacing w:after="0"/>
              <w:rPr>
                <w:sz w:val="20"/>
                <w:szCs w:val="20"/>
                <w:color w:val="auto"/>
              </w:rPr>
            </w:pPr>
            <w:r>
              <w:rPr>
                <w:rFonts w:ascii="Arial" w:cs="Arial" w:eastAsia="Arial" w:hAnsi="Arial"/>
                <w:sz w:val="18"/>
                <w:szCs w:val="18"/>
                <w:color w:val="auto"/>
                <w:w w:val="92"/>
              </w:rPr>
              <w:t>other</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color w:val="auto"/>
                <w:w w:val="90"/>
              </w:rPr>
              <w:t>stock</w:t>
            </w:r>
          </w:p>
        </w:tc>
        <w:tc>
          <w:tcPr>
            <w:tcW w:w="280" w:type="dxa"/>
            <w:vAlign w:val="bottom"/>
          </w:tcPr>
          <w:p>
            <w:pPr>
              <w:spacing w:after="0"/>
              <w:rPr>
                <w:sz w:val="18"/>
                <w:szCs w:val="18"/>
                <w:color w:val="auto"/>
              </w:rPr>
            </w:pP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Paid-in</w:t>
            </w:r>
          </w:p>
        </w:tc>
        <w:tc>
          <w:tcPr>
            <w:tcW w:w="2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w w:val="97"/>
              </w:rPr>
              <w:t>Retained</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6"/>
              </w:rPr>
              <w:t>comprehensive</w:t>
            </w:r>
          </w:p>
        </w:tc>
        <w:tc>
          <w:tcPr>
            <w:tcW w:w="26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w w:val="98"/>
              </w:rPr>
              <w:t>Treasury</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8"/>
              </w:rPr>
              <w:t>$1 par value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capital</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8"/>
              </w:rPr>
              <w:t>earnings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loss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Stock</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28, 2019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41,395</w:t>
            </w:r>
          </w:p>
        </w:tc>
        <w:tc>
          <w:tcPr>
            <w:tcW w:w="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433,190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42,517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483,072</w:t>
            </w:r>
          </w:p>
        </w:tc>
        <w:tc>
          <w:tcPr>
            <w:tcW w:w="0" w:type="dxa"/>
            <w:vAlign w:val="bottom"/>
          </w:tcPr>
          <w:p>
            <w:pPr>
              <w:spacing w:after="0"/>
              <w:rPr>
                <w:sz w:val="1"/>
                <w:szCs w:val="1"/>
                <w:color w:val="auto"/>
              </w:rPr>
            </w:pPr>
          </w:p>
        </w:tc>
      </w:tr>
      <w:tr>
        <w:trPr>
          <w:trHeight w:val="214"/>
        </w:trPr>
        <w:tc>
          <w:tcPr>
            <w:tcW w:w="30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(13,801)</w:t>
            </w:r>
          </w:p>
        </w:tc>
        <w:tc>
          <w:tcPr>
            <w:tcW w:w="1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00"/>
        </w:trPr>
        <w:tc>
          <w:tcPr>
            <w:tcW w:w="3060" w:type="dxa"/>
            <w:vAlign w:val="bottom"/>
            <w:tcBorders>
              <w:right w:val="single" w:sz="8" w:color="CCEEFF"/>
            </w:tcBorders>
            <w:shd w:val="clear" w:color="auto" w:fill="CCEEFF"/>
          </w:tcPr>
          <w:p>
            <w:pPr>
              <w:ind w:left="160"/>
              <w:spacing w:after="0" w:line="200" w:lineRule="exact"/>
              <w:rPr>
                <w:sz w:val="20"/>
                <w:szCs w:val="20"/>
                <w:color w:val="auto"/>
              </w:rPr>
            </w:pPr>
            <w:r>
              <w:rPr>
                <w:rFonts w:ascii="Arial" w:cs="Arial" w:eastAsia="Arial" w:hAnsi="Arial"/>
                <w:sz w:val="18"/>
                <w:szCs w:val="18"/>
                <w:color w:val="auto"/>
              </w:rPr>
              <w:t>Changes in cumulative translation</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adjustment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27,321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27,321</w:t>
            </w:r>
          </w:p>
        </w:tc>
        <w:tc>
          <w:tcPr>
            <w:tcW w:w="0" w:type="dxa"/>
            <w:vAlign w:val="bottom"/>
          </w:tcPr>
          <w:p>
            <w:pPr>
              <w:spacing w:after="0"/>
              <w:rPr>
                <w:sz w:val="1"/>
                <w:szCs w:val="1"/>
                <w:color w:val="auto"/>
              </w:rPr>
            </w:pPr>
          </w:p>
        </w:tc>
      </w:tr>
      <w:tr>
        <w:trPr>
          <w:trHeight w:val="200"/>
        </w:trPr>
        <w:tc>
          <w:tcPr>
            <w:tcW w:w="3060" w:type="dxa"/>
            <w:vAlign w:val="bottom"/>
          </w:tcPr>
          <w:p>
            <w:pPr>
              <w:ind w:left="160"/>
              <w:spacing w:after="0" w:line="200" w:lineRule="exact"/>
              <w:rPr>
                <w:sz w:val="20"/>
                <w:szCs w:val="20"/>
                <w:color w:val="auto"/>
              </w:rPr>
            </w:pPr>
            <w:r>
              <w:rPr>
                <w:rFonts w:ascii="Arial" w:cs="Arial" w:eastAsia="Arial" w:hAnsi="Arial"/>
                <w:sz w:val="18"/>
                <w:szCs w:val="18"/>
                <w:color w:val="auto"/>
                <w:w w:val="95"/>
              </w:rPr>
              <w:t>Adjustments related to postretirement</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tcPr>
          <w:p>
            <w:pPr>
              <w:ind w:left="320"/>
              <w:spacing w:after="0"/>
              <w:rPr>
                <w:sz w:val="20"/>
                <w:szCs w:val="20"/>
                <w:color w:val="auto"/>
              </w:rPr>
            </w:pPr>
            <w:r>
              <w:rPr>
                <w:rFonts w:ascii="Arial" w:cs="Arial" w:eastAsia="Arial" w:hAnsi="Arial"/>
                <w:sz w:val="18"/>
                <w:szCs w:val="18"/>
                <w:color w:val="auto"/>
              </w:rPr>
              <w:t>benefits, net of tax</w:t>
            </w:r>
          </w:p>
        </w:tc>
        <w:tc>
          <w:tcPr>
            <w:tcW w:w="10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2,383</w:t>
            </w:r>
          </w:p>
        </w:tc>
        <w:tc>
          <w:tcPr>
            <w:tcW w:w="2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5"/>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dividends - $0.06 per share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4"/>
        </w:trPr>
        <w:tc>
          <w:tcPr>
            <w:tcW w:w="306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4"/>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Shares issued under ESPP</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3,026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00"/>
        </w:trPr>
        <w:tc>
          <w:tcPr>
            <w:tcW w:w="3060" w:type="dxa"/>
            <w:vAlign w:val="bottom"/>
          </w:tcPr>
          <w:p>
            <w:pPr>
              <w:ind w:left="160"/>
              <w:spacing w:after="0" w:line="200" w:lineRule="exact"/>
              <w:rPr>
                <w:sz w:val="20"/>
                <w:szCs w:val="20"/>
                <w:color w:val="auto"/>
              </w:rPr>
            </w:pPr>
            <w:r>
              <w:rPr>
                <w:rFonts w:ascii="Arial" w:cs="Arial" w:eastAsia="Arial" w:hAnsi="Arial"/>
                <w:sz w:val="18"/>
                <w:szCs w:val="18"/>
                <w:color w:val="auto"/>
                <w:w w:val="92"/>
              </w:rPr>
              <w:t>Shares issued for restricted stock units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tcPr>
          <w:p>
            <w:pPr>
              <w:ind w:left="320"/>
              <w:spacing w:after="0"/>
              <w:rPr>
                <w:sz w:val="20"/>
                <w:szCs w:val="20"/>
                <w:color w:val="auto"/>
              </w:rPr>
            </w:pPr>
            <w:r>
              <w:rPr>
                <w:rFonts w:ascii="Arial" w:cs="Arial" w:eastAsia="Arial" w:hAnsi="Arial"/>
                <w:sz w:val="18"/>
                <w:szCs w:val="18"/>
                <w:color w:val="auto"/>
              </w:rPr>
              <w:t>vested</w:t>
            </w:r>
          </w:p>
        </w:tc>
        <w:tc>
          <w:tcPr>
            <w:tcW w:w="10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660</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w:t>
            </w:r>
          </w:p>
        </w:tc>
        <w:tc>
          <w:tcPr>
            <w:tcW w:w="2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and retirement of stock</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4"/>
        </w:trPr>
        <w:tc>
          <w:tcPr>
            <w:tcW w:w="3060" w:type="dxa"/>
            <w:vAlign w:val="bottom"/>
          </w:tcPr>
          <w:p>
            <w:pPr>
              <w:ind w:left="160"/>
              <w:spacing w:after="0"/>
              <w:rPr>
                <w:sz w:val="20"/>
                <w:szCs w:val="20"/>
                <w:color w:val="auto"/>
              </w:rPr>
            </w:pPr>
            <w:r>
              <w:rPr>
                <w:rFonts w:ascii="Arial" w:cs="Arial" w:eastAsia="Arial" w:hAnsi="Arial"/>
                <w:sz w:val="18"/>
                <w:szCs w:val="18"/>
                <w:color w:val="auto"/>
                <w:w w:val="97"/>
              </w:rPr>
              <w:t>Share-based compensation expense</w:t>
            </w:r>
          </w:p>
        </w:tc>
        <w:tc>
          <w:tcPr>
            <w:tcW w:w="1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14,234</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14,234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26, 2020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42,190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448,194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26,230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512,288</w:t>
            </w:r>
          </w:p>
        </w:tc>
        <w:tc>
          <w:tcPr>
            <w:tcW w:w="0" w:type="dxa"/>
            <w:vAlign w:val="bottom"/>
          </w:tcPr>
          <w:p>
            <w:pPr>
              <w:spacing w:after="0"/>
              <w:rPr>
                <w:sz w:val="1"/>
                <w:szCs w:val="1"/>
                <w:color w:val="auto"/>
              </w:rPr>
            </w:pPr>
          </w:p>
        </w:tc>
      </w:tr>
      <w:tr>
        <w:trPr>
          <w:trHeight w:val="214"/>
        </w:trPr>
        <w:tc>
          <w:tcPr>
            <w:tcW w:w="3060" w:type="dxa"/>
            <w:vAlign w:val="bottom"/>
          </w:tcPr>
          <w:p>
            <w:pPr>
              <w:ind w:left="160"/>
              <w:spacing w:after="0"/>
              <w:rPr>
                <w:sz w:val="20"/>
                <w:szCs w:val="20"/>
                <w:color w:val="auto"/>
              </w:rPr>
            </w:pPr>
            <w:r>
              <w:rPr>
                <w:rFonts w:ascii="Arial" w:cs="Arial" w:eastAsia="Arial" w:hAnsi="Arial"/>
                <w:sz w:val="18"/>
                <w:szCs w:val="18"/>
                <w:color w:val="auto"/>
              </w:rPr>
              <w:t>Common stock repurchases</w:t>
            </w:r>
          </w:p>
        </w:tc>
        <w:tc>
          <w:tcPr>
            <w:tcW w:w="1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(7,324)</w:t>
            </w:r>
          </w:p>
        </w:tc>
        <w:tc>
          <w:tcPr>
            <w:tcW w:w="3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14"/>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167,325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167,325</w:t>
            </w:r>
          </w:p>
        </w:tc>
        <w:tc>
          <w:tcPr>
            <w:tcW w:w="0" w:type="dxa"/>
            <w:vAlign w:val="bottom"/>
          </w:tcPr>
          <w:p>
            <w:pPr>
              <w:spacing w:after="0"/>
              <w:rPr>
                <w:sz w:val="1"/>
                <w:szCs w:val="1"/>
                <w:color w:val="auto"/>
              </w:rPr>
            </w:pPr>
          </w:p>
        </w:tc>
      </w:tr>
      <w:tr>
        <w:trPr>
          <w:trHeight w:val="200"/>
        </w:trPr>
        <w:tc>
          <w:tcPr>
            <w:tcW w:w="3060" w:type="dxa"/>
            <w:vAlign w:val="bottom"/>
          </w:tcPr>
          <w:p>
            <w:pPr>
              <w:ind w:left="160"/>
              <w:spacing w:after="0" w:line="200" w:lineRule="exact"/>
              <w:rPr>
                <w:sz w:val="20"/>
                <w:szCs w:val="20"/>
                <w:color w:val="auto"/>
              </w:rPr>
            </w:pPr>
            <w:r>
              <w:rPr>
                <w:rFonts w:ascii="Arial" w:cs="Arial" w:eastAsia="Arial" w:hAnsi="Arial"/>
                <w:sz w:val="18"/>
                <w:szCs w:val="18"/>
                <w:color w:val="auto"/>
              </w:rPr>
              <w:t>Changes in cumulative translation</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tcPr>
          <w:p>
            <w:pPr>
              <w:ind w:left="32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(22,956)</w:t>
            </w:r>
          </w:p>
        </w:tc>
        <w:tc>
          <w:tcPr>
            <w:tcW w:w="2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(22,956)</w:t>
            </w:r>
          </w:p>
        </w:tc>
        <w:tc>
          <w:tcPr>
            <w:tcW w:w="0" w:type="dxa"/>
            <w:vAlign w:val="bottom"/>
          </w:tcPr>
          <w:p>
            <w:pPr>
              <w:spacing w:after="0"/>
              <w:rPr>
                <w:sz w:val="1"/>
                <w:szCs w:val="1"/>
                <w:color w:val="auto"/>
              </w:rPr>
            </w:pPr>
          </w:p>
        </w:tc>
      </w:tr>
      <w:tr>
        <w:trPr>
          <w:trHeight w:val="200"/>
        </w:trPr>
        <w:tc>
          <w:tcPr>
            <w:tcW w:w="306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Adjustments related to postretirement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benefits, net of tax</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2,602</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00"/>
        </w:trPr>
        <w:tc>
          <w:tcPr>
            <w:tcW w:w="3060" w:type="dxa"/>
            <w:vAlign w:val="bottom"/>
          </w:tcPr>
          <w:p>
            <w:pPr>
              <w:ind w:left="160"/>
              <w:spacing w:after="0" w:line="200" w:lineRule="exact"/>
              <w:rPr>
                <w:sz w:val="20"/>
                <w:szCs w:val="20"/>
                <w:color w:val="auto"/>
              </w:rPr>
            </w:pPr>
            <w:r>
              <w:rPr>
                <w:rFonts w:ascii="Arial" w:cs="Arial" w:eastAsia="Arial" w:hAnsi="Arial"/>
                <w:sz w:val="18"/>
                <w:szCs w:val="18"/>
                <w:color w:val="auto"/>
                <w:w w:val="89"/>
              </w:rPr>
              <w:t>Changes in unrealized gains and losses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tcPr>
          <w:p>
            <w:pPr>
              <w:ind w:left="320"/>
              <w:spacing w:after="0"/>
              <w:rPr>
                <w:sz w:val="20"/>
                <w:szCs w:val="20"/>
                <w:color w:val="auto"/>
              </w:rPr>
            </w:pPr>
            <w:r>
              <w:rPr>
                <w:rFonts w:ascii="Arial" w:cs="Arial" w:eastAsia="Arial" w:hAnsi="Arial"/>
                <w:sz w:val="18"/>
                <w:szCs w:val="18"/>
                <w:color w:val="auto"/>
              </w:rPr>
              <w:t>on investments, net of tax</w:t>
            </w:r>
          </w:p>
        </w:tc>
        <w:tc>
          <w:tcPr>
            <w:tcW w:w="10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5"/>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4"/>
        </w:trPr>
        <w:tc>
          <w:tcPr>
            <w:tcW w:w="3060" w:type="dxa"/>
            <w:vAlign w:val="bottom"/>
          </w:tcPr>
          <w:p>
            <w:pPr>
              <w:ind w:left="160"/>
              <w:spacing w:after="0"/>
              <w:rPr>
                <w:sz w:val="20"/>
                <w:szCs w:val="20"/>
                <w:color w:val="auto"/>
              </w:rPr>
            </w:pPr>
            <w:r>
              <w:rPr>
                <w:rFonts w:ascii="Arial" w:cs="Arial" w:eastAsia="Arial" w:hAnsi="Arial"/>
                <w:sz w:val="18"/>
                <w:szCs w:val="18"/>
                <w:color w:val="auto"/>
              </w:rPr>
              <w:t>Shares issued under ESPP</w:t>
            </w:r>
          </w:p>
        </w:tc>
        <w:tc>
          <w:tcPr>
            <w:tcW w:w="1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3,403</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00"/>
        </w:trPr>
        <w:tc>
          <w:tcPr>
            <w:tcW w:w="3060" w:type="dxa"/>
            <w:vAlign w:val="bottom"/>
            <w:tcBorders>
              <w:right w:val="single" w:sz="8" w:color="CCEEFF"/>
            </w:tcBorders>
            <w:shd w:val="clear" w:color="auto" w:fill="CCEEFF"/>
          </w:tcPr>
          <w:p>
            <w:pPr>
              <w:ind w:left="160"/>
              <w:spacing w:after="0" w:line="200" w:lineRule="exact"/>
              <w:rPr>
                <w:sz w:val="20"/>
                <w:szCs w:val="20"/>
                <w:color w:val="auto"/>
              </w:rPr>
            </w:pPr>
            <w:r>
              <w:rPr>
                <w:rFonts w:ascii="Arial" w:cs="Arial" w:eastAsia="Arial" w:hAnsi="Arial"/>
                <w:sz w:val="18"/>
                <w:szCs w:val="18"/>
                <w:color w:val="auto"/>
                <w:w w:val="92"/>
              </w:rPr>
              <w:t>Shares issued for restricted stock units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704</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060" w:type="dxa"/>
            <w:vAlign w:val="bottom"/>
          </w:tcPr>
          <w:p>
            <w:pPr>
              <w:ind w:left="160"/>
              <w:spacing w:after="0"/>
              <w:rPr>
                <w:sz w:val="20"/>
                <w:szCs w:val="20"/>
                <w:color w:val="auto"/>
              </w:rPr>
            </w:pPr>
            <w:r>
              <w:rPr>
                <w:rFonts w:ascii="Arial" w:cs="Arial" w:eastAsia="Arial" w:hAnsi="Arial"/>
                <w:sz w:val="18"/>
                <w:szCs w:val="18"/>
                <w:color w:val="auto"/>
              </w:rPr>
              <w:t>Repurchase and retirement of stock</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(10,222)</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14"/>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8"/>
              </w:rPr>
              <w:t>Impact of sale of PCB Test business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4"/>
        </w:trPr>
        <w:tc>
          <w:tcPr>
            <w:tcW w:w="3060" w:type="dxa"/>
            <w:vAlign w:val="bottom"/>
          </w:tcPr>
          <w:p>
            <w:pPr>
              <w:ind w:left="160"/>
              <w:spacing w:after="0"/>
              <w:rPr>
                <w:sz w:val="20"/>
                <w:szCs w:val="20"/>
                <w:color w:val="auto"/>
              </w:rPr>
            </w:pPr>
            <w:r>
              <w:rPr>
                <w:rFonts w:ascii="Arial" w:cs="Arial" w:eastAsia="Arial" w:hAnsi="Arial"/>
                <w:sz w:val="18"/>
                <w:szCs w:val="18"/>
                <w:color w:val="auto"/>
                <w:w w:val="97"/>
              </w:rPr>
              <w:t>Share-based compensation expense</w:t>
            </w:r>
          </w:p>
        </w:tc>
        <w:tc>
          <w:tcPr>
            <w:tcW w:w="1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14,420</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00"/>
        </w:trPr>
        <w:tc>
          <w:tcPr>
            <w:tcW w:w="3060" w:type="dxa"/>
            <w:vAlign w:val="bottom"/>
            <w:tcBorders>
              <w:right w:val="single" w:sz="8" w:color="CCEEFF"/>
            </w:tcBorders>
            <w:shd w:val="clear" w:color="auto" w:fill="CCEEFF"/>
          </w:tcPr>
          <w:p>
            <w:pPr>
              <w:ind w:left="160"/>
              <w:spacing w:after="0" w:line="200" w:lineRule="exact"/>
              <w:rPr>
                <w:sz w:val="20"/>
                <w:szCs w:val="20"/>
                <w:color w:val="auto"/>
              </w:rPr>
            </w:pPr>
            <w:r>
              <w:rPr>
                <w:rFonts w:ascii="Arial" w:cs="Arial" w:eastAsia="Arial" w:hAnsi="Arial"/>
                <w:sz w:val="18"/>
                <w:szCs w:val="18"/>
                <w:color w:val="auto"/>
                <w:w w:val="92"/>
              </w:rPr>
              <w:t>Sale of common stock, net of issuance</w:t>
            </w:r>
          </w:p>
        </w:tc>
        <w:tc>
          <w:tcPr>
            <w:tcW w:w="1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5,693</w:t>
            </w:r>
          </w:p>
        </w:tc>
        <w:tc>
          <w:tcPr>
            <w:tcW w:w="2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217,426</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223,119</w:t>
            </w:r>
          </w:p>
        </w:tc>
        <w:tc>
          <w:tcPr>
            <w:tcW w:w="0" w:type="dxa"/>
            <w:vAlign w:val="bottom"/>
          </w:tcPr>
          <w:p>
            <w:pPr>
              <w:spacing w:after="0"/>
              <w:rPr>
                <w:sz w:val="1"/>
                <w:szCs w:val="1"/>
                <w:color w:val="auto"/>
              </w:rPr>
            </w:pPr>
          </w:p>
        </w:tc>
      </w:tr>
      <w:tr>
        <w:trPr>
          <w:trHeight w:val="215"/>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60" w:type="dxa"/>
            <w:vAlign w:val="bottom"/>
          </w:tcPr>
          <w:p>
            <w:pPr>
              <w:spacing w:after="0"/>
              <w:rPr>
                <w:sz w:val="20"/>
                <w:szCs w:val="20"/>
                <w:color w:val="auto"/>
              </w:rPr>
            </w:pPr>
            <w:r>
              <w:rPr>
                <w:rFonts w:ascii="Arial" w:cs="Arial" w:eastAsia="Arial" w:hAnsi="Arial"/>
                <w:sz w:val="18"/>
                <w:szCs w:val="18"/>
                <w:color w:val="auto"/>
              </w:rPr>
              <w:t>Balance at December 25, 2021</w:t>
            </w:r>
          </w:p>
        </w:tc>
        <w:tc>
          <w:tcPr>
            <w:tcW w:w="1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48,756</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674,777</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193,555</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(27,262)</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(7,324)</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882,502</w:t>
            </w:r>
          </w:p>
        </w:tc>
        <w:tc>
          <w:tcPr>
            <w:tcW w:w="0" w:type="dxa"/>
            <w:vAlign w:val="bottom"/>
          </w:tcPr>
          <w:p>
            <w:pPr>
              <w:spacing w:after="0"/>
              <w:rPr>
                <w:sz w:val="1"/>
                <w:szCs w:val="1"/>
                <w:color w:val="auto"/>
              </w:rPr>
            </w:pPr>
          </w:p>
        </w:tc>
      </w:tr>
      <w:tr>
        <w:trPr>
          <w:trHeight w:val="214"/>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repurchases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(50,719)</w:t>
            </w:r>
          </w:p>
        </w:tc>
        <w:tc>
          <w:tcPr>
            <w:tcW w:w="0" w:type="dxa"/>
            <w:vAlign w:val="bottom"/>
          </w:tcPr>
          <w:p>
            <w:pPr>
              <w:spacing w:after="0"/>
              <w:rPr>
                <w:sz w:val="1"/>
                <w:szCs w:val="1"/>
                <w:color w:val="auto"/>
              </w:rPr>
            </w:pPr>
          </w:p>
        </w:tc>
      </w:tr>
      <w:tr>
        <w:trPr>
          <w:trHeight w:val="214"/>
        </w:trPr>
        <w:tc>
          <w:tcPr>
            <w:tcW w:w="30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96,847</w:t>
            </w:r>
          </w:p>
        </w:tc>
        <w:tc>
          <w:tcPr>
            <w:tcW w:w="1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96,847</w:t>
            </w:r>
          </w:p>
        </w:tc>
        <w:tc>
          <w:tcPr>
            <w:tcW w:w="0" w:type="dxa"/>
            <w:vAlign w:val="bottom"/>
          </w:tcPr>
          <w:p>
            <w:pPr>
              <w:spacing w:after="0"/>
              <w:rPr>
                <w:sz w:val="1"/>
                <w:szCs w:val="1"/>
                <w:color w:val="auto"/>
              </w:rPr>
            </w:pPr>
          </w:p>
        </w:tc>
      </w:tr>
      <w:tr>
        <w:trPr>
          <w:trHeight w:val="200"/>
        </w:trPr>
        <w:tc>
          <w:tcPr>
            <w:tcW w:w="3060" w:type="dxa"/>
            <w:vAlign w:val="bottom"/>
            <w:tcBorders>
              <w:right w:val="single" w:sz="8" w:color="CCEEFF"/>
            </w:tcBorders>
            <w:shd w:val="clear" w:color="auto" w:fill="CCEEFF"/>
          </w:tcPr>
          <w:p>
            <w:pPr>
              <w:ind w:left="160"/>
              <w:spacing w:after="0" w:line="200" w:lineRule="exact"/>
              <w:rPr>
                <w:sz w:val="20"/>
                <w:szCs w:val="20"/>
                <w:color w:val="auto"/>
              </w:rPr>
            </w:pPr>
            <w:r>
              <w:rPr>
                <w:rFonts w:ascii="Arial" w:cs="Arial" w:eastAsia="Arial" w:hAnsi="Arial"/>
                <w:sz w:val="18"/>
                <w:szCs w:val="18"/>
                <w:color w:val="auto"/>
              </w:rPr>
              <w:t>Changes in cumulative translation</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adjustment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(17,950)</w:t>
            </w:r>
          </w:p>
        </w:tc>
        <w:tc>
          <w:tcPr>
            <w:tcW w:w="0" w:type="dxa"/>
            <w:vAlign w:val="bottom"/>
          </w:tcPr>
          <w:p>
            <w:pPr>
              <w:spacing w:after="0"/>
              <w:rPr>
                <w:sz w:val="1"/>
                <w:szCs w:val="1"/>
                <w:color w:val="auto"/>
              </w:rPr>
            </w:pPr>
          </w:p>
        </w:tc>
      </w:tr>
      <w:tr>
        <w:trPr>
          <w:trHeight w:val="200"/>
        </w:trPr>
        <w:tc>
          <w:tcPr>
            <w:tcW w:w="3060" w:type="dxa"/>
            <w:vAlign w:val="bottom"/>
          </w:tcPr>
          <w:p>
            <w:pPr>
              <w:ind w:left="160"/>
              <w:spacing w:after="0" w:line="200" w:lineRule="exact"/>
              <w:rPr>
                <w:sz w:val="20"/>
                <w:szCs w:val="20"/>
                <w:color w:val="auto"/>
              </w:rPr>
            </w:pPr>
            <w:r>
              <w:rPr>
                <w:rFonts w:ascii="Arial" w:cs="Arial" w:eastAsia="Arial" w:hAnsi="Arial"/>
                <w:sz w:val="18"/>
                <w:szCs w:val="18"/>
                <w:color w:val="auto"/>
                <w:w w:val="95"/>
              </w:rPr>
              <w:t>Adjustments related to postretirement</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tcPr>
          <w:p>
            <w:pPr>
              <w:ind w:left="320"/>
              <w:spacing w:after="0"/>
              <w:rPr>
                <w:sz w:val="20"/>
                <w:szCs w:val="20"/>
                <w:color w:val="auto"/>
              </w:rPr>
            </w:pPr>
            <w:r>
              <w:rPr>
                <w:rFonts w:ascii="Arial" w:cs="Arial" w:eastAsia="Arial" w:hAnsi="Arial"/>
                <w:sz w:val="18"/>
                <w:szCs w:val="18"/>
                <w:color w:val="auto"/>
              </w:rPr>
              <w:t>benefits, net of tax</w:t>
            </w:r>
          </w:p>
        </w:tc>
        <w:tc>
          <w:tcPr>
            <w:tcW w:w="10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5,894</w:t>
            </w:r>
          </w:p>
        </w:tc>
        <w:tc>
          <w:tcPr>
            <w:tcW w:w="2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00"/>
        </w:trPr>
        <w:tc>
          <w:tcPr>
            <w:tcW w:w="306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Changes in unrealized gains and losses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on investments, net of tax</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4"/>
        </w:trPr>
        <w:tc>
          <w:tcPr>
            <w:tcW w:w="306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4"/>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Shares issued under ESPP</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3,470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00"/>
        </w:trPr>
        <w:tc>
          <w:tcPr>
            <w:tcW w:w="3060" w:type="dxa"/>
            <w:vAlign w:val="bottom"/>
          </w:tcPr>
          <w:p>
            <w:pPr>
              <w:ind w:left="160"/>
              <w:spacing w:after="0" w:line="200" w:lineRule="exact"/>
              <w:rPr>
                <w:sz w:val="20"/>
                <w:szCs w:val="20"/>
                <w:color w:val="auto"/>
              </w:rPr>
            </w:pPr>
            <w:r>
              <w:rPr>
                <w:rFonts w:ascii="Arial" w:cs="Arial" w:eastAsia="Arial" w:hAnsi="Arial"/>
                <w:sz w:val="18"/>
                <w:szCs w:val="18"/>
                <w:color w:val="auto"/>
                <w:w w:val="92"/>
              </w:rPr>
              <w:t>Shares issued for restricted stock units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60" w:type="dxa"/>
            <w:vAlign w:val="bottom"/>
          </w:tcPr>
          <w:p>
            <w:pPr>
              <w:ind w:left="320"/>
              <w:spacing w:after="0"/>
              <w:rPr>
                <w:sz w:val="20"/>
                <w:szCs w:val="20"/>
                <w:color w:val="auto"/>
              </w:rPr>
            </w:pPr>
            <w:r>
              <w:rPr>
                <w:rFonts w:ascii="Arial" w:cs="Arial" w:eastAsia="Arial" w:hAnsi="Arial"/>
                <w:sz w:val="18"/>
                <w:szCs w:val="18"/>
                <w:color w:val="auto"/>
              </w:rPr>
              <w:t>vested</w:t>
            </w:r>
          </w:p>
        </w:tc>
        <w:tc>
          <w:tcPr>
            <w:tcW w:w="10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and retirement of stock</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14"/>
        </w:trPr>
        <w:tc>
          <w:tcPr>
            <w:tcW w:w="3060" w:type="dxa"/>
            <w:vAlign w:val="bottom"/>
          </w:tcPr>
          <w:p>
            <w:pPr>
              <w:ind w:left="160"/>
              <w:spacing w:after="0"/>
              <w:rPr>
                <w:sz w:val="20"/>
                <w:szCs w:val="20"/>
                <w:color w:val="auto"/>
              </w:rPr>
            </w:pPr>
            <w:r>
              <w:rPr>
                <w:rFonts w:ascii="Arial" w:cs="Arial" w:eastAsia="Arial" w:hAnsi="Arial"/>
                <w:sz w:val="18"/>
                <w:szCs w:val="18"/>
                <w:color w:val="auto"/>
                <w:w w:val="97"/>
              </w:rPr>
              <w:t>Share-based compensation expense</w:t>
            </w:r>
          </w:p>
        </w:tc>
        <w:tc>
          <w:tcPr>
            <w:tcW w:w="1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14,918</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14,918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49,276</w:t>
            </w:r>
          </w:p>
        </w:tc>
        <w:tc>
          <w:tcPr>
            <w:tcW w:w="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687,218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290,402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(58,043)</w:t>
            </w:r>
          </w:p>
        </w:tc>
        <w:tc>
          <w:tcPr>
            <w:tcW w:w="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928,841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240"/>
          </w:cols>
          <w:pgMar w:left="320" w:top="125"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8"/>
                <w:szCs w:val="18"/>
                <w:color w:val="auto"/>
                <w:w w:val="84"/>
              </w:rPr>
              <w:t>Years ended</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25,</w:t>
            </w:r>
          </w:p>
        </w:tc>
        <w:tc>
          <w:tcPr>
            <w:tcW w:w="2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December 26,</w:t>
            </w:r>
          </w:p>
        </w:tc>
        <w:tc>
          <w:tcPr>
            <w:tcW w:w="0" w:type="dxa"/>
            <w:vAlign w:val="bottom"/>
          </w:tcPr>
          <w:p>
            <w:pPr>
              <w:spacing w:after="0"/>
              <w:rPr>
                <w:sz w:val="1"/>
                <w:szCs w:val="1"/>
                <w:color w:val="auto"/>
              </w:rPr>
            </w:pPr>
          </w:p>
        </w:tc>
      </w:tr>
      <w:tr>
        <w:trPr>
          <w:trHeight w:val="228"/>
        </w:trPr>
        <w:tc>
          <w:tcPr>
            <w:tcW w:w="5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96,847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167,325</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00"/>
        </w:trPr>
        <w:tc>
          <w:tcPr>
            <w:tcW w:w="59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w w:val="94"/>
              </w:rPr>
              <w:t>Adjustments to reconcile net income (loss) to net cash provided by operating</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320"/>
              <w:spacing w:after="0"/>
              <w:rPr>
                <w:sz w:val="20"/>
                <w:szCs w:val="20"/>
                <w:color w:val="auto"/>
              </w:rPr>
            </w:pPr>
            <w:r>
              <w:rPr>
                <w:rFonts w:ascii="Arial" w:cs="Arial" w:eastAsia="Arial" w:hAnsi="Arial"/>
                <w:sz w:val="18"/>
                <w:szCs w:val="18"/>
                <w:color w:val="auto"/>
              </w:rPr>
              <w:t>(Gain) loss on business divestitures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(70,815)</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capitalized associated with cloud computing implementation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5920" w:type="dxa"/>
            <w:vAlign w:val="bottom"/>
          </w:tcPr>
          <w:p>
            <w:pPr>
              <w:ind w:left="320"/>
              <w:spacing w:after="0"/>
              <w:rPr>
                <w:sz w:val="20"/>
                <w:szCs w:val="20"/>
                <w:color w:val="auto"/>
              </w:rPr>
            </w:pPr>
            <w:r>
              <w:rPr>
                <w:rFonts w:ascii="Arial" w:cs="Arial" w:eastAsia="Arial" w:hAnsi="Arial"/>
                <w:sz w:val="18"/>
                <w:szCs w:val="18"/>
                <w:color w:val="auto"/>
              </w:rPr>
              <w:t>Net accretion on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extinguishment of debt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3,411</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4"/>
        </w:trPr>
        <w:tc>
          <w:tcPr>
            <w:tcW w:w="5920" w:type="dxa"/>
            <w:vAlign w:val="bottom"/>
          </w:tcPr>
          <w:p>
            <w:pPr>
              <w:ind w:left="320"/>
              <w:spacing w:after="0"/>
              <w:rPr>
                <w:sz w:val="20"/>
                <w:szCs w:val="20"/>
                <w:color w:val="auto"/>
              </w:rPr>
            </w:pPr>
            <w:r>
              <w:rPr>
                <w:rFonts w:ascii="Arial" w:cs="Arial" w:eastAsia="Arial" w:hAnsi="Arial"/>
                <w:sz w:val="18"/>
                <w:szCs w:val="18"/>
                <w:color w:val="auto"/>
              </w:rPr>
              <w:t>Impairment charges related to indefinite lived intangibles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48,568</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52,746</w:t>
            </w:r>
          </w:p>
        </w:tc>
        <w:tc>
          <w:tcPr>
            <w:tcW w:w="0" w:type="dxa"/>
            <w:vAlign w:val="bottom"/>
          </w:tcPr>
          <w:p>
            <w:pPr>
              <w:spacing w:after="0"/>
              <w:rPr>
                <w:sz w:val="1"/>
                <w:szCs w:val="1"/>
                <w:color w:val="auto"/>
              </w:rPr>
            </w:pPr>
          </w:p>
        </w:tc>
      </w:tr>
      <w:tr>
        <w:trPr>
          <w:trHeight w:val="214"/>
        </w:trPr>
        <w:tc>
          <w:tcPr>
            <w:tcW w:w="592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14,918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13,792</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14,234</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 related charges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6,523</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320"/>
              <w:spacing w:after="0"/>
              <w:rPr>
                <w:sz w:val="20"/>
                <w:szCs w:val="20"/>
                <w:color w:val="auto"/>
              </w:rPr>
            </w:pPr>
            <w:r>
              <w:rPr>
                <w:rFonts w:ascii="Arial" w:cs="Arial" w:eastAsia="Arial" w:hAnsi="Arial"/>
                <w:sz w:val="18"/>
                <w:szCs w:val="18"/>
                <w:color w:val="auto"/>
              </w:rPr>
              <w:t>Amortization of debt discounts and issuance costs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retiree benefits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(3,504)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other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4"/>
        </w:trPr>
        <w:tc>
          <w:tcPr>
            <w:tcW w:w="5920" w:type="dxa"/>
            <w:vAlign w:val="bottom"/>
          </w:tcPr>
          <w:p>
            <w:pPr>
              <w:ind w:left="320"/>
              <w:spacing w:after="0"/>
              <w:rPr>
                <w:sz w:val="20"/>
                <w:szCs w:val="20"/>
                <w:color w:val="auto"/>
              </w:rPr>
            </w:pPr>
            <w:r>
              <w:rPr>
                <w:rFonts w:ascii="Arial" w:cs="Arial" w:eastAsia="Arial" w:hAnsi="Arial"/>
                <w:sz w:val="18"/>
                <w:szCs w:val="18"/>
                <w:color w:val="auto"/>
              </w:rPr>
              <w:t>Amortization of cloud-based software implementation costs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2,060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1,644</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from sale of property, plant and equipment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14"/>
        </w:trPr>
        <w:tc>
          <w:tcPr>
            <w:tcW w:w="5920" w:type="dxa"/>
            <w:vAlign w:val="bottom"/>
          </w:tcPr>
          <w:p>
            <w:pPr>
              <w:ind w:left="320"/>
              <w:spacing w:after="0"/>
              <w:rPr>
                <w:sz w:val="20"/>
                <w:szCs w:val="20"/>
                <w:color w:val="auto"/>
              </w:rPr>
            </w:pPr>
            <w:r>
              <w:rPr>
                <w:rFonts w:ascii="Arial" w:cs="Arial" w:eastAsia="Arial" w:hAnsi="Arial"/>
                <w:sz w:val="18"/>
                <w:szCs w:val="18"/>
                <w:color w:val="auto"/>
              </w:rPr>
              <w:t>Changes in other accrued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6,746</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320"/>
              <w:spacing w:after="0"/>
              <w:rPr>
                <w:sz w:val="20"/>
                <w:szCs w:val="20"/>
                <w:color w:val="auto"/>
              </w:rPr>
            </w:pPr>
            <w:r>
              <w:rPr>
                <w:rFonts w:ascii="Arial" w:cs="Arial" w:eastAsia="Arial" w:hAnsi="Arial"/>
                <w:sz w:val="18"/>
                <w:szCs w:val="18"/>
                <w:color w:val="auto"/>
                <w:w w:val="92"/>
              </w:rPr>
              <w:t>Changes in current assets and liabilities, excluding effects from divestitures: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Customer advances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(4,090)</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(59,123)</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(20,210)</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(35,864)</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(14,982)</w:t>
            </w:r>
          </w:p>
        </w:tc>
        <w:tc>
          <w:tcPr>
            <w:tcW w:w="0" w:type="dxa"/>
            <w:vAlign w:val="bottom"/>
          </w:tcPr>
          <w:p>
            <w:pPr>
              <w:spacing w:after="0"/>
              <w:rPr>
                <w:sz w:val="1"/>
                <w:szCs w:val="1"/>
                <w:color w:val="auto"/>
              </w:rPr>
            </w:pPr>
          </w:p>
        </w:tc>
      </w:tr>
      <w:tr>
        <w:trPr>
          <w:trHeight w:val="214"/>
        </w:trPr>
        <w:tc>
          <w:tcPr>
            <w:tcW w:w="5920" w:type="dxa"/>
            <w:vAlign w:val="bottom"/>
          </w:tcPr>
          <w:p>
            <w:pPr>
              <w:ind w:left="480"/>
              <w:spacing w:after="0"/>
              <w:rPr>
                <w:sz w:val="20"/>
                <w:szCs w:val="20"/>
                <w:color w:val="auto"/>
              </w:rPr>
            </w:pPr>
            <w:r>
              <w:rPr>
                <w:rFonts w:ascii="Arial" w:cs="Arial" w:eastAsia="Arial" w:hAnsi="Arial"/>
                <w:sz w:val="18"/>
                <w:szCs w:val="18"/>
                <w:color w:val="auto"/>
              </w:rPr>
              <w:t>Accrued compensation, warranty and other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(4,007)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17,316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15,058</w:t>
            </w:r>
          </w:p>
        </w:tc>
        <w:tc>
          <w:tcPr>
            <w:tcW w:w="0" w:type="dxa"/>
            <w:vAlign w:val="bottom"/>
          </w:tcPr>
          <w:p>
            <w:pPr>
              <w:spacing w:after="0"/>
              <w:rPr>
                <w:sz w:val="1"/>
                <w:szCs w:val="1"/>
                <w:color w:val="auto"/>
              </w:rPr>
            </w:pPr>
          </w:p>
        </w:tc>
      </w:tr>
      <w:tr>
        <w:trPr>
          <w:trHeight w:val="214"/>
        </w:trPr>
        <w:tc>
          <w:tcPr>
            <w:tcW w:w="5920" w:type="dxa"/>
            <w:vAlign w:val="bottom"/>
          </w:tcPr>
          <w:p>
            <w:pPr>
              <w:ind w:left="480"/>
              <w:spacing w:after="0"/>
              <w:rPr>
                <w:sz w:val="20"/>
                <w:szCs w:val="20"/>
                <w:color w:val="auto"/>
              </w:rPr>
            </w:pPr>
            <w:r>
              <w:rPr>
                <w:rFonts w:ascii="Arial" w:cs="Arial" w:eastAsia="Arial" w:hAnsi="Arial"/>
                <w:sz w:val="18"/>
                <w:szCs w:val="18"/>
                <w:color w:val="auto"/>
              </w:rPr>
              <w:t>Deferred profit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4,732</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1,709</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20,908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3,444</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Current and long-term operating lease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07"/>
        </w:trPr>
        <w:tc>
          <w:tcPr>
            <w:tcW w:w="592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112,861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97,915</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49,880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(14,770)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(18,660)</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received from sale of land, facility and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17,025</w:t>
            </w:r>
          </w:p>
        </w:tc>
        <w:tc>
          <w:tcPr>
            <w:tcW w:w="0" w:type="dxa"/>
            <w:vAlign w:val="bottom"/>
          </w:tcPr>
          <w:p>
            <w:pPr>
              <w:spacing w:after="0"/>
              <w:rPr>
                <w:sz w:val="1"/>
                <w:szCs w:val="1"/>
                <w:color w:val="auto"/>
              </w:rPr>
            </w:pPr>
          </w:p>
        </w:tc>
      </w:tr>
      <w:tr>
        <w:trPr>
          <w:trHeight w:val="214"/>
        </w:trPr>
        <w:tc>
          <w:tcPr>
            <w:tcW w:w="592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(208,856)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(204,699)</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135,549</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160"/>
              <w:spacing w:after="0"/>
              <w:rPr>
                <w:sz w:val="20"/>
                <w:szCs w:val="20"/>
                <w:color w:val="auto"/>
              </w:rPr>
            </w:pPr>
            <w:r>
              <w:rPr>
                <w:rFonts w:ascii="Arial" w:cs="Arial" w:eastAsia="Arial" w:hAnsi="Arial"/>
                <w:sz w:val="18"/>
                <w:szCs w:val="18"/>
                <w:color w:val="auto"/>
              </w:rPr>
              <w:t>Cash received from disposition of business, net of cash paid</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120,886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39,893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(18,363)</w:t>
            </w:r>
          </w:p>
        </w:tc>
        <w:tc>
          <w:tcPr>
            <w:tcW w:w="0" w:type="dxa"/>
            <w:vAlign w:val="bottom"/>
          </w:tcPr>
          <w:p>
            <w:pPr>
              <w:spacing w:after="0"/>
              <w:rPr>
                <w:sz w:val="1"/>
                <w:szCs w:val="1"/>
                <w:color w:val="auto"/>
              </w:rPr>
            </w:pPr>
          </w:p>
        </w:tc>
      </w:tr>
      <w:tr>
        <w:trPr>
          <w:trHeight w:val="214"/>
        </w:trPr>
        <w:tc>
          <w:tcPr>
            <w:tcW w:w="59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paid</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14"/>
        </w:trPr>
        <w:tc>
          <w:tcPr>
            <w:tcW w:w="5920" w:type="dxa"/>
            <w:vAlign w:val="bottom"/>
          </w:tcPr>
          <w:p>
            <w:pPr>
              <w:ind w:left="160"/>
              <w:spacing w:after="0"/>
              <w:rPr>
                <w:sz w:val="20"/>
                <w:szCs w:val="20"/>
                <w:color w:val="auto"/>
              </w:rPr>
            </w:pPr>
            <w:r>
              <w:rPr>
                <w:rFonts w:ascii="Arial" w:cs="Arial" w:eastAsia="Arial" w:hAnsi="Arial"/>
                <w:sz w:val="18"/>
                <w:szCs w:val="18"/>
                <w:color w:val="auto"/>
              </w:rPr>
              <w:t>Proceeds from revolving line of credit and construction loans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1,376</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(206,069)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(41,056)</w:t>
            </w:r>
          </w:p>
        </w:tc>
        <w:tc>
          <w:tcPr>
            <w:tcW w:w="0" w:type="dxa"/>
            <w:vAlign w:val="bottom"/>
          </w:tcPr>
          <w:p>
            <w:pPr>
              <w:spacing w:after="0"/>
              <w:rPr>
                <w:sz w:val="1"/>
                <w:szCs w:val="1"/>
                <w:color w:val="auto"/>
              </w:rPr>
            </w:pPr>
          </w:p>
        </w:tc>
      </w:tr>
      <w:tr>
        <w:trPr>
          <w:trHeight w:val="214"/>
        </w:trPr>
        <w:tc>
          <w:tcPr>
            <w:tcW w:w="5920" w:type="dxa"/>
            <w:vAlign w:val="bottom"/>
          </w:tcPr>
          <w:p>
            <w:pPr>
              <w:ind w:left="160"/>
              <w:spacing w:after="0"/>
              <w:rPr>
                <w:sz w:val="20"/>
                <w:szCs w:val="20"/>
                <w:color w:val="auto"/>
              </w:rPr>
            </w:pPr>
            <w:r>
              <w:rPr>
                <w:rFonts w:ascii="Arial" w:cs="Arial" w:eastAsia="Arial" w:hAnsi="Arial"/>
                <w:sz w:val="18"/>
                <w:szCs w:val="18"/>
                <w:color w:val="auto"/>
              </w:rPr>
              <w:t>Net issuance (repurchases) of stock, including awards settled in cash</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(1,957)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(4,390)</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current and long-term finance lease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4"/>
        </w:trPr>
        <w:tc>
          <w:tcPr>
            <w:tcW w:w="5920" w:type="dxa"/>
            <w:vAlign w:val="bottom"/>
          </w:tcPr>
          <w:p>
            <w:pPr>
              <w:ind w:left="160"/>
              <w:spacing w:after="0"/>
              <w:rPr>
                <w:sz w:val="20"/>
                <w:szCs w:val="20"/>
                <w:color w:val="auto"/>
              </w:rPr>
            </w:pPr>
            <w:r>
              <w:rPr>
                <w:rFonts w:ascii="Arial" w:cs="Arial" w:eastAsia="Arial" w:hAnsi="Arial"/>
                <w:sz w:val="18"/>
                <w:szCs w:val="18"/>
                <w:color w:val="auto"/>
              </w:rPr>
              <w:t>Acquisition of treasury stock</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(50,719)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(7,324)</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received from issuance of common stock, net of fees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223,119</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20" w:type="dxa"/>
            <w:vAlign w:val="bottom"/>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(91,069)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6,526</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(38,218)</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(3,491)</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(47,860)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140,843</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14"/>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290,201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149,358</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242,341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290,201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149,358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23,123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22,717</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6,253</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16,324</w:t>
            </w:r>
          </w:p>
        </w:tc>
        <w:tc>
          <w:tcPr>
            <w:tcW w:w="0" w:type="dxa"/>
            <w:vAlign w:val="bottom"/>
          </w:tcPr>
          <w:p>
            <w:pPr>
              <w:spacing w:after="0"/>
              <w:rPr>
                <w:sz w:val="1"/>
                <w:szCs w:val="1"/>
                <w:color w:val="auto"/>
              </w:rPr>
            </w:pPr>
          </w:p>
        </w:tc>
      </w:tr>
      <w:tr>
        <w:trPr>
          <w:trHeight w:val="214"/>
        </w:trPr>
        <w:tc>
          <w:tcPr>
            <w:tcW w:w="5920" w:type="dxa"/>
            <w:vAlign w:val="bottom"/>
          </w:tcPr>
          <w:p>
            <w:pPr>
              <w:ind w:left="160"/>
              <w:spacing w:after="0"/>
              <w:rPr>
                <w:sz w:val="20"/>
                <w:szCs w:val="20"/>
                <w:color w:val="auto"/>
              </w:rPr>
            </w:pPr>
            <w:r>
              <w:rPr>
                <w:rFonts w:ascii="Arial" w:cs="Arial" w:eastAsia="Arial" w:hAnsi="Arial"/>
                <w:sz w:val="18"/>
                <w:szCs w:val="18"/>
                <w:color w:val="auto"/>
              </w:rPr>
              <w:t>Property, plant and equipment purchases included in accounts payable</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624</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capitalized as capital assets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1,635</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240"/>
          </w:cols>
          <w:pgMar w:left="320" w:top="125"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97"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0" w:lineRule="exact"/>
        <w:rPr>
          <w:rFonts w:ascii="Arial" w:cs="Arial" w:eastAsia="Arial" w:hAnsi="Arial"/>
          <w:sz w:val="18"/>
          <w:szCs w:val="18"/>
          <w:b w:val="1"/>
          <w:bCs w:val="1"/>
          <w:color w:val="auto"/>
        </w:rPr>
      </w:pPr>
    </w:p>
    <w:p>
      <w:pPr>
        <w:ind w:left="320" w:right="6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Cohu, Inc. (“Cohu”, “we”, “our”, “us” and the “Company”), through our wholly owned subsidiaries, is a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semiconductor test equipment and services. Our consolidated financial statements include the accounts of Cohu and our wholly owned subsidiaries. All intercompany balances and transactions have been eliminated in consolidation. We evaluate the need to consolidate affiliates based on standards set forth in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p>
    <w:p>
      <w:pPr>
        <w:spacing w:after="0" w:line="187" w:lineRule="exact"/>
        <w:rPr>
          <w:rFonts w:ascii="Arial" w:cs="Arial" w:eastAsia="Arial" w:hAnsi="Arial"/>
          <w:sz w:val="18"/>
          <w:szCs w:val="18"/>
          <w:b w:val="1"/>
          <w:bCs w:val="1"/>
          <w:color w:val="auto"/>
        </w:rPr>
      </w:pPr>
    </w:p>
    <w:p>
      <w:pPr>
        <w:ind w:left="32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185" w:lineRule="exact"/>
        <w:rPr>
          <w:rFonts w:ascii="Arial" w:cs="Arial" w:eastAsia="Arial" w:hAnsi="Arial"/>
          <w:sz w:val="18"/>
          <w:szCs w:val="18"/>
          <w:b w:val="1"/>
          <w:bCs w:val="1"/>
          <w:color w:val="auto"/>
        </w:rPr>
      </w:pPr>
    </w:p>
    <w:p>
      <w:pPr>
        <w:ind w:left="320" w:right="160"/>
        <w:spacing w:after="0" w:line="335" w:lineRule="auto"/>
        <w:rPr>
          <w:rFonts w:ascii="Arial" w:cs="Arial" w:eastAsia="Arial" w:hAnsi="Arial"/>
          <w:sz w:val="18"/>
          <w:szCs w:val="18"/>
          <w:b w:val="1"/>
          <w:bCs w:val="1"/>
          <w:color w:val="auto"/>
        </w:rPr>
      </w:pPr>
      <w:r>
        <w:rPr>
          <w:rFonts w:ascii="Arial" w:cs="Arial" w:eastAsia="Arial" w:hAnsi="Arial"/>
          <w:sz w:val="16"/>
          <w:szCs w:val="16"/>
          <w:color w:val="auto"/>
        </w:rPr>
        <w:t>Our fiscal years are based on a 52- or 53-week period ending on the last Saturday in December. Our current fiscal year, which ended on December 31, 2022, consisted of 53 weeks. Our fiscal years ended on December 25, 2021, and December 26, 2020, each consisted of 52 weeks.</w:t>
      </w:r>
    </w:p>
    <w:p>
      <w:pPr>
        <w:spacing w:after="0" w:line="124" w:lineRule="exact"/>
        <w:rPr>
          <w:rFonts w:ascii="Arial" w:cs="Arial" w:eastAsia="Arial" w:hAnsi="Arial"/>
          <w:sz w:val="18"/>
          <w:szCs w:val="18"/>
          <w:b w:val="1"/>
          <w:bCs w:val="1"/>
          <w:color w:val="auto"/>
        </w:rPr>
      </w:pPr>
    </w:p>
    <w:p>
      <w:pPr>
        <w:ind w:left="320"/>
        <w:spacing w:after="0" w:line="268"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Business Divestitures and Discontinued Operations </w:t>
      </w:r>
      <w:r>
        <w:rPr>
          <w:rFonts w:ascii="Arial" w:cs="Arial" w:eastAsia="Arial" w:hAnsi="Arial"/>
          <w:sz w:val="17"/>
          <w:szCs w:val="17"/>
          <w:color w:val="auto"/>
        </w:rPr>
        <w:t>– On June 24, 2021, we completed the sale of our PCB Test business, which represented our PCB</w:t>
      </w:r>
      <w:r>
        <w:rPr>
          <w:rFonts w:ascii="Arial" w:cs="Arial" w:eastAsia="Arial" w:hAnsi="Arial"/>
          <w:sz w:val="17"/>
          <w:szCs w:val="17"/>
          <w:b w:val="1"/>
          <w:bCs w:val="1"/>
          <w:color w:val="auto"/>
        </w:rPr>
        <w:t xml:space="preserve"> </w:t>
      </w:r>
      <w:r>
        <w:rPr>
          <w:rFonts w:ascii="Arial" w:cs="Arial" w:eastAsia="Arial" w:hAnsi="Arial"/>
          <w:sz w:val="17"/>
          <w:szCs w:val="17"/>
          <w:color w:val="auto"/>
        </w:rPr>
        <w:t>Test segment. As part of the transaction we also sold certain intellectual property held by our Semiconductor Test &amp; Inspection segment that is utilized by the PCB Test business. In February 2020, we divested our fixtures services business. Our decision to sell these non-core businesses and assets resulted from management’s determination that that they were not a fit within the core business of our organization which is delivering leading-edge solutions for the manufacturing of semiconductors through back-end semiconductor equipment and services. Unless otherwise indicated, all amounts herein relate to continuing operations. For financial statement purposes, only the results of operations of our fixtures services business have been segregated from those of continuing operations and have been presented in our consolidated financial statements as discontinued operations for all periods presented. See Note 14, “</w:t>
      </w:r>
      <w:r>
        <w:rPr>
          <w:rFonts w:ascii="Arial" w:cs="Arial" w:eastAsia="Arial" w:hAnsi="Arial"/>
          <w:sz w:val="17"/>
          <w:szCs w:val="17"/>
          <w:i w:val="1"/>
          <w:iCs w:val="1"/>
          <w:color w:val="auto"/>
        </w:rPr>
        <w:t>Business Divestitures and Discontinued Operations</w:t>
      </w:r>
      <w:r>
        <w:rPr>
          <w:rFonts w:ascii="Arial" w:cs="Arial" w:eastAsia="Arial" w:hAnsi="Arial"/>
          <w:sz w:val="17"/>
          <w:szCs w:val="17"/>
          <w:color w:val="auto"/>
        </w:rPr>
        <w:t>” for additional information. Unless otherwise indicated, all amounts herein relate to continuing operations.</w:t>
      </w:r>
    </w:p>
    <w:p>
      <w:pPr>
        <w:spacing w:after="0" w:line="175" w:lineRule="exact"/>
        <w:rPr>
          <w:rFonts w:ascii="Arial" w:cs="Arial" w:eastAsia="Arial" w:hAnsi="Arial"/>
          <w:sz w:val="18"/>
          <w:szCs w:val="18"/>
          <w:b w:val="1"/>
          <w:bCs w:val="1"/>
          <w:color w:val="auto"/>
        </w:rPr>
      </w:pPr>
    </w:p>
    <w:p>
      <w:pPr>
        <w:ind w:left="320" w:right="80"/>
        <w:spacing w:after="0" w:line="25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(Loss) Per Share </w:t>
      </w:r>
      <w:r>
        <w:rPr>
          <w:rFonts w:ascii="Arial" w:cs="Arial" w:eastAsia="Arial" w:hAnsi="Arial"/>
          <w:sz w:val="18"/>
          <w:szCs w:val="18"/>
          <w:color w:val="auto"/>
        </w:rPr>
        <w:t>– Basic income (loss) per common share is computed by dividing net income (loss) by the weighted-average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outstanding during the reporting period. Diluted income (loss)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(loss) per share, stock options with exercise prices that exceed the average fair market value of our common stock for the period are excluded. For the years ended December 31, 2022, December 25, 2021 and December 26, 2020, approximately 261,000, 180,000, and 113,000 shares, respectively, of potentially issuable shares of our common stock were excluded from the computation.</w:t>
      </w:r>
    </w:p>
    <w:p>
      <w:pPr>
        <w:spacing w:after="0" w:line="19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Pr>
          <w:p>
            <w:pPr>
              <w:jc w:val="right"/>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2021</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r>
      <w:tr>
        <w:trPr>
          <w:trHeight w:val="208"/>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7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48,178</w:t>
            </w:r>
          </w:p>
        </w:tc>
        <w:tc>
          <w:tcPr>
            <w:tcW w:w="17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47,409</w:t>
            </w:r>
          </w:p>
        </w:tc>
        <w:tc>
          <w:tcPr>
            <w:tcW w:w="16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41,854</w:t>
            </w: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621</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1,051</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48,799</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48,460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41,854</w:t>
            </w: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jc w:val="both"/>
        <w:ind w:left="320" w:right="20"/>
        <w:spacing w:after="0" w:line="275" w:lineRule="auto"/>
        <w:rPr>
          <w:sz w:val="20"/>
          <w:szCs w:val="20"/>
          <w:color w:val="auto"/>
        </w:rPr>
      </w:pPr>
      <w:r>
        <w:rPr>
          <w:rFonts w:ascii="Arial" w:cs="Arial" w:eastAsia="Arial" w:hAnsi="Arial"/>
          <w:sz w:val="17"/>
          <w:szCs w:val="17"/>
          <w:color w:val="auto"/>
        </w:rPr>
        <w:t>For the year ended December 26, 2020, Cohu has utilized the “control number” concept in the computation of diluted earnings per share to determine whether potential common stock instruments are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97" w:lineRule="exact"/>
        <w:rPr>
          <w:sz w:val="20"/>
          <w:szCs w:val="20"/>
          <w:color w:val="auto"/>
        </w:rPr>
      </w:pPr>
    </w:p>
    <w:p>
      <w:pPr>
        <w:ind w:left="320" w:right="60"/>
        <w:spacing w:after="0" w:line="269" w:lineRule="auto"/>
        <w:rPr>
          <w:sz w:val="20"/>
          <w:szCs w:val="20"/>
          <w:color w:val="auto"/>
        </w:rPr>
      </w:pPr>
      <w:r>
        <w:rPr>
          <w:rFonts w:ascii="Arial" w:cs="Arial" w:eastAsia="Arial" w:hAnsi="Arial"/>
          <w:sz w:val="17"/>
          <w:szCs w:val="17"/>
          <w:b w:val="1"/>
          <w:bCs w:val="1"/>
          <w:color w:val="auto"/>
        </w:rPr>
        <w:t xml:space="preserve">Cash, Cash Equivalents and Short-term Investments </w:t>
      </w:r>
      <w:r>
        <w:rPr>
          <w:rFonts w:ascii="Arial" w:cs="Arial" w:eastAsia="Arial" w:hAnsi="Arial"/>
          <w:sz w:val="17"/>
          <w:szCs w:val="17"/>
          <w:color w:val="auto"/>
        </w:rPr>
        <w:t>– Highly liquid investments with insignificant interest rate risk and original maturities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or less are classified as cash and cash equivalents. Investments with maturities greater than three months are classified as short-term investments. All of our short-term investments in debt securities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have been classified as current assets in the accompanying consolidated balance sheets.</w:t>
      </w:r>
    </w:p>
    <w:p>
      <w:pPr>
        <w:spacing w:after="0" w:line="178" w:lineRule="exact"/>
        <w:rPr>
          <w:sz w:val="20"/>
          <w:szCs w:val="20"/>
          <w:color w:val="auto"/>
        </w:rPr>
      </w:pPr>
    </w:p>
    <w:p>
      <w:pPr>
        <w:ind w:left="320" w:right="240"/>
        <w:spacing w:after="0" w:line="306"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 The carrying amounts of our financial instruments, including cash and cash equivalents, accounts receivable,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payable and accrued expenses, approximate fair value due to the short maturities of these financial instruments.</w:t>
      </w:r>
    </w:p>
    <w:p>
      <w:pPr>
        <w:spacing w:after="0" w:line="143" w:lineRule="exact"/>
        <w:rPr>
          <w:sz w:val="20"/>
          <w:szCs w:val="20"/>
          <w:color w:val="auto"/>
        </w:rPr>
      </w:pPr>
    </w:p>
    <w:p>
      <w:pPr>
        <w:jc w:val="both"/>
        <w:ind w:left="320" w:right="80"/>
        <w:spacing w:after="0" w:line="261"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 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85" w:lineRule="exact"/>
        <w:rPr>
          <w:sz w:val="20"/>
          <w:szCs w:val="20"/>
          <w:color w:val="auto"/>
        </w:rPr>
      </w:pPr>
    </w:p>
    <w:p>
      <w:pPr>
        <w:ind w:left="320" w:right="20"/>
        <w:spacing w:after="0" w:line="253" w:lineRule="auto"/>
        <w:rPr>
          <w:sz w:val="20"/>
          <w:szCs w:val="20"/>
          <w:color w:val="auto"/>
        </w:rPr>
      </w:pPr>
      <w:r>
        <w:rPr>
          <w:rFonts w:ascii="Arial" w:cs="Arial" w:eastAsia="Arial" w:hAnsi="Arial"/>
          <w:sz w:val="18"/>
          <w:szCs w:val="18"/>
          <w:color w:val="auto"/>
        </w:rPr>
        <w:t xml:space="preserve">Our trade accounts receivable are presented net of an allowance for credit losses, which is determined in accordance with the guidance provided by ASC Topic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(“ASC 326”). Our customers include semiconductor manufacturers and semiconductor test subcontractors throughout many areas of the world. While we believe that our allowance for credit losses is adequate and represents our best estimate at December 31, 2022, we will continue to monitor customer liquidity and other economic conditions, which may result in changes to our estimates regarding expected credit losses.</w:t>
      </w:r>
    </w:p>
    <w:p>
      <w:pPr>
        <w:spacing w:after="0" w:line="189" w:lineRule="exact"/>
        <w:rPr>
          <w:sz w:val="20"/>
          <w:szCs w:val="20"/>
          <w:color w:val="auto"/>
        </w:rPr>
      </w:pPr>
    </w:p>
    <w:p>
      <w:pPr>
        <w:ind w:left="320"/>
        <w:spacing w:after="0" w:line="252"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 Inventories are stated at the lower of cost, determined on a first-in, first-out basis, or net realizable value. Cost includes labor, material and</w:t>
      </w:r>
      <w:r>
        <w:rPr>
          <w:rFonts w:ascii="Arial" w:cs="Arial" w:eastAsia="Arial" w:hAnsi="Arial"/>
          <w:sz w:val="18"/>
          <w:szCs w:val="18"/>
          <w:b w:val="1"/>
          <w:bCs w:val="1"/>
          <w:color w:val="auto"/>
        </w:rPr>
        <w:t xml:space="preserve"> </w:t>
      </w:r>
      <w:r>
        <w:rPr>
          <w:rFonts w:ascii="Arial" w:cs="Arial" w:eastAsia="Arial" w:hAnsi="Arial"/>
          <w:sz w:val="18"/>
          <w:szCs w:val="18"/>
          <w:color w:val="auto"/>
        </w:rPr>
        <w:t>overhead costs. Determining the net realizable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market values are below our costs. Charges to cost of sales for excess and obsolete inventories totaled $7.2 million and $7.1 million in 2022 and 2021, respectively. Charges to cost of sales for excess and obsolete inventories totaled $8.1 million in 2020 and included $2.1 million of inventory charges related to the decision to end manufacturing of certain of Xcerra’s semiconductor test handler products.</w:t>
      </w:r>
    </w:p>
    <w:p>
      <w:pPr>
        <w:sectPr>
          <w:pgSz w:w="11900" w:h="16838" w:orient="portrait"/>
          <w:cols w:equalWidth="0" w:num="1">
            <w:col w:w="11240"/>
          </w:cols>
          <w:pgMar w:left="320" w:top="125" w:right="339" w:bottom="1440" w:gutter="0" w:footer="0" w:header="0"/>
        </w:sectPr>
      </w:pPr>
    </w:p>
    <w:p>
      <w:pPr>
        <w:spacing w:after="0" w:line="19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Inventories by category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Raw materials and purchased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-121920</wp:posOffset>
            </wp:positionV>
            <wp:extent cx="6420485" cy="135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20485" cy="13589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Work in process</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-130175</wp:posOffset>
            </wp:positionV>
            <wp:extent cx="6420485" cy="144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20485" cy="144145"/>
                    </a:xfrm>
                    <a:prstGeom prst="rect">
                      <a:avLst/>
                    </a:prstGeom>
                    <a:noFill/>
                  </pic:spPr>
                </pic:pic>
              </a:graphicData>
            </a:graphic>
          </wp:anchor>
        </w:drawing>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8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December 25,</w:t>
            </w:r>
          </w:p>
        </w:tc>
      </w:tr>
      <w:tr>
        <w:trPr>
          <w:trHeight w:val="227"/>
        </w:trPr>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r>
      <w:tr>
        <w:trPr>
          <w:trHeight w:val="194"/>
        </w:trPr>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106,041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92,798</w:t>
            </w:r>
          </w:p>
        </w:tc>
        <w:tc>
          <w:tcPr>
            <w:tcW w:w="20" w:type="dxa"/>
            <w:vAlign w:val="bottom"/>
          </w:tcPr>
          <w:p>
            <w:pPr>
              <w:spacing w:after="0"/>
              <w:rPr>
                <w:sz w:val="16"/>
                <w:szCs w:val="16"/>
                <w:color w:val="auto"/>
              </w:rPr>
            </w:pPr>
          </w:p>
        </w:tc>
      </w:tr>
      <w:tr>
        <w:trPr>
          <w:trHeight w:val="214"/>
        </w:trPr>
        <w:tc>
          <w:tcPr>
            <w:tcW w:w="180" w:type="dxa"/>
            <w:vAlign w:val="bottom"/>
          </w:tcPr>
          <w:p>
            <w:pPr>
              <w:spacing w:after="0"/>
              <w:rPr>
                <w:sz w:val="18"/>
                <w:szCs w:val="18"/>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36,024</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40,732</w:t>
            </w:r>
          </w:p>
        </w:tc>
      </w:tr>
      <w:tr>
        <w:trPr>
          <w:trHeight w:val="227"/>
        </w:trPr>
        <w:tc>
          <w:tcPr>
            <w:tcW w:w="180" w:type="dxa"/>
            <w:vAlign w:val="bottom"/>
          </w:tcPr>
          <w:p>
            <w:pPr>
              <w:spacing w:after="0"/>
              <w:rPr>
                <w:sz w:val="19"/>
                <w:szCs w:val="19"/>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28,076</w:t>
            </w: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27,523</w:t>
            </w:r>
          </w:p>
        </w:tc>
      </w:tr>
      <w:tr>
        <w:trPr>
          <w:trHeight w:val="209"/>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170,141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161,053</w:t>
            </w:r>
          </w:p>
        </w:tc>
        <w:tc>
          <w:tcPr>
            <w:tcW w:w="20" w:type="dxa"/>
            <w:vAlign w:val="bottom"/>
          </w:tcPr>
          <w:p>
            <w:pPr>
              <w:spacing w:after="0"/>
              <w:rPr>
                <w:sz w:val="18"/>
                <w:szCs w:val="18"/>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6540" w:space="720"/>
            <w:col w:w="3980"/>
          </w:cols>
          <w:pgMar w:left="320" w:top="125" w:right="339" w:bottom="1440" w:gutter="0" w:footer="0" w:header="0"/>
          <w:type w:val="continuous"/>
        </w:sectPr>
      </w:pPr>
    </w:p>
    <w:p>
      <w:pPr>
        <w:ind w:left="320" w:right="20"/>
        <w:spacing w:after="0" w:line="261" w:lineRule="auto"/>
        <w:rPr>
          <w:sz w:val="20"/>
          <w:szCs w:val="20"/>
          <w:color w:val="auto"/>
        </w:rPr>
      </w:pPr>
      <w:r>
        <w:rPr>
          <w:rFonts w:ascii="Arial" w:cs="Arial" w:eastAsia="Arial" w:hAnsi="Arial"/>
          <w:sz w:val="18"/>
          <w:szCs w:val="18"/>
          <w:b w:val="1"/>
          <w:bCs w:val="1"/>
          <w:color w:val="auto"/>
        </w:rPr>
        <w:t xml:space="preserve">Gain on Sale of Facilities </w:t>
      </w:r>
      <w:r>
        <w:rPr>
          <w:rFonts w:ascii="Arial" w:cs="Arial" w:eastAsia="Arial" w:hAnsi="Arial"/>
          <w:sz w:val="18"/>
          <w:szCs w:val="18"/>
          <w:color w:val="auto"/>
        </w:rPr>
        <w:t>– As part of our previously announced Xcerra integration plan, we implemented certain facility consolidation actions. See</w:t>
      </w:r>
      <w:r>
        <w:rPr>
          <w:rFonts w:ascii="Arial" w:cs="Arial" w:eastAsia="Arial" w:hAnsi="Arial"/>
          <w:sz w:val="18"/>
          <w:szCs w:val="18"/>
          <w:b w:val="1"/>
          <w:bCs w:val="1"/>
          <w:color w:val="auto"/>
        </w:rPr>
        <w:t xml:space="preserve"> </w:t>
      </w:r>
      <w:r>
        <w:rPr>
          <w:rFonts w:ascii="Arial" w:cs="Arial" w:eastAsia="Arial" w:hAnsi="Arial"/>
          <w:sz w:val="18"/>
          <w:szCs w:val="18"/>
          <w:color w:val="auto"/>
        </w:rPr>
        <w:t>Note 4, “Restructuring Charges” for additional information on this program. During 2020, we completed the sales of our facilities located in Rosenheim, Germany and Penang, Malaysia which resulted in a gain of $4.5 million.</w:t>
      </w:r>
    </w:p>
    <w:p>
      <w:pPr>
        <w:spacing w:after="0" w:line="181" w:lineRule="exact"/>
        <w:rPr>
          <w:sz w:val="20"/>
          <w:szCs w:val="20"/>
          <w:color w:val="auto"/>
        </w:rPr>
      </w:pPr>
    </w:p>
    <w:p>
      <w:pPr>
        <w:ind w:left="320" w:right="20"/>
        <w:spacing w:after="0" w:line="220" w:lineRule="exact"/>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 Depreciation and amortization of property, plant and equipment, both owned and under financing lease, is calculated</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principally on the straight</w:t>
      </w:r>
      <w:r>
        <w:rPr>
          <w:rFonts w:ascii="MS PGothic" w:cs="MS PGothic" w:eastAsia="MS PGothic" w:hAnsi="MS PGothic"/>
          <w:sz w:val="17"/>
          <w:szCs w:val="17"/>
          <w:color w:val="auto"/>
        </w:rPr>
        <w:t>‑</w:t>
      </w:r>
      <w:r>
        <w:rPr>
          <w:rFonts w:ascii="Arial" w:cs="Arial" w:eastAsia="Arial" w:hAnsi="Arial"/>
          <w:sz w:val="17"/>
          <w:szCs w:val="17"/>
          <w:color w:val="auto"/>
        </w:rPr>
        <w:t>line method based on estimated useful lives of thirty to forty years for buildings, five to fifteen years for building improvements, three to ten years for machinery, equipment and software and the lease life for financing leases. Land is not depreciated.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7540" w:type="dxa"/>
            <w:vAlign w:val="bottom"/>
            <w:gridSpan w:val="2"/>
          </w:tcPr>
          <w:p>
            <w:pPr>
              <w:spacing w:after="0"/>
              <w:rPr>
                <w:sz w:val="20"/>
                <w:szCs w:val="20"/>
                <w:color w:val="auto"/>
              </w:rPr>
            </w:pPr>
            <w:r>
              <w:rPr>
                <w:rFonts w:ascii="Arial" w:cs="Arial" w:eastAsia="Arial" w:hAnsi="Arial"/>
                <w:sz w:val="18"/>
                <w:szCs w:val="18"/>
                <w:color w:val="auto"/>
              </w:rPr>
              <w:t xml:space="preserve">Property, plant and equipment, at cost,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5"/>
        </w:trPr>
        <w:tc>
          <w:tcPr>
            <w:tcW w:w="1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December 31,</w:t>
            </w:r>
          </w:p>
        </w:tc>
        <w:tc>
          <w:tcPr>
            <w:tcW w:w="18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25,</w:t>
            </w:r>
          </w:p>
        </w:tc>
      </w:tr>
      <w:tr>
        <w:trPr>
          <w:trHeight w:val="228"/>
        </w:trPr>
        <w:tc>
          <w:tcPr>
            <w:tcW w:w="16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08"/>
        </w:trPr>
        <w:tc>
          <w:tcPr>
            <w:tcW w:w="1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7,703</w:t>
            </w:r>
          </w:p>
        </w:tc>
      </w:tr>
      <w:tr>
        <w:trPr>
          <w:trHeight w:val="214"/>
        </w:trPr>
        <w:tc>
          <w:tcPr>
            <w:tcW w:w="1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31,161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31,711</w:t>
            </w:r>
          </w:p>
        </w:tc>
      </w:tr>
      <w:tr>
        <w:trPr>
          <w:trHeight w:val="214"/>
        </w:trPr>
        <w:tc>
          <w:tcPr>
            <w:tcW w:w="1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95,542</w:t>
            </w:r>
          </w:p>
        </w:tc>
      </w:tr>
      <w:tr>
        <w:trPr>
          <w:trHeight w:val="20"/>
        </w:trPr>
        <w:tc>
          <w:tcPr>
            <w:tcW w:w="16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1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143,336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134,956</w:t>
            </w:r>
          </w:p>
        </w:tc>
      </w:tr>
      <w:tr>
        <w:trPr>
          <w:trHeight w:val="214"/>
        </w:trPr>
        <w:tc>
          <w:tcPr>
            <w:tcW w:w="1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(78,325)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(70,999)</w:t>
            </w:r>
          </w:p>
        </w:tc>
      </w:tr>
      <w:tr>
        <w:trPr>
          <w:trHeight w:val="20"/>
        </w:trPr>
        <w:tc>
          <w:tcPr>
            <w:tcW w:w="16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1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65,011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63,957</w:t>
            </w:r>
          </w:p>
        </w:tc>
      </w:tr>
      <w:tr>
        <w:trPr>
          <w:trHeight w:val="20"/>
        </w:trPr>
        <w:tc>
          <w:tcPr>
            <w:tcW w:w="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left="320" w:right="40"/>
        <w:spacing w:after="0" w:line="271" w:lineRule="auto"/>
        <w:rPr>
          <w:sz w:val="20"/>
          <w:szCs w:val="20"/>
          <w:color w:val="auto"/>
        </w:rPr>
      </w:pPr>
      <w:r>
        <w:rPr>
          <w:rFonts w:ascii="Arial" w:cs="Arial" w:eastAsia="Arial" w:hAnsi="Arial"/>
          <w:sz w:val="18"/>
          <w:szCs w:val="18"/>
          <w:color w:val="auto"/>
        </w:rPr>
        <w:t>Depreciation expense was $12.8 million in 2022, $13.2 million in 2021 and $14.0 million in 2020. The decrease in depreciation expense recognized is a result of assets becoming fully depreciated.</w:t>
      </w:r>
    </w:p>
    <w:p>
      <w:pPr>
        <w:spacing w:after="0" w:line="171" w:lineRule="exact"/>
        <w:rPr>
          <w:sz w:val="20"/>
          <w:szCs w:val="20"/>
          <w:color w:val="auto"/>
        </w:rPr>
      </w:pPr>
    </w:p>
    <w:p>
      <w:pPr>
        <w:ind w:left="320" w:right="80"/>
        <w:spacing w:after="0" w:line="257" w:lineRule="auto"/>
        <w:rPr>
          <w:sz w:val="20"/>
          <w:szCs w:val="20"/>
          <w:color w:val="auto"/>
        </w:rPr>
      </w:pPr>
      <w:r>
        <w:rPr>
          <w:rFonts w:ascii="Arial" w:cs="Arial" w:eastAsia="Arial" w:hAnsi="Arial"/>
          <w:sz w:val="18"/>
          <w:szCs w:val="18"/>
          <w:b w:val="1"/>
          <w:bCs w:val="1"/>
          <w:color w:val="auto"/>
        </w:rPr>
        <w:t xml:space="preserve">Cloud Computing Implementation Costs </w:t>
      </w:r>
      <w:r>
        <w:rPr>
          <w:rFonts w:ascii="Arial" w:cs="Arial" w:eastAsia="Arial" w:hAnsi="Arial"/>
          <w:sz w:val="18"/>
          <w:szCs w:val="18"/>
          <w:color w:val="auto"/>
        </w:rPr>
        <w:t>– We have capitalized certain costs associated with the implementation of our new cloud-based Enterprise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Resource Planning (“ERP”) system in accordance with ASC Topic 350, </w:t>
      </w:r>
      <w:r>
        <w:rPr>
          <w:rFonts w:ascii="Arial" w:cs="Arial" w:eastAsia="Arial" w:hAnsi="Arial"/>
          <w:sz w:val="18"/>
          <w:szCs w:val="18"/>
          <w:i w:val="1"/>
          <w:iCs w:val="1"/>
          <w:color w:val="auto"/>
        </w:rPr>
        <w:t>Intangibles</w:t>
      </w:r>
      <w:r>
        <w:rPr>
          <w:rFonts w:ascii="Arial" w:cs="Arial" w:eastAsia="Arial" w:hAnsi="Arial"/>
          <w:sz w:val="18"/>
          <w:szCs w:val="18"/>
          <w:color w:val="auto"/>
        </w:rPr>
        <w:t>—</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(“ASC 350”). Capitalized costs include only external direct costs of materials and services consumed in developing the system and interest costs incurred, when material, while developing the system.</w:t>
      </w:r>
    </w:p>
    <w:p>
      <w:pPr>
        <w:spacing w:after="0" w:line="187" w:lineRule="exact"/>
        <w:rPr>
          <w:sz w:val="20"/>
          <w:szCs w:val="20"/>
          <w:color w:val="auto"/>
        </w:rPr>
      </w:pPr>
    </w:p>
    <w:p>
      <w:pPr>
        <w:ind w:left="320" w:right="60"/>
        <w:spacing w:after="0" w:line="297" w:lineRule="auto"/>
        <w:rPr>
          <w:sz w:val="20"/>
          <w:szCs w:val="20"/>
          <w:color w:val="auto"/>
        </w:rPr>
      </w:pPr>
      <w:r>
        <w:rPr>
          <w:rFonts w:ascii="Arial" w:cs="Arial" w:eastAsia="Arial" w:hAnsi="Arial"/>
          <w:sz w:val="16"/>
          <w:szCs w:val="16"/>
          <w:color w:val="auto"/>
        </w:rPr>
        <w:t>Total unamortized capitalized cloud computing implementation costs totaled $14.7 million and $13.5 million at December 31, 2022 and December 25, 2021, respectively. These amounts are recorded within other assets in our consolidated balance sheets. During the fourth quarter of 2022 the final phase of ERP system development was completed. Implementation costs are amortized using the straight-line method over seven years and we recorded $2.1 million and $1.6 million in amortization expense during the years ended December 31, 2022 and December 25, 2021, respectively.</w:t>
      </w:r>
    </w:p>
    <w:p>
      <w:pPr>
        <w:spacing w:after="0" w:line="155" w:lineRule="exact"/>
        <w:rPr>
          <w:sz w:val="20"/>
          <w:szCs w:val="20"/>
          <w:color w:val="auto"/>
        </w:rPr>
      </w:pPr>
    </w:p>
    <w:p>
      <w:pPr>
        <w:ind w:left="320" w:right="20"/>
        <w:spacing w:after="0" w:line="268" w:lineRule="auto"/>
        <w:rPr>
          <w:sz w:val="20"/>
          <w:szCs w:val="20"/>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 We applied the provisions of ASC Topic 280,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Segment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(“ASC 280”), which sets forth a management approach to</w:t>
      </w:r>
      <w:r>
        <w:rPr>
          <w:rFonts w:ascii="Arial" w:cs="Arial" w:eastAsia="Arial" w:hAnsi="Arial"/>
          <w:sz w:val="17"/>
          <w:szCs w:val="17"/>
          <w:b w:val="1"/>
          <w:bCs w:val="1"/>
          <w:color w:val="auto"/>
        </w:rPr>
        <w:t xml:space="preserve"> </w:t>
      </w:r>
      <w:r>
        <w:rPr>
          <w:rFonts w:ascii="Arial" w:cs="Arial" w:eastAsia="Arial" w:hAnsi="Arial"/>
          <w:sz w:val="17"/>
          <w:szCs w:val="17"/>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Test Handler Group (“THG”), Semiconductor Tester Group (“STG”) and Interface Solutions Group (“ISG”). Our THG, STG and ISG operating segments qualify for aggregation under ASC 280 due to similarities in their customers, their economic characteristics, and the nature of products and services provided. As a result, we report in one segment, Semiconductor Test &amp; Inspection. Prior to the sale of our PCB Test Group on June 24, 2021, we reported in two segments, Semiconductor Test &amp; Inspection and PCB Test.</w:t>
      </w:r>
    </w:p>
    <w:p>
      <w:pPr>
        <w:spacing w:after="0" w:line="175" w:lineRule="exact"/>
        <w:rPr>
          <w:sz w:val="20"/>
          <w:szCs w:val="20"/>
          <w:color w:val="auto"/>
        </w:rPr>
      </w:pPr>
    </w:p>
    <w:p>
      <w:pPr>
        <w:ind w:left="320"/>
        <w:spacing w:after="0" w:line="283" w:lineRule="auto"/>
        <w:rPr>
          <w:sz w:val="20"/>
          <w:szCs w:val="20"/>
          <w:color w:val="auto"/>
        </w:rPr>
      </w:pPr>
      <w:r>
        <w:rPr>
          <w:rFonts w:ascii="Arial" w:cs="Arial" w:eastAsia="Arial" w:hAnsi="Arial"/>
          <w:sz w:val="16"/>
          <w:szCs w:val="16"/>
          <w:b w:val="1"/>
          <w:bCs w:val="1"/>
          <w:color w:val="auto"/>
        </w:rPr>
        <w:t xml:space="preserve">Goodwill, Purchased Intangible Assets and Other Long-lived Assets </w:t>
      </w:r>
      <w:r>
        <w:rPr>
          <w:rFonts w:ascii="Arial" w:cs="Arial" w:eastAsia="Arial" w:hAnsi="Arial"/>
          <w:sz w:val="16"/>
          <w:szCs w:val="16"/>
          <w:color w:val="auto"/>
        </w:rPr>
        <w:t>– We evaluate goodwill and other indefinite-lived intangible assets,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solely comprised of in-process research and development (“IPR&amp;D”), for impairment annually and when an event occurs or circumstances change that indicate that the carrying value may not be recoverable. We test goodwill for impairment by first comparing the book value of net assets to the fair value of the reporting unit or, in the case of in-process research and development, to the fair value of the asset. If the fair value is determined to be less than the book value, a second step is performed to compute the amount of impairment as the difference between the fair value of the reporting unit and its carrying value, not to exceed the carrying value of goodwill. We estimated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in order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right="80"/>
        <w:spacing w:after="0" w:line="252" w:lineRule="auto"/>
        <w:rPr>
          <w:sz w:val="20"/>
          <w:szCs w:val="20"/>
          <w:color w:val="auto"/>
        </w:rPr>
      </w:pPr>
      <w:r>
        <w:rPr>
          <w:rFonts w:ascii="Arial" w:cs="Arial" w:eastAsia="Arial" w:hAnsi="Arial"/>
          <w:sz w:val="18"/>
          <w:szCs w:val="18"/>
          <w:color w:val="auto"/>
        </w:rPr>
        <w:t>We conduct our annual impairment test as of October 1st of each year, and have determined there was no impairment as of October 1, 2022, as we determined that the estimated fair values of our reporting units exceeded their carrying values on that date. Other events and changes in circumstances may also require goodwill to be tested for impairment between annual measurement dates. As of December 31, 2022,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spacing w:after="0" w:line="194" w:lineRule="exact"/>
        <w:rPr>
          <w:sz w:val="20"/>
          <w:szCs w:val="20"/>
          <w:color w:val="auto"/>
        </w:rPr>
      </w:pPr>
    </w:p>
    <w:p>
      <w:pPr>
        <w:ind w:left="320" w:right="60"/>
        <w:spacing w:after="0" w:line="270" w:lineRule="auto"/>
        <w:rPr>
          <w:sz w:val="20"/>
          <w:szCs w:val="20"/>
          <w:color w:val="auto"/>
        </w:rPr>
      </w:pPr>
      <w:r>
        <w:rPr>
          <w:rFonts w:ascii="Arial" w:cs="Arial" w:eastAsia="Arial" w:hAnsi="Arial"/>
          <w:sz w:val="17"/>
          <w:szCs w:val="17"/>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74" w:lineRule="exact"/>
        <w:rPr>
          <w:sz w:val="20"/>
          <w:szCs w:val="20"/>
          <w:color w:val="auto"/>
        </w:rPr>
      </w:pPr>
    </w:p>
    <w:p>
      <w:pPr>
        <w:ind w:left="320" w:right="140"/>
        <w:spacing w:after="0" w:line="294"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 Product warranty costs are accrued in the period sales are recognized. Our products are generally sold with standard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which differ by product, ranging from 12 to 36 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157" w:lineRule="exact"/>
        <w:rPr>
          <w:sz w:val="20"/>
          <w:szCs w:val="20"/>
          <w:color w:val="auto"/>
        </w:rPr>
      </w:pPr>
    </w:p>
    <w:p>
      <w:pPr>
        <w:ind w:left="320"/>
        <w:spacing w:after="0" w:line="27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We assess our income tax positions and record tax benefits for all years subject to examination based upon management’s evaluation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178" w:lineRule="exact"/>
        <w:rPr>
          <w:sz w:val="20"/>
          <w:szCs w:val="20"/>
          <w:color w:val="auto"/>
        </w:rPr>
      </w:pPr>
    </w:p>
    <w:p>
      <w:pPr>
        <w:ind w:left="320"/>
        <w:spacing w:after="0" w:line="293" w:lineRule="auto"/>
        <w:rPr>
          <w:sz w:val="20"/>
          <w:szCs w:val="20"/>
          <w:color w:val="auto"/>
        </w:rPr>
      </w:pPr>
      <w:r>
        <w:rPr>
          <w:rFonts w:ascii="Arial" w:cs="Arial" w:eastAsia="Arial" w:hAnsi="Arial"/>
          <w:sz w:val="16"/>
          <w:szCs w:val="16"/>
          <w:color w:val="auto"/>
        </w:rPr>
        <w:t>We recognized deferred tax assets and liabilities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for those jurisdictions when necessary to reduce deferred tax assets to the amounts that are more likely than not to be realized in the future.</w:t>
      </w:r>
    </w:p>
    <w:p>
      <w:pPr>
        <w:spacing w:after="0" w:line="157" w:lineRule="exact"/>
        <w:rPr>
          <w:sz w:val="20"/>
          <w:szCs w:val="20"/>
          <w:color w:val="auto"/>
        </w:rPr>
      </w:pPr>
    </w:p>
    <w:p>
      <w:pPr>
        <w:ind w:left="320" w:right="100"/>
        <w:spacing w:after="0" w:line="340" w:lineRule="auto"/>
        <w:rPr>
          <w:sz w:val="20"/>
          <w:szCs w:val="20"/>
          <w:color w:val="auto"/>
        </w:rPr>
      </w:pPr>
      <w:r>
        <w:rPr>
          <w:rFonts w:ascii="Arial" w:cs="Arial" w:eastAsia="Arial" w:hAnsi="Arial"/>
          <w:sz w:val="16"/>
          <w:szCs w:val="16"/>
          <w:b w:val="1"/>
          <w:bCs w:val="1"/>
          <w:color w:val="auto"/>
        </w:rPr>
        <w:t xml:space="preserve">Contingencies and Litigation </w:t>
      </w:r>
      <w:r>
        <w:rPr>
          <w:rFonts w:ascii="Arial" w:cs="Arial" w:eastAsia="Arial" w:hAnsi="Arial"/>
          <w:sz w:val="16"/>
          <w:szCs w:val="16"/>
          <w:color w:val="auto"/>
        </w:rPr>
        <w:t>– We assess the probability of adverse judgments in connection with current and threatened litigation. We would accrue</w:t>
      </w:r>
      <w:r>
        <w:rPr>
          <w:rFonts w:ascii="Arial" w:cs="Arial" w:eastAsia="Arial" w:hAnsi="Arial"/>
          <w:sz w:val="16"/>
          <w:szCs w:val="16"/>
          <w:b w:val="1"/>
          <w:bCs w:val="1"/>
          <w:color w:val="auto"/>
        </w:rPr>
        <w:t xml:space="preserve"> </w:t>
      </w:r>
      <w:r>
        <w:rPr>
          <w:rFonts w:ascii="Arial" w:cs="Arial" w:eastAsia="Arial" w:hAnsi="Arial"/>
          <w:sz w:val="16"/>
          <w:szCs w:val="16"/>
          <w:color w:val="auto"/>
        </w:rPr>
        <w:t>the cost of an adverse judgment if, in our estimation, the adverse outcome is probable, and we can reasonably estimate the ultimate cost.</w:t>
      </w:r>
    </w:p>
    <w:p>
      <w:pPr>
        <w:spacing w:after="0" w:line="121" w:lineRule="exact"/>
        <w:rPr>
          <w:sz w:val="20"/>
          <w:szCs w:val="20"/>
          <w:color w:val="auto"/>
        </w:rPr>
      </w:pPr>
    </w:p>
    <w:p>
      <w:pPr>
        <w:ind w:left="320" w:right="20"/>
        <w:spacing w:after="0" w:line="261"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We determine if a contract contains a lease at inception. Operating leases are included in operating lease right of use (“ROU”) assets,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other accrued liabilities, and long-term lease liabilities on our consolidated balance sheets. Finance leases are included in property, plant and equipment, other current accrued liabilities, and long-term lease liabilities on our consolidated balance sheets.</w:t>
      </w:r>
    </w:p>
    <w:p>
      <w:pPr>
        <w:spacing w:after="0" w:line="185" w:lineRule="exact"/>
        <w:rPr>
          <w:sz w:val="20"/>
          <w:szCs w:val="20"/>
          <w:color w:val="auto"/>
        </w:rPr>
      </w:pPr>
    </w:p>
    <w:p>
      <w:pPr>
        <w:ind w:left="320" w:right="220"/>
        <w:spacing w:after="0" w:line="275" w:lineRule="auto"/>
        <w:rPr>
          <w:sz w:val="20"/>
          <w:szCs w:val="20"/>
          <w:color w:val="auto"/>
        </w:rPr>
      </w:pPr>
      <w:r>
        <w:rPr>
          <w:rFonts w:ascii="Arial" w:cs="Arial" w:eastAsia="Arial" w:hAnsi="Arial"/>
          <w:sz w:val="17"/>
          <w:szCs w:val="17"/>
          <w:color w:val="auto"/>
        </w:rPr>
        <w:t>Operating lease ROU assets and operating lease liabilities are recognized based on the present value of the future minimum lease payments over the lease term at the adoption date of January 1, 2019,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right="20"/>
        <w:spacing w:after="0" w:line="290" w:lineRule="auto"/>
        <w:rPr>
          <w:sz w:val="20"/>
          <w:szCs w:val="20"/>
          <w:color w:val="auto"/>
        </w:rPr>
      </w:pPr>
      <w:r>
        <w:rPr>
          <w:rFonts w:ascii="Arial" w:cs="Arial" w:eastAsia="Arial" w:hAnsi="Arial"/>
          <w:sz w:val="16"/>
          <w:szCs w:val="16"/>
          <w:color w:val="auto"/>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spacing w:after="0" w:line="164" w:lineRule="exact"/>
        <w:rPr>
          <w:sz w:val="20"/>
          <w:szCs w:val="20"/>
          <w:color w:val="auto"/>
        </w:rPr>
      </w:pPr>
    </w:p>
    <w:p>
      <w:pPr>
        <w:ind w:left="320" w:right="160"/>
        <w:spacing w:after="0" w:line="259" w:lineRule="auto"/>
        <w:rPr>
          <w:sz w:val="20"/>
          <w:szCs w:val="20"/>
          <w:color w:val="auto"/>
        </w:rPr>
      </w:pPr>
      <w:r>
        <w:rPr>
          <w:rFonts w:ascii="Arial" w:cs="Arial" w:eastAsia="Arial" w:hAnsi="Arial"/>
          <w:sz w:val="18"/>
          <w:szCs w:val="18"/>
          <w:color w:val="auto"/>
        </w:rPr>
        <w:t>Leases with an initial term of 12 months or less are not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spacing w:after="0" w:line="186" w:lineRule="exact"/>
        <w:rPr>
          <w:sz w:val="20"/>
          <w:szCs w:val="20"/>
          <w:color w:val="auto"/>
        </w:rPr>
      </w:pPr>
    </w:p>
    <w:p>
      <w:pPr>
        <w:jc w:val="both"/>
        <w:ind w:left="320" w:right="200"/>
        <w:spacing w:after="0" w:line="259" w:lineRule="auto"/>
        <w:rPr>
          <w:sz w:val="20"/>
          <w:szCs w:val="20"/>
          <w:color w:val="auto"/>
        </w:rPr>
      </w:pPr>
      <w:r>
        <w:rPr>
          <w:rFonts w:ascii="Arial" w:cs="Arial" w:eastAsia="Arial" w:hAnsi="Arial"/>
          <w:sz w:val="18"/>
          <w:szCs w:val="18"/>
          <w:color w:val="auto"/>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spacing w:after="0" w:line="182" w:lineRule="exact"/>
        <w:rPr>
          <w:sz w:val="20"/>
          <w:szCs w:val="20"/>
          <w:color w:val="auto"/>
        </w:rPr>
      </w:pPr>
    </w:p>
    <w:p>
      <w:pPr>
        <w:ind w:left="320"/>
        <w:spacing w:after="0" w:line="277"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Our net sales are derived from the sale of products and services and are adjusted for estimated returns and allowances, which</w:t>
      </w:r>
      <w:r>
        <w:rPr>
          <w:rFonts w:ascii="Arial" w:cs="Arial" w:eastAsia="Arial" w:hAnsi="Arial"/>
          <w:sz w:val="17"/>
          <w:szCs w:val="17"/>
          <w:b w:val="1"/>
          <w:bCs w:val="1"/>
          <w:color w:val="auto"/>
        </w:rPr>
        <w:t xml:space="preserve"> </w:t>
      </w:r>
      <w:r>
        <w:rPr>
          <w:rFonts w:ascii="Arial" w:cs="Arial" w:eastAsia="Arial" w:hAnsi="Arial"/>
          <w:sz w:val="17"/>
          <w:szCs w:val="17"/>
          <w:color w:val="auto"/>
        </w:rPr>
        <w:t>historically have been insignificant. We recognize revenue when the obligations under the terms of a contract with our customers are satisfied; generally, this occurs with the transfer of control of our systems, non-system products or the completion of services. In circumstances where control is not transferred until destination or acceptance, we defer revenue recognition until such events occur.</w:t>
      </w:r>
    </w:p>
    <w:p>
      <w:pPr>
        <w:spacing w:after="0" w:line="171" w:lineRule="exact"/>
        <w:rPr>
          <w:sz w:val="20"/>
          <w:szCs w:val="20"/>
          <w:color w:val="auto"/>
        </w:rPr>
      </w:pPr>
    </w:p>
    <w:p>
      <w:pPr>
        <w:ind w:left="320" w:right="120"/>
        <w:spacing w:after="0" w:line="290" w:lineRule="auto"/>
        <w:rPr>
          <w:sz w:val="20"/>
          <w:szCs w:val="20"/>
          <w:color w:val="auto"/>
        </w:rPr>
      </w:pPr>
      <w:r>
        <w:rPr>
          <w:rFonts w:ascii="Arial" w:cs="Arial" w:eastAsia="Arial" w:hAnsi="Arial"/>
          <w:sz w:val="16"/>
          <w:szCs w:val="16"/>
          <w:color w:val="auto"/>
        </w:rPr>
        <w:t>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over time as we transfer control to our customer for the related contract or upon completion of the services if they are short-term in nature. Spares, contactor and kit revenue is generally recognized upon shipment.</w:t>
      </w:r>
    </w:p>
    <w:p>
      <w:pPr>
        <w:spacing w:after="0" w:line="164" w:lineRule="exact"/>
        <w:rPr>
          <w:sz w:val="20"/>
          <w:szCs w:val="20"/>
          <w:color w:val="auto"/>
        </w:rPr>
      </w:pPr>
    </w:p>
    <w:p>
      <w:pPr>
        <w:ind w:left="320"/>
        <w:spacing w:after="0" w:line="275" w:lineRule="auto"/>
        <w:rPr>
          <w:sz w:val="20"/>
          <w:szCs w:val="20"/>
          <w:color w:val="auto"/>
        </w:rPr>
      </w:pPr>
      <w:r>
        <w:rPr>
          <w:rFonts w:ascii="Arial" w:cs="Arial" w:eastAsia="Arial" w:hAnsi="Arial"/>
          <w:sz w:val="17"/>
          <w:szCs w:val="17"/>
          <w:color w:val="auto"/>
        </w:rPr>
        <w:t>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spacing w:after="0" w:line="174" w:lineRule="exact"/>
        <w:rPr>
          <w:sz w:val="20"/>
          <w:szCs w:val="20"/>
          <w:color w:val="auto"/>
        </w:rPr>
      </w:pPr>
    </w:p>
    <w:p>
      <w:pPr>
        <w:ind w:left="320" w:right="40"/>
        <w:spacing w:after="0" w:line="275" w:lineRule="auto"/>
        <w:rPr>
          <w:sz w:val="20"/>
          <w:szCs w:val="20"/>
          <w:color w:val="auto"/>
        </w:rPr>
      </w:pPr>
      <w:r>
        <w:rPr>
          <w:rFonts w:ascii="Arial" w:cs="Arial" w:eastAsia="Arial" w:hAnsi="Arial"/>
          <w:sz w:val="17"/>
          <w:szCs w:val="17"/>
          <w:color w:val="auto"/>
        </w:rPr>
        <w:t>Unsatisfied performance obligations primarily represent contracts for products with future delivery dates. At December 31, 2022 and December 25, 2021, we had $7.1 million and $7.7 million of revenue expected to be recognized in the future related to performance obligations that are unsatisfied (or partially unsatisfied) for contracts with original expected durations of over one year, respectively. As allowed under ASC 606, we have opted to not disclose unsatisfied performance obligations for contracts with original expected durations of less than one year.</w:t>
      </w:r>
    </w:p>
    <w:p>
      <w:pPr>
        <w:spacing w:after="0" w:line="174" w:lineRule="exact"/>
        <w:rPr>
          <w:sz w:val="20"/>
          <w:szCs w:val="20"/>
          <w:color w:val="auto"/>
        </w:rPr>
      </w:pPr>
    </w:p>
    <w:p>
      <w:pPr>
        <w:jc w:val="both"/>
        <w:ind w:left="320" w:right="40"/>
        <w:spacing w:after="0" w:line="259" w:lineRule="auto"/>
        <w:rPr>
          <w:sz w:val="20"/>
          <w:szCs w:val="20"/>
          <w:color w:val="auto"/>
        </w:rPr>
      </w:pPr>
      <w:r>
        <w:rPr>
          <w:rFonts w:ascii="Arial" w:cs="Arial" w:eastAsia="Arial" w:hAnsi="Arial"/>
          <w:sz w:val="18"/>
          <w:szCs w:val="18"/>
          <w:color w:val="auto"/>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(“ASC 460”), and not as a separate performance obligation.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spacing w:after="0" w:line="290" w:lineRule="auto"/>
        <w:rPr>
          <w:sz w:val="20"/>
          <w:szCs w:val="20"/>
          <w:color w:val="auto"/>
        </w:rPr>
      </w:pPr>
      <w:r>
        <w:rPr>
          <w:rFonts w:ascii="Arial" w:cs="Arial" w:eastAsia="Arial" w:hAnsi="Arial"/>
          <w:sz w:val="16"/>
          <w:szCs w:val="16"/>
          <w:color w:val="auto"/>
        </w:rPr>
        <w:t>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spacing w:after="0" w:line="164" w:lineRule="exact"/>
        <w:rPr>
          <w:sz w:val="20"/>
          <w:szCs w:val="20"/>
          <w:color w:val="auto"/>
        </w:rPr>
      </w:pPr>
    </w:p>
    <w:p>
      <w:pPr>
        <w:ind w:left="320" w:right="380"/>
        <w:spacing w:after="0" w:line="271" w:lineRule="auto"/>
        <w:rPr>
          <w:sz w:val="20"/>
          <w:szCs w:val="20"/>
          <w:color w:val="auto"/>
        </w:rPr>
      </w:pPr>
      <w:r>
        <w:rPr>
          <w:rFonts w:ascii="Arial" w:cs="Arial" w:eastAsia="Arial" w:hAnsi="Arial"/>
          <w:sz w:val="18"/>
          <w:szCs w:val="18"/>
          <w:color w:val="auto"/>
        </w:rPr>
        <w:t>Our contracts are typically less than one year in duration and we have elected to use the practical expedient available in ASC 606 to expense cost to obtain contracts as they are incurred because they would be amortized over less than one year.</w:t>
      </w:r>
    </w:p>
    <w:p>
      <w:pPr>
        <w:spacing w:after="0" w:line="175" w:lineRule="exact"/>
        <w:rPr>
          <w:sz w:val="20"/>
          <w:szCs w:val="20"/>
          <w:color w:val="auto"/>
        </w:rPr>
      </w:pPr>
    </w:p>
    <w:p>
      <w:pPr>
        <w:ind w:left="320" w:right="260"/>
        <w:spacing w:after="0" w:line="281" w:lineRule="auto"/>
        <w:rPr>
          <w:sz w:val="20"/>
          <w:szCs w:val="20"/>
          <w:color w:val="auto"/>
        </w:rPr>
      </w:pPr>
      <w:r>
        <w:rPr>
          <w:rFonts w:ascii="Arial" w:cs="Arial" w:eastAsia="Arial" w:hAnsi="Arial"/>
          <w:sz w:val="17"/>
          <w:szCs w:val="17"/>
          <w:color w:val="auto"/>
        </w:rPr>
        <w:t>Accounts receivable represents our unconditional right to receive consideration from our customers. Payments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shipments where sales are not recognized, gross profit is generally recorded as deferred profit in our consolidated balance sheet representing the</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difference between the receivable recorded and the inventory shipped. In certain instances where customer payments are received prior to product</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shipment, the customer’s payments are recorded as customer advances. At December 31, 2022, we had deferred revenue totaling approximately</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$16.1 million, current deferred profit of $8.0 million and deferred profit expected to be recognized after one year included in noncurrent other accrued</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liabilities of $5.5 million. At December 25, 2021, we had deferred revenue totaling approximately $21.9 million, current deferred profit of $13.2 million</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 deferred profit expected to be recognized after one year included in noncurrent other accrued liabilities of $6.1 million.</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5820" w:type="dxa"/>
            <w:vAlign w:val="bottom"/>
            <w:gridSpan w:val="2"/>
          </w:tcPr>
          <w:p>
            <w:pPr>
              <w:spacing w:after="0"/>
              <w:rPr>
                <w:sz w:val="20"/>
                <w:szCs w:val="20"/>
                <w:color w:val="auto"/>
              </w:rPr>
            </w:pPr>
            <w:r>
              <w:rPr>
                <w:rFonts w:ascii="Arial" w:cs="Arial" w:eastAsia="Arial" w:hAnsi="Arial"/>
                <w:sz w:val="18"/>
                <w:szCs w:val="18"/>
                <w:color w:val="auto"/>
              </w:rPr>
              <w:t>Disaggregated net sales by segment are as follows: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2"/>
        </w:trPr>
        <w:tc>
          <w:tcPr>
            <w:tcW w:w="160" w:type="dxa"/>
            <w:vAlign w:val="bottom"/>
          </w:tcPr>
          <w:p>
            <w:pPr>
              <w:spacing w:after="0"/>
              <w:rPr>
                <w:sz w:val="24"/>
                <w:szCs w:val="24"/>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Systems-Semiconductor Test &amp; Inspection</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474,655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541,589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317,821</w:t>
            </w:r>
          </w:p>
        </w:tc>
      </w:tr>
      <w:tr>
        <w:trPr>
          <w:trHeight w:val="214"/>
        </w:trPr>
        <w:tc>
          <w:tcPr>
            <w:tcW w:w="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Non-systems-Semiconductor Test &amp; Inspection</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338,120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318,865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267,419</w:t>
            </w:r>
          </w:p>
        </w:tc>
      </w:tr>
      <w:tr>
        <w:trPr>
          <w:trHeight w:val="214"/>
        </w:trPr>
        <w:tc>
          <w:tcPr>
            <w:tcW w:w="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Systems-PCB Test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33,293</w:t>
            </w:r>
          </w:p>
        </w:tc>
      </w:tr>
      <w:tr>
        <w:trPr>
          <w:trHeight w:val="214"/>
        </w:trPr>
        <w:tc>
          <w:tcPr>
            <w:tcW w:w="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Non-systems-PCB Test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17,474</w:t>
            </w:r>
          </w:p>
        </w:tc>
      </w:tr>
      <w:tr>
        <w:trPr>
          <w:trHeight w:val="20"/>
        </w:trPr>
        <w:tc>
          <w:tcPr>
            <w:tcW w:w="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16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812,775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887,214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636,007</w:t>
            </w:r>
          </w:p>
        </w:tc>
      </w:tr>
      <w:tr>
        <w:trPr>
          <w:trHeight w:val="20"/>
        </w:trPr>
        <w:tc>
          <w:tcPr>
            <w:tcW w:w="16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 Advertising costs are expensed as incurred and were not material for all periods presented.</w:t>
      </w:r>
    </w:p>
    <w:p>
      <w:pPr>
        <w:spacing w:after="0" w:line="221" w:lineRule="exact"/>
        <w:rPr>
          <w:sz w:val="20"/>
          <w:szCs w:val="20"/>
          <w:color w:val="auto"/>
        </w:rPr>
      </w:pPr>
    </w:p>
    <w:p>
      <w:pPr>
        <w:ind w:left="320"/>
        <w:spacing w:after="0" w:line="289" w:lineRule="auto"/>
        <w:rPr>
          <w:sz w:val="20"/>
          <w:szCs w:val="20"/>
          <w:color w:val="auto"/>
        </w:rPr>
      </w:pPr>
      <w:r>
        <w:rPr>
          <w:rFonts w:ascii="Arial" w:cs="Arial" w:eastAsia="Arial" w:hAnsi="Arial"/>
          <w:sz w:val="16"/>
          <w:szCs w:val="16"/>
          <w:b w:val="1"/>
          <w:bCs w:val="1"/>
          <w:color w:val="auto"/>
        </w:rPr>
        <w:t xml:space="preserve">Restructuring Costs </w:t>
      </w:r>
      <w:r>
        <w:rPr>
          <w:rFonts w:ascii="Arial" w:cs="Arial" w:eastAsia="Arial" w:hAnsi="Arial"/>
          <w:sz w:val="16"/>
          <w:szCs w:val="16"/>
          <w:color w:val="auto"/>
        </w:rPr>
        <w:t>– We record restructuring activities including costs for one-time termination benefits in accordance with ASC Topic 420,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Exit 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Disposal Cost Obligations </w:t>
      </w:r>
      <w:r>
        <w:rPr>
          <w:rFonts w:ascii="Arial" w:cs="Arial" w:eastAsia="Arial" w:hAnsi="Arial"/>
          <w:sz w:val="16"/>
          <w:szCs w:val="16"/>
          <w:color w:val="auto"/>
        </w:rPr>
        <w:t>(“ASC 420”)</w:t>
      </w:r>
      <w:r>
        <w:rPr>
          <w:rFonts w:ascii="Arial" w:cs="Arial" w:eastAsia="Arial" w:hAnsi="Arial"/>
          <w:sz w:val="16"/>
          <w:szCs w:val="16"/>
          <w:i w:val="1"/>
          <w:iCs w:val="1"/>
          <w:color w:val="auto"/>
        </w:rPr>
        <w:t xml:space="preserve">. </w:t>
      </w:r>
      <w:r>
        <w:rPr>
          <w:rFonts w:ascii="Arial" w:cs="Arial" w:eastAsia="Arial" w:hAnsi="Arial"/>
          <w:sz w:val="16"/>
          <w:szCs w:val="16"/>
          <w:color w:val="auto"/>
        </w:rPr>
        <w:t>The timing of recognition for severance costs accounted for under ASC 420 depends on whether employees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Arial" w:cs="Arial" w:eastAsia="Arial" w:hAnsi="Arial"/>
          <w:sz w:val="16"/>
          <w:szCs w:val="16"/>
          <w:i w:val="1"/>
          <w:iCs w:val="1"/>
          <w:color w:val="auto"/>
        </w:rPr>
        <w:t>Nonretirement Postemployment Benefits.</w:t>
      </w:r>
      <w:r>
        <w:rPr>
          <w:rFonts w:ascii="Arial" w:cs="Arial" w:eastAsia="Arial" w:hAnsi="Arial"/>
          <w:sz w:val="16"/>
          <w:szCs w:val="16"/>
          <w:color w:val="auto"/>
        </w:rPr>
        <w:t xml:space="preserve"> These costs are recognized when management has committed to a restructuring plan and the severance costs are probable and estimable.</w:t>
      </w:r>
    </w:p>
    <w:p>
      <w:pPr>
        <w:spacing w:after="0" w:line="161" w:lineRule="exact"/>
        <w:rPr>
          <w:sz w:val="20"/>
          <w:szCs w:val="20"/>
          <w:color w:val="auto"/>
        </w:rPr>
      </w:pPr>
    </w:p>
    <w:p>
      <w:pPr>
        <w:ind w:left="320" w:right="20"/>
        <w:spacing w:after="0" w:line="255" w:lineRule="auto"/>
        <w:rPr>
          <w:sz w:val="20"/>
          <w:szCs w:val="20"/>
          <w:color w:val="auto"/>
        </w:rPr>
      </w:pPr>
      <w:r>
        <w:rPr>
          <w:rFonts w:ascii="Arial" w:cs="Arial" w:eastAsia="Arial" w:hAnsi="Arial"/>
          <w:sz w:val="18"/>
          <w:szCs w:val="18"/>
          <w:b w:val="1"/>
          <w:bCs w:val="1"/>
          <w:color w:val="auto"/>
        </w:rPr>
        <w:t xml:space="preserve">Debt Issuance Costs </w:t>
      </w:r>
      <w:r>
        <w:rPr>
          <w:rFonts w:ascii="Arial" w:cs="Arial" w:eastAsia="Arial" w:hAnsi="Arial"/>
          <w:sz w:val="18"/>
          <w:szCs w:val="18"/>
          <w:color w:val="auto"/>
        </w:rPr>
        <w:t>– We defer costs related to the issuance of debt. Debt issuance costs directly related to our Term Loan Credit Facility are 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within noncurrent liabilities as a reduction of long-term debt in our consolidated balance sheets. The amortization of such costs is recognized as interest expense using the effective interest method over the term of the respective debt issue. Amortization related to deferred debt issuance costs and original discount costs was $0.3 million, $0.6 million and $1.2 million for the years ended December 31, 2022, December 25, 2021 and December 26, 2020,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97" w:lineRule="exact"/>
        <w:rPr>
          <w:sz w:val="20"/>
          <w:szCs w:val="20"/>
          <w:color w:val="auto"/>
        </w:rPr>
      </w:pPr>
    </w:p>
    <w:p>
      <w:pPr>
        <w:ind w:left="320"/>
        <w:spacing w:after="0" w:line="273" w:lineRule="auto"/>
        <w:rPr>
          <w:sz w:val="20"/>
          <w:szCs w:val="20"/>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We measure and recognize all share-based compensation under the fair value method. Our estimate of share-based</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expense requires a number of assumptions including our stock price volatility, employee exercise patterns (expected life of the options)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72" w:lineRule="exact"/>
        <w:rPr>
          <w:sz w:val="20"/>
          <w:szCs w:val="20"/>
          <w:color w:val="auto"/>
        </w:rPr>
      </w:pPr>
    </w:p>
    <w:p>
      <w:pPr>
        <w:ind w:left="320"/>
        <w:spacing w:after="0" w:line="269" w:lineRule="auto"/>
        <w:rPr>
          <w:sz w:val="20"/>
          <w:szCs w:val="20"/>
          <w:color w:val="auto"/>
        </w:rPr>
      </w:pPr>
      <w:r>
        <w:rPr>
          <w:rFonts w:ascii="Arial" w:cs="Arial" w:eastAsia="Arial" w:hAnsi="Arial"/>
          <w:sz w:val="17"/>
          <w:szCs w:val="17"/>
          <w:b w:val="1"/>
          <w:bCs w:val="1"/>
          <w:color w:val="auto"/>
        </w:rPr>
        <w:t xml:space="preserve">Foreign Remeasurement and Currency Translation </w:t>
      </w:r>
      <w:r>
        <w:rPr>
          <w:rFonts w:ascii="Arial" w:cs="Arial" w:eastAsia="Arial" w:hAnsi="Arial"/>
          <w:sz w:val="17"/>
          <w:szCs w:val="17"/>
          <w:color w:val="auto"/>
        </w:rPr>
        <w:t>– Assets and liabilities of our wholly owned foreign subsidiaries that use the U.S. Dollar as their</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years ended December 31, 2022 and December 25, 2021, in our consolidated statement of operations we recognized foreign exchange gains totaling $1.6 million and $0.4 million, respectively. During the year ended December 26, 2020, we recognized a foreign exchange loss of $3.2 million.</w:t>
      </w:r>
    </w:p>
    <w:p>
      <w:pPr>
        <w:spacing w:after="0" w:line="182" w:lineRule="exact"/>
        <w:rPr>
          <w:sz w:val="20"/>
          <w:szCs w:val="20"/>
          <w:color w:val="auto"/>
        </w:rPr>
      </w:pPr>
    </w:p>
    <w:p>
      <w:pPr>
        <w:ind w:left="320" w:right="300"/>
        <w:spacing w:after="0" w:line="255" w:lineRule="auto"/>
        <w:rPr>
          <w:sz w:val="20"/>
          <w:szCs w:val="20"/>
          <w:color w:val="auto"/>
        </w:rPr>
      </w:pPr>
      <w:r>
        <w:rPr>
          <w:rFonts w:ascii="Arial" w:cs="Arial" w:eastAsia="Arial" w:hAnsi="Arial"/>
          <w:sz w:val="18"/>
          <w:szCs w:val="18"/>
          <w:color w:val="auto"/>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w:t>
      </w:r>
    </w:p>
    <w:p>
      <w:pPr>
        <w:spacing w:after="0" w:line="186" w:lineRule="exact"/>
        <w:rPr>
          <w:sz w:val="20"/>
          <w:szCs w:val="20"/>
          <w:color w:val="auto"/>
        </w:rPr>
      </w:pPr>
    </w:p>
    <w:p>
      <w:pPr>
        <w:ind w:left="320" w:right="140"/>
        <w:spacing w:after="0" w:line="252" w:lineRule="auto"/>
        <w:rPr>
          <w:sz w:val="20"/>
          <w:szCs w:val="20"/>
          <w:color w:val="auto"/>
        </w:rPr>
      </w:pPr>
      <w:r>
        <w:rPr>
          <w:rFonts w:ascii="Arial" w:cs="Arial" w:eastAsia="Arial" w:hAnsi="Arial"/>
          <w:sz w:val="18"/>
          <w:szCs w:val="18"/>
          <w:b w:val="1"/>
          <w:bCs w:val="1"/>
          <w:color w:val="auto"/>
        </w:rPr>
        <w:t xml:space="preserve">Foreign Exchange Derivative Contracts </w:t>
      </w:r>
      <w:r>
        <w:rPr>
          <w:rFonts w:ascii="Arial" w:cs="Arial" w:eastAsia="Arial" w:hAnsi="Arial"/>
          <w:sz w:val="18"/>
          <w:szCs w:val="18"/>
          <w:color w:val="auto"/>
        </w:rPr>
        <w:t>– We operate and sell our products in various global markets. As a result, we are exposed to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exchange rates. During the fourth quarter of 2020, we began entering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in order to mitigate the risks and volatility associated with foreign currency transaction gains or losses. Additional information related to our foreign exchange derivative contracts is included in Note 7,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91" w:lineRule="exact"/>
        <w:rPr>
          <w:sz w:val="20"/>
          <w:szCs w:val="20"/>
          <w:color w:val="auto"/>
        </w:rPr>
      </w:pPr>
    </w:p>
    <w:p>
      <w:pPr>
        <w:ind w:left="320" w:right="140"/>
        <w:spacing w:after="0" w:line="287" w:lineRule="auto"/>
        <w:rPr>
          <w:sz w:val="20"/>
          <w:szCs w:val="20"/>
          <w:color w:val="auto"/>
        </w:rPr>
      </w:pPr>
      <w:r>
        <w:rPr>
          <w:rFonts w:ascii="Arial" w:cs="Arial" w:eastAsia="Arial" w:hAnsi="Arial"/>
          <w:sz w:val="16"/>
          <w:szCs w:val="16"/>
          <w:b w:val="1"/>
          <w:bCs w:val="1"/>
          <w:color w:val="auto"/>
        </w:rPr>
        <w:t xml:space="preserve">Accumulated Other Comprehensive Loss </w:t>
      </w:r>
      <w:r>
        <w:rPr>
          <w:rFonts w:ascii="Arial" w:cs="Arial" w:eastAsia="Arial" w:hAnsi="Arial"/>
          <w:sz w:val="16"/>
          <w:szCs w:val="16"/>
          <w:color w:val="auto"/>
        </w:rPr>
        <w:t>– Our accumulated other comprehensive loss totaled approximately $40.0 million at December 31, 2022,</w:t>
      </w:r>
      <w:r>
        <w:rPr>
          <w:rFonts w:ascii="Arial" w:cs="Arial" w:eastAsia="Arial" w:hAnsi="Arial"/>
          <w:sz w:val="16"/>
          <w:szCs w:val="16"/>
          <w:b w:val="1"/>
          <w:bCs w:val="1"/>
          <w:color w:val="auto"/>
        </w:rPr>
        <w:t xml:space="preserve"> </w:t>
      </w:r>
      <w:r>
        <w:rPr>
          <w:rFonts w:ascii="Arial" w:cs="Arial" w:eastAsia="Arial" w:hAnsi="Arial"/>
          <w:sz w:val="16"/>
          <w:szCs w:val="16"/>
          <w:color w:val="auto"/>
        </w:rPr>
        <w:t>and $27.3 million at December 25, 2021, and was attributed to, net of income taxes where applicable, foreign currency adjustments resulting from the translation of certain accounts into U.S. Dollars, changes in unrealized gains and losses on investments and adjustments to accumulated postretirement benefit obligations. The U.S. Dollar strengthened relative to certain foreign currencies in countries where we have operations as of December 25, 2021 and continued to strengthen as of December 31, 2022 and consequently, our accumulated other comprehensive loss attributed to foreign currency translation adjustments increased by $23.0 million and $18.0 million during the years ended December 25, 2021 and December 31, 2022, respectively. Reclassification adjustments from accumulated other comprehensive loss during 2022 and 2021 were not significant. Additional information related to accumulated other comprehensive loss, on an after-tax basis is included in Note 15,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Accounting Pronouncements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Recently Adopted Accounting Pronouncements </w:t>
      </w:r>
      <w:r>
        <w:rPr>
          <w:rFonts w:ascii="Arial" w:cs="Arial" w:eastAsia="Arial" w:hAnsi="Arial"/>
          <w:sz w:val="18"/>
          <w:szCs w:val="18"/>
          <w:color w:val="auto"/>
        </w:rPr>
        <w:t>– All accounting pronouncements adopted during the current year were not material.</w:t>
      </w:r>
    </w:p>
    <w:p>
      <w:pPr>
        <w:spacing w:after="0" w:line="225" w:lineRule="exact"/>
        <w:rPr>
          <w:sz w:val="20"/>
          <w:szCs w:val="20"/>
          <w:color w:val="auto"/>
        </w:rPr>
      </w:pPr>
    </w:p>
    <w:p>
      <w:pPr>
        <w:ind w:left="320" w:right="40"/>
        <w:spacing w:after="0" w:line="287"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 In March 2020, the FASB issued Accounting Standards Update (“ASU”) 2020-04,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Reference Rate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Reform (Topic 848): Facilitation of the Effects of Reference Rate Reform on Financial Reporting</w:t>
      </w:r>
      <w:r>
        <w:rPr>
          <w:rFonts w:ascii="Arial" w:cs="Arial" w:eastAsia="Arial" w:hAnsi="Arial"/>
          <w:sz w:val="16"/>
          <w:szCs w:val="16"/>
          <w:color w:val="auto"/>
        </w:rPr>
        <w:t>, which provides temporary optional expedients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exceptions for applying generally accepted accounting principles to contracts, hedging relationships and other transactions affected by reference rate reform. Our Term Loan Credit Facility bears interest at fluctuating interest rates based on LIBOR. If LIBOR ceases to exist, we may need to renegotiate our loan and we cannot predict what alternative index would be negotiated with our lenders. ASU 2020-04 was effective upon issuance and may be applied prospectively to contract modifications made on or before December 31, 2022. In December 2022, the FASB issued ASU 2022-06, </w:t>
      </w:r>
      <w:r>
        <w:rPr>
          <w:rFonts w:ascii="Arial" w:cs="Arial" w:eastAsia="Arial" w:hAnsi="Arial"/>
          <w:sz w:val="16"/>
          <w:szCs w:val="16"/>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Rate Reform (Topic 848): Deferral of the Sunset Date of Topic 848</w:t>
      </w:r>
      <w:r>
        <w:rPr>
          <w:rFonts w:ascii="Arial" w:cs="Arial" w:eastAsia="Arial" w:hAnsi="Arial"/>
          <w:sz w:val="16"/>
          <w:szCs w:val="16"/>
          <w:color w:val="auto"/>
        </w:rPr>
        <w:t>, to extend the temporary accounting rules under Topic 848 from December 31, 2022</w:t>
      </w:r>
      <w:r>
        <w:rPr>
          <w:rFonts w:ascii="Arial" w:cs="Arial" w:eastAsia="Arial" w:hAnsi="Arial"/>
          <w:sz w:val="16"/>
          <w:szCs w:val="16"/>
          <w:i w:val="1"/>
          <w:iCs w:val="1"/>
          <w:color w:val="auto"/>
        </w:rPr>
        <w:t xml:space="preserve"> </w:t>
      </w:r>
      <w:r>
        <w:rPr>
          <w:rFonts w:ascii="Arial" w:cs="Arial" w:eastAsia="Arial" w:hAnsi="Arial"/>
          <w:sz w:val="16"/>
          <w:szCs w:val="16"/>
          <w:color w:val="auto"/>
        </w:rPr>
        <w:t>to December 31, 2024. We do not expect the adoption of this guidance to have a material impact on our consolidated financial statements.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Allother newly issued accounting pronouncements not yet effective have been deemed either immaterial or not applicable.</w:t>
      </w:r>
    </w:p>
    <w:p>
      <w:pPr>
        <w:spacing w:after="0" w:line="200" w:lineRule="exact"/>
        <w:rPr>
          <w:sz w:val="20"/>
          <w:szCs w:val="20"/>
          <w:color w:val="auto"/>
        </w:rPr>
      </w:pPr>
    </w:p>
    <w:p>
      <w:pPr>
        <w:spacing w:after="0" w:line="284" w:lineRule="exact"/>
        <w:rPr>
          <w:sz w:val="20"/>
          <w:szCs w:val="20"/>
          <w:color w:val="auto"/>
        </w:rPr>
      </w:pPr>
    </w:p>
    <w:p>
      <w:pPr>
        <w:ind w:left="320" w:hanging="313"/>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w:t>
      </w:r>
    </w:p>
    <w:p>
      <w:pPr>
        <w:spacing w:after="0" w:line="22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6"/>
          <w:szCs w:val="16"/>
          <w:color w:val="auto"/>
        </w:rPr>
        <w:t>Changes in the carrying value of our goodwill during the years ended December 31, 2022, and December 25, 2021,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5460" w:type="dxa"/>
            <w:vAlign w:val="bottom"/>
          </w:tcPr>
          <w:p>
            <w:pPr>
              <w:spacing w:after="0"/>
              <w:rPr>
                <w:sz w:val="18"/>
                <w:szCs w:val="18"/>
                <w:color w:val="auto"/>
              </w:rPr>
            </w:pP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Semiconductor Test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71"/>
              <w:spacing w:after="0"/>
              <w:rPr>
                <w:sz w:val="20"/>
                <w:szCs w:val="20"/>
                <w:color w:val="auto"/>
              </w:rPr>
            </w:pPr>
            <w:r>
              <w:rPr>
                <w:rFonts w:ascii="Arial" w:cs="Arial" w:eastAsia="Arial" w:hAnsi="Arial"/>
                <w:sz w:val="18"/>
                <w:szCs w:val="18"/>
                <w:color w:val="auto"/>
              </w:rPr>
              <w:t>&amp;</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0"/>
              </w:rPr>
              <w:t>Inspection</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PCB Test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Total Goodwill</w:t>
            </w:r>
          </w:p>
        </w:tc>
        <w:tc>
          <w:tcPr>
            <w:tcW w:w="100" w:type="dxa"/>
            <w:vAlign w:val="bottom"/>
          </w:tcPr>
          <w:p>
            <w:pPr>
              <w:spacing w:after="0"/>
              <w:rPr>
                <w:sz w:val="19"/>
                <w:szCs w:val="19"/>
                <w:color w:val="auto"/>
              </w:rPr>
            </w:pPr>
          </w:p>
        </w:tc>
      </w:tr>
      <w:tr>
        <w:trPr>
          <w:trHeight w:val="20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26, 2020</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230,724</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252,304</w:t>
            </w:r>
          </w:p>
        </w:tc>
      </w:tr>
      <w:tr>
        <w:trPr>
          <w:trHeight w:val="214"/>
        </w:trPr>
        <w:tc>
          <w:tcPr>
            <w:tcW w:w="5460" w:type="dxa"/>
            <w:vAlign w:val="bottom"/>
          </w:tcPr>
          <w:p>
            <w:pPr>
              <w:ind w:left="320"/>
              <w:spacing w:after="0" w:line="214" w:lineRule="exact"/>
              <w:rPr>
                <w:sz w:val="20"/>
                <w:szCs w:val="20"/>
                <w:color w:val="auto"/>
              </w:rPr>
            </w:pPr>
            <w:r>
              <w:rPr>
                <w:rFonts w:ascii="Arial" w:cs="Arial" w:eastAsia="Arial" w:hAnsi="Arial"/>
                <w:sz w:val="15"/>
                <w:szCs w:val="15"/>
                <w:color w:val="auto"/>
              </w:rPr>
              <w:t xml:space="preserve">Sale of PCB Test Business </w:t>
            </w:r>
            <w:r>
              <w:rPr>
                <w:rFonts w:ascii="Arial" w:cs="Arial" w:eastAsia="Arial" w:hAnsi="Arial"/>
                <w:sz w:val="24"/>
                <w:szCs w:val="24"/>
                <w:color w:val="auto"/>
                <w:vertAlign w:val="superscript"/>
              </w:rPr>
              <w:t>(1)</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(21,899)</w:t>
            </w:r>
          </w:p>
        </w:tc>
        <w:tc>
          <w:tcPr>
            <w:tcW w:w="1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(21,899)</w:t>
            </w:r>
          </w:p>
        </w:tc>
      </w:tr>
      <w:tr>
        <w:trPr>
          <w:trHeight w:val="214"/>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Impact of currency exchange</w:t>
            </w:r>
          </w:p>
        </w:tc>
        <w:tc>
          <w:tcPr>
            <w:tcW w:w="2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(10,933)</w:t>
            </w:r>
          </w:p>
        </w:tc>
        <w:tc>
          <w:tcPr>
            <w:tcW w:w="2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(10,614)</w:t>
            </w:r>
          </w:p>
        </w:tc>
      </w:tr>
      <w:tr>
        <w:trPr>
          <w:trHeight w:val="20"/>
        </w:trPr>
        <w:tc>
          <w:tcPr>
            <w:tcW w:w="5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5460" w:type="dxa"/>
            <w:vAlign w:val="bottom"/>
          </w:tcPr>
          <w:p>
            <w:pPr>
              <w:ind w:left="320"/>
              <w:spacing w:after="0"/>
              <w:rPr>
                <w:sz w:val="20"/>
                <w:szCs w:val="20"/>
                <w:color w:val="auto"/>
              </w:rPr>
            </w:pPr>
            <w:r>
              <w:rPr>
                <w:rFonts w:ascii="Arial" w:cs="Arial" w:eastAsia="Arial" w:hAnsi="Arial"/>
                <w:sz w:val="18"/>
                <w:szCs w:val="18"/>
                <w:color w:val="auto"/>
              </w:rPr>
              <w:t>Balance December 25, 2021</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219,791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219,791</w:t>
            </w:r>
          </w:p>
        </w:tc>
      </w:tr>
      <w:tr>
        <w:trPr>
          <w:trHeight w:val="214"/>
        </w:trPr>
        <w:tc>
          <w:tcPr>
            <w:tcW w:w="5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Impact of currency exchange</w:t>
            </w:r>
          </w:p>
        </w:tc>
        <w:tc>
          <w:tcPr>
            <w:tcW w:w="2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(6,252)</w:t>
            </w:r>
          </w:p>
        </w:tc>
        <w:tc>
          <w:tcPr>
            <w:tcW w:w="2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(6,252)</w:t>
            </w:r>
          </w:p>
        </w:tc>
      </w:tr>
      <w:tr>
        <w:trPr>
          <w:trHeight w:val="20"/>
        </w:trPr>
        <w:tc>
          <w:tcPr>
            <w:tcW w:w="5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5460" w:type="dxa"/>
            <w:vAlign w:val="bottom"/>
          </w:tcPr>
          <w:p>
            <w:pPr>
              <w:spacing w:after="0"/>
              <w:rPr>
                <w:sz w:val="20"/>
                <w:szCs w:val="20"/>
                <w:color w:val="auto"/>
              </w:rPr>
            </w:pPr>
            <w:r>
              <w:rPr>
                <w:rFonts w:ascii="Arial" w:cs="Arial" w:eastAsia="Arial" w:hAnsi="Arial"/>
                <w:sz w:val="18"/>
                <w:szCs w:val="18"/>
                <w:color w:val="auto"/>
              </w:rPr>
              <w:t>Balance December 31, 2022</w:t>
            </w:r>
          </w:p>
        </w:tc>
        <w:tc>
          <w:tcPr>
            <w:tcW w:w="240" w:type="dxa"/>
            <w:vAlign w:val="bottom"/>
          </w:tcPr>
          <w:p>
            <w:pPr>
              <w:jc w:val="right"/>
              <w:ind w:right="82"/>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213,539</w:t>
            </w:r>
          </w:p>
        </w:tc>
        <w:tc>
          <w:tcPr>
            <w:tcW w:w="18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213,539</w:t>
            </w:r>
          </w:p>
        </w:tc>
      </w:tr>
      <w:tr>
        <w:trPr>
          <w:trHeight w:val="20"/>
        </w:trPr>
        <w:tc>
          <w:tcPr>
            <w:tcW w:w="5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left="540" w:right="40" w:hanging="213"/>
        <w:spacing w:after="0" w:line="271" w:lineRule="auto"/>
        <w:rPr>
          <w:sz w:val="20"/>
          <w:szCs w:val="20"/>
          <w:color w:val="auto"/>
        </w:rPr>
      </w:pPr>
      <w:r>
        <w:rPr>
          <w:rFonts w:ascii="Arial" w:cs="Arial" w:eastAsia="Arial" w:hAnsi="Arial"/>
          <w:sz w:val="18"/>
          <w:szCs w:val="18"/>
          <w:color w:val="auto"/>
        </w:rPr>
        <w:t>(1)On June 24, 2021, we completed the sale of our PCB Test business. See Note 14, “</w:t>
      </w:r>
      <w:r>
        <w:rPr>
          <w:rFonts w:ascii="Arial" w:cs="Arial" w:eastAsia="Arial" w:hAnsi="Arial"/>
          <w:sz w:val="18"/>
          <w:szCs w:val="18"/>
          <w:i w:val="1"/>
          <w:iCs w:val="1"/>
          <w:color w:val="auto"/>
        </w:rPr>
        <w:t>Business Divestitures and Discontinued Operations</w:t>
      </w:r>
      <w:r>
        <w:rPr>
          <w:rFonts w:ascii="Arial" w:cs="Arial" w:eastAsia="Arial" w:hAnsi="Arial"/>
          <w:sz w:val="18"/>
          <w:szCs w:val="18"/>
          <w:color w:val="auto"/>
        </w:rPr>
        <w:t>” for additional information.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Purchased intangible assets, subject to amortization,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2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8"/>
                <w:szCs w:val="18"/>
                <w:color w:val="auto"/>
                <w:w w:val="93"/>
              </w:rPr>
              <w:t>December 31, 2022</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18"/>
                <w:szCs w:val="18"/>
                <w:color w:val="auto"/>
              </w:rPr>
              <w:t>December 25, 2021</w:t>
            </w:r>
          </w:p>
        </w:tc>
      </w:tr>
      <w:tr>
        <w:trPr>
          <w:trHeight w:val="194"/>
        </w:trPr>
        <w:tc>
          <w:tcPr>
            <w:tcW w:w="2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2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2"/>
              </w:rPr>
              <w:t>Gross Carrying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Accumulated</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Useful Life</w:t>
            </w:r>
          </w:p>
        </w:tc>
        <w:tc>
          <w:tcPr>
            <w:tcW w:w="120" w:type="dxa"/>
            <w:vAlign w:val="bottom"/>
          </w:tcPr>
          <w:p>
            <w:pPr>
              <w:spacing w:after="0"/>
              <w:rPr>
                <w:sz w:val="19"/>
                <w:szCs w:val="19"/>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w w:val="90"/>
              </w:rPr>
              <w:t>Gross Carrying</w:t>
            </w: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Accumulated</w:t>
            </w:r>
          </w:p>
        </w:tc>
      </w:tr>
      <w:tr>
        <w:trPr>
          <w:trHeight w:val="228"/>
        </w:trPr>
        <w:tc>
          <w:tcPr>
            <w:tcW w:w="2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Amount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3"/>
              </w:rPr>
              <w:t>Amortization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3"/>
              </w:rPr>
              <w:t>Amortization</w:t>
            </w:r>
          </w:p>
        </w:tc>
        <w:tc>
          <w:tcPr>
            <w:tcW w:w="100" w:type="dxa"/>
            <w:vAlign w:val="bottom"/>
          </w:tcPr>
          <w:p>
            <w:pPr>
              <w:spacing w:after="0"/>
              <w:rPr>
                <w:sz w:val="19"/>
                <w:szCs w:val="19"/>
                <w:color w:val="auto"/>
              </w:rPr>
            </w:pPr>
          </w:p>
        </w:tc>
      </w:tr>
      <w:tr>
        <w:trPr>
          <w:trHeight w:val="208"/>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224,253</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128,938</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229,131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104,855</w:t>
            </w:r>
          </w:p>
        </w:tc>
      </w:tr>
      <w:tr>
        <w:trPr>
          <w:trHeight w:val="214"/>
        </w:trPr>
        <w:tc>
          <w:tcPr>
            <w:tcW w:w="2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31,015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65,916</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26,189</w:t>
            </w:r>
          </w:p>
        </w:tc>
      </w:tr>
      <w:tr>
        <w:trPr>
          <w:trHeight w:val="214"/>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20,877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7,714</w:t>
            </w:r>
          </w:p>
        </w:tc>
      </w:tr>
      <w:tr>
        <w:trPr>
          <w:trHeight w:val="214"/>
        </w:trPr>
        <w:tc>
          <w:tcPr>
            <w:tcW w:w="2840" w:type="dxa"/>
            <w:vAlign w:val="bottom"/>
          </w:tcPr>
          <w:p>
            <w:pPr>
              <w:spacing w:after="0"/>
              <w:rPr>
                <w:sz w:val="20"/>
                <w:szCs w:val="20"/>
                <w:color w:val="auto"/>
              </w:rPr>
            </w:pPr>
            <w:r>
              <w:rPr>
                <w:rFonts w:ascii="Arial" w:cs="Arial" w:eastAsia="Arial" w:hAnsi="Arial"/>
                <w:sz w:val="18"/>
                <w:szCs w:val="18"/>
                <w:color w:val="auto"/>
              </w:rPr>
              <w:t>Covenant not-to-compete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0"/>
        </w:trPr>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8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309,615</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169,511</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138,912</w:t>
            </w: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320"/>
        <w:spacing w:after="0" w:line="271" w:lineRule="auto"/>
        <w:rPr>
          <w:sz w:val="20"/>
          <w:szCs w:val="20"/>
          <w:color w:val="auto"/>
        </w:rPr>
      </w:pPr>
      <w:r>
        <w:rPr>
          <w:rFonts w:ascii="Arial" w:cs="Arial" w:eastAsia="Arial" w:hAnsi="Arial"/>
          <w:sz w:val="18"/>
          <w:szCs w:val="18"/>
          <w:color w:val="auto"/>
        </w:rPr>
        <w:t>Changes in the carrying values of purchased intangible assets presented above are a result of the impact of fluctuation in currency exchange rates and the sale of our PCB Test business.</w:t>
      </w:r>
    </w:p>
    <w:p>
      <w:pPr>
        <w:spacing w:after="0" w:line="175" w:lineRule="exact"/>
        <w:rPr>
          <w:sz w:val="20"/>
          <w:szCs w:val="20"/>
          <w:color w:val="auto"/>
        </w:rPr>
      </w:pPr>
    </w:p>
    <w:p>
      <w:pPr>
        <w:ind w:left="320" w:right="60"/>
        <w:spacing w:after="0" w:line="253" w:lineRule="auto"/>
        <w:rPr>
          <w:sz w:val="20"/>
          <w:szCs w:val="20"/>
          <w:color w:val="auto"/>
        </w:rPr>
      </w:pPr>
      <w:r>
        <w:rPr>
          <w:rFonts w:ascii="Arial" w:cs="Arial" w:eastAsia="Arial" w:hAnsi="Arial"/>
          <w:sz w:val="18"/>
          <w:szCs w:val="18"/>
          <w:color w:val="auto"/>
        </w:rPr>
        <w:t>We evaluate goodwill and other indefinite-lived intangible assets for impairment annually and when an event occurs, or circumstances change that indicate that the carrying value may not be recoverable. We completed our required annual goodwill impairment testing as of October 1, 2022, the first day of our fourth quarter and concluded there were no impairments of goodwill within our reporting units or our indefinite-lived intangible assets at that time. Other events and changes in circumstances may also require goodwill and our indefinite-lived intangible assets to be tested for impairment between annual measurement dates.</w:t>
      </w:r>
    </w:p>
    <w:p>
      <w:pPr>
        <w:spacing w:after="0" w:line="193" w:lineRule="exact"/>
        <w:rPr>
          <w:sz w:val="20"/>
          <w:szCs w:val="20"/>
          <w:color w:val="auto"/>
        </w:rPr>
      </w:pPr>
    </w:p>
    <w:p>
      <w:pPr>
        <w:ind w:left="320" w:right="440"/>
        <w:spacing w:after="0" w:line="301" w:lineRule="auto"/>
        <w:rPr>
          <w:sz w:val="20"/>
          <w:szCs w:val="20"/>
          <w:color w:val="auto"/>
        </w:rPr>
      </w:pPr>
      <w:r>
        <w:rPr>
          <w:rFonts w:ascii="Arial" w:cs="Arial" w:eastAsia="Arial" w:hAnsi="Arial"/>
          <w:sz w:val="17"/>
          <w:szCs w:val="17"/>
          <w:color w:val="auto"/>
        </w:rPr>
        <w:t>During the fourth quarter of 2021 we completed and transferred to developed technology an in-process technology project which was reviewed for impairment as part of this process. Due to a change in forecasted results an impairment charge of $0.1 million was recorded.</w:t>
      </w:r>
    </w:p>
    <w:p>
      <w:pPr>
        <w:spacing w:after="0" w:line="152" w:lineRule="exact"/>
        <w:rPr>
          <w:sz w:val="20"/>
          <w:szCs w:val="20"/>
          <w:color w:val="auto"/>
        </w:rPr>
      </w:pPr>
    </w:p>
    <w:p>
      <w:pPr>
        <w:ind w:left="320" w:right="100"/>
        <w:spacing w:after="0" w:line="259" w:lineRule="auto"/>
        <w:rPr>
          <w:sz w:val="20"/>
          <w:szCs w:val="20"/>
          <w:color w:val="auto"/>
        </w:rPr>
      </w:pPr>
      <w:r>
        <w:rPr>
          <w:rFonts w:ascii="Arial" w:cs="Arial" w:eastAsia="Arial" w:hAnsi="Arial"/>
          <w:sz w:val="18"/>
          <w:szCs w:val="18"/>
          <w:color w:val="auto"/>
        </w:rPr>
        <w:t>Amortization expense related to purchased intangible assets was approximately $33.2 million in 2022, $35.4 million in 2021 and $38.7 million in 2020. As of December 31, 2022, we expect amortization expense in future periods to be as follows: 2023 - $33.4 million; 2024 - $33.4 million; 2025 - $24.8 million; 2026 - $18.6 million 2027 - $15.1 million; and thereafter $14.8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20" w:hanging="313"/>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and Credit Agreements</w:t>
      </w:r>
    </w:p>
    <w:p>
      <w:pPr>
        <w:spacing w:after="0" w:line="22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is a summary of our borrowings as of December 31, 2022 and December 25, 2021:</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80" w:type="dxa"/>
            <w:vAlign w:val="bottom"/>
            <w:gridSpan w:val="6"/>
          </w:tcPr>
          <w:p>
            <w:pPr>
              <w:jc w:val="right"/>
              <w:ind w:right="1140"/>
              <w:spacing w:after="0"/>
              <w:rPr>
                <w:sz w:val="20"/>
                <w:szCs w:val="20"/>
                <w:color w:val="auto"/>
              </w:rPr>
            </w:pPr>
            <w:r>
              <w:rPr>
                <w:rFonts w:ascii="Arial" w:cs="Arial" w:eastAsia="Arial" w:hAnsi="Arial"/>
                <w:sz w:val="18"/>
                <w:szCs w:val="18"/>
                <w:color w:val="auto"/>
              </w:rPr>
              <w:t>Fiscal year ended</w:t>
            </w: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color w:val="auto"/>
                <w:w w:val="92"/>
              </w:rPr>
              <w:t>December 31, 2022</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December 25, 2021</w:t>
            </w:r>
          </w:p>
        </w:tc>
        <w:tc>
          <w:tcPr>
            <w:tcW w:w="10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term loan under credit agreement</w:t>
            </w:r>
          </w:p>
        </w:tc>
        <w:tc>
          <w:tcPr>
            <w:tcW w:w="56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66,952</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103,130</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Bank term loans-Kita</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3,070</w:t>
            </w:r>
          </w:p>
        </w:tc>
      </w:tr>
      <w:tr>
        <w:trPr>
          <w:trHeight w:val="214"/>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loan-Cohu GmbH</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10,045</w:t>
            </w:r>
          </w:p>
        </w:tc>
      </w:tr>
      <w:tr>
        <w:trPr>
          <w:trHeight w:val="214"/>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Lines of credit</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7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debt</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119,304</w:t>
            </w:r>
          </w:p>
        </w:tc>
      </w:tr>
      <w:tr>
        <w:trPr>
          <w:trHeight w:val="214"/>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Less: financing fees and discount</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(1,514)</w:t>
            </w:r>
          </w:p>
        </w:tc>
      </w:tr>
      <w:tr>
        <w:trPr>
          <w:trHeight w:val="214"/>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(14,397)</w:t>
            </w:r>
          </w:p>
        </w:tc>
      </w:tr>
      <w:tr>
        <w:trPr>
          <w:trHeight w:val="207"/>
        </w:trPr>
        <w:tc>
          <w:tcPr>
            <w:tcW w:w="20" w:type="dxa"/>
            <w:vAlign w:val="bottom"/>
          </w:tcPr>
          <w:p>
            <w:pPr>
              <w:spacing w:after="0"/>
              <w:rPr>
                <w:sz w:val="18"/>
                <w:szCs w:val="18"/>
                <w:color w:val="auto"/>
              </w:rPr>
            </w:pPr>
          </w:p>
        </w:tc>
        <w:tc>
          <w:tcPr>
            <w:tcW w:w="722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long-term debt</w:t>
            </w:r>
          </w:p>
        </w:tc>
        <w:tc>
          <w:tcPr>
            <w:tcW w:w="5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72,664</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103,393</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debt principal payments, excluding financing lease obligations, for the next five years and thereafter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480" w:type="dxa"/>
        <w:tblCellMar>
          <w:top w:w="0" w:type="dxa"/>
          <w:left w:w="0" w:type="dxa"/>
          <w:bottom w:w="0" w:type="dxa"/>
          <w:right w:w="0" w:type="dxa"/>
        </w:tblCellMar>
      </w:tblPr>
      <w:tr>
        <w:trPr>
          <w:trHeight w:val="214"/>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80" w:type="dxa"/>
            <w:vAlign w:val="bottom"/>
            <w:shd w:val="clear" w:color="auto" w:fill="CCEEFF"/>
          </w:tcPr>
          <w:p>
            <w:pPr>
              <w:spacing w:after="0"/>
              <w:rPr>
                <w:sz w:val="18"/>
                <w:szCs w:val="18"/>
                <w:color w:val="auto"/>
              </w:rPr>
            </w:pPr>
          </w:p>
        </w:tc>
      </w:tr>
      <w:tr>
        <w:trPr>
          <w:trHeight w:val="214"/>
        </w:trPr>
        <w:tc>
          <w:tcPr>
            <w:tcW w:w="4080" w:type="dxa"/>
            <w:vAlign w:val="bottom"/>
          </w:tcPr>
          <w:p>
            <w:pPr>
              <w:spacing w:after="0"/>
              <w:rPr>
                <w:sz w:val="20"/>
                <w:szCs w:val="20"/>
                <w:color w:val="auto"/>
              </w:rPr>
            </w:pPr>
            <w:r>
              <w:rPr>
                <w:rFonts w:ascii="Arial" w:cs="Arial" w:eastAsia="Arial" w:hAnsi="Arial"/>
                <w:sz w:val="18"/>
                <w:szCs w:val="18"/>
                <w:color w:val="auto"/>
              </w:rPr>
              <w:t>2024</w:t>
            </w: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4,672</w:t>
            </w:r>
          </w:p>
        </w:tc>
        <w:tc>
          <w:tcPr>
            <w:tcW w:w="80" w:type="dxa"/>
            <w:vAlign w:val="bottom"/>
          </w:tcPr>
          <w:p>
            <w:pPr>
              <w:spacing w:after="0"/>
              <w:rPr>
                <w:sz w:val="18"/>
                <w:szCs w:val="18"/>
                <w:color w:val="auto"/>
              </w:rPr>
            </w:pPr>
          </w:p>
        </w:tc>
      </w:tr>
      <w:tr>
        <w:trPr>
          <w:trHeight w:val="214"/>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61,130</w:t>
            </w:r>
          </w:p>
        </w:tc>
      </w:tr>
      <w:tr>
        <w:trPr>
          <w:trHeight w:val="214"/>
        </w:trPr>
        <w:tc>
          <w:tcPr>
            <w:tcW w:w="4080" w:type="dxa"/>
            <w:vAlign w:val="bottom"/>
          </w:tcPr>
          <w:p>
            <w:pPr>
              <w:spacing w:after="0"/>
              <w:rPr>
                <w:sz w:val="20"/>
                <w:szCs w:val="20"/>
                <w:color w:val="auto"/>
              </w:rPr>
            </w:pPr>
            <w:r>
              <w:rPr>
                <w:rFonts w:ascii="Arial" w:cs="Arial" w:eastAsia="Arial" w:hAnsi="Arial"/>
                <w:sz w:val="18"/>
                <w:szCs w:val="18"/>
                <w:color w:val="auto"/>
              </w:rPr>
              <w:t>2026</w:t>
            </w:r>
          </w:p>
        </w:tc>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18"/>
                <w:szCs w:val="18"/>
                <w:color w:val="auto"/>
              </w:rPr>
            </w:pPr>
          </w:p>
        </w:tc>
      </w:tr>
      <w:tr>
        <w:trPr>
          <w:trHeight w:val="214"/>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CEEFF"/>
          </w:tcPr>
          <w:p>
            <w:pPr>
              <w:spacing w:after="0"/>
              <w:rPr>
                <w:sz w:val="18"/>
                <w:szCs w:val="18"/>
                <w:color w:val="auto"/>
              </w:rPr>
            </w:pPr>
          </w:p>
        </w:tc>
      </w:tr>
      <w:tr>
        <w:trPr>
          <w:trHeight w:val="214"/>
        </w:trPr>
        <w:tc>
          <w:tcPr>
            <w:tcW w:w="4080" w:type="dxa"/>
            <w:vAlign w:val="bottom"/>
          </w:tcPr>
          <w:p>
            <w:pPr>
              <w:spacing w:after="0"/>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80" w:type="dxa"/>
            <w:vAlign w:val="bottom"/>
          </w:tcPr>
          <w:p>
            <w:pPr>
              <w:spacing w:after="0"/>
              <w:rPr>
                <w:sz w:val="18"/>
                <w:szCs w:val="18"/>
                <w:color w:val="auto"/>
              </w:rPr>
            </w:pPr>
          </w:p>
        </w:tc>
      </w:tr>
      <w:tr>
        <w:trPr>
          <w:trHeight w:val="22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79,739</w:t>
            </w:r>
          </w:p>
        </w:tc>
      </w:tr>
      <w:tr>
        <w:trPr>
          <w:trHeight w:val="20"/>
        </w:trPr>
        <w:tc>
          <w:tcPr>
            <w:tcW w:w="408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October 1, 2018, we entered into a Credit Agreement providing for a $350.0 million Term Loan Credit Facility and borrowed the full amount to</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finance a portion of the Xcerra acquisition. Loans under the Term Loan Credit Facility amortize in equal quarterly installments of 0.25% of the original</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principal amount, with the balance payable at maturity. All outstanding principal and interest in respect of the Term Loan Credit Facility must be repaid</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or before October 1, 2025. The loans under the Term Loan Credit Facility bear interest, at Cohu’s option, at a floating annual rate equal to LIBOR</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plus a margin of 3.00%. At December 31, 2022, the outstanding loan balance, net of discount and deferred financing costs, was $66.2 million and</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$3.2 million of the outstanding balance is presented as current installments of long-term debt in our consolidated balance sheets. At December 25, 2021,</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outstanding loan balance, net of discount and deferred financing costs, was $101.6 million and $10.1 million of the outstanding balance is presented</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current installments of long-term debt in our consolidated balance sheets. As of December 31, 2022, the fair value of the debt was $66.6 million. The</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measurement of the fair value of debt is based on the average of the bid and ask trading quotes as of December 31, 2022 and is considered a Level 2 fair</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value measurement.</w:t>
      </w:r>
    </w:p>
    <w:p>
      <w:pPr>
        <w:spacing w:after="0" w:line="208" w:lineRule="exact"/>
        <w:rPr>
          <w:sz w:val="20"/>
          <w:szCs w:val="20"/>
          <w:color w:val="auto"/>
        </w:rPr>
      </w:pPr>
    </w:p>
    <w:p>
      <w:pPr>
        <w:ind w:left="320" w:right="20"/>
        <w:spacing w:after="0" w:line="252" w:lineRule="auto"/>
        <w:rPr>
          <w:sz w:val="20"/>
          <w:szCs w:val="20"/>
          <w:color w:val="auto"/>
        </w:rPr>
      </w:pPr>
      <w:r>
        <w:rPr>
          <w:rFonts w:ascii="Arial" w:cs="Arial" w:eastAsia="Arial" w:hAnsi="Arial"/>
          <w:sz w:val="18"/>
          <w:szCs w:val="18"/>
          <w:color w:val="auto"/>
        </w:rPr>
        <w:t>Under the terms of the Credit Agreement, the lender may accelerate the payment terms upon the occurrence of certain events of default set forth therein, which include: the failure of Cohu to make timely payments of amounts due under the Credit Agreement, the failure of Cohu to adhere to the representations and covenants set forth in the Credit Agreement, the failure to provide notice of any event that causes a material adverse effect or to provide other required notices, upon the event that related collateral agreements become ineffective, upon the event that certain legal judgments are entered against Cohu, the insolvency of Cohu, or upon the change of control of Cohu. As of December 31, 2022, we believe no such events of default have occurred.</w:t>
      </w:r>
    </w:p>
    <w:p>
      <w:pPr>
        <w:spacing w:after="0" w:line="194" w:lineRule="exact"/>
        <w:rPr>
          <w:sz w:val="20"/>
          <w:szCs w:val="20"/>
          <w:color w:val="auto"/>
        </w:rPr>
      </w:pPr>
    </w:p>
    <w:p>
      <w:pPr>
        <w:ind w:left="320"/>
        <w:spacing w:after="0" w:line="290" w:lineRule="auto"/>
        <w:rPr>
          <w:sz w:val="20"/>
          <w:szCs w:val="20"/>
          <w:color w:val="auto"/>
        </w:rPr>
      </w:pPr>
      <w:r>
        <w:rPr>
          <w:rFonts w:ascii="Arial" w:cs="Arial" w:eastAsia="Arial" w:hAnsi="Arial"/>
          <w:sz w:val="16"/>
          <w:szCs w:val="16"/>
          <w:color w:val="auto"/>
        </w:rPr>
        <w:t>During 2022 we prepaid $31.8 million in principal of our Term Loan Credit Facility for $31.7 million in cash. We accounted for the prepayment as a debt extinguishment, which resulted in a loss of $0.3 million reflected in our consolidated statement of operations and a $0.4 million reduction in debt discounts and deferred financing costs in our consolidated balance sheets. During 2021 we repurchased $200.0 million in principal of our Term Loan Credit Facility for $200.0 million in cash. We accounted for the repurchase as a debt extinguishment, which resulted in a loss of $3.4 million reflected in our consolidated statement of operations, as well as a $3.4 million reduction in debt discounts and deferred financing costs in our consolidated balance sheets. Approximately $67.0 million in principal of the Term Loan Credit Facility remains outstanding as of December 31, 2022.</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Kita Term Loans</w:t>
      </w:r>
    </w:p>
    <w:p>
      <w:pPr>
        <w:spacing w:after="0" w:line="221" w:lineRule="exact"/>
        <w:rPr>
          <w:sz w:val="20"/>
          <w:szCs w:val="20"/>
          <w:color w:val="auto"/>
        </w:rPr>
      </w:pPr>
    </w:p>
    <w:p>
      <w:pPr>
        <w:ind w:left="320" w:right="20"/>
        <w:spacing w:after="0" w:line="252" w:lineRule="auto"/>
        <w:rPr>
          <w:sz w:val="20"/>
          <w:szCs w:val="20"/>
          <w:color w:val="auto"/>
        </w:rPr>
      </w:pPr>
      <w:r>
        <w:rPr>
          <w:rFonts w:ascii="Arial" w:cs="Arial" w:eastAsia="Arial" w:hAnsi="Arial"/>
          <w:sz w:val="18"/>
          <w:szCs w:val="18"/>
          <w:color w:val="auto"/>
        </w:rPr>
        <w:t>We have a series of term loans with Japanese financial institutions primarily related to the expansion of our facility in Osaka, Japan. The loans are collateralized by the facility and land, carry interest rates ranging from 0.05% to 0.43%, and expire at various dates through 2034. At December 31, 2022, the outstanding loan balance was $2.5 million and $0.2 million of the outstanding balance is presented as current installments of long-term debt in our consolidated balance sheets. At December 25, 2021, the outstanding loan balance was $3.1 million and $0.2 million of the outstanding balance is presented as current installments of long-term debt in our consolidated balance sheets. The fair value of the debt approximates the carrying value at December 31, 2022.</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term loans are denominated in Japanese Yen and, as a result, amounts disclosed herein will fluctuate because of changes in currency exchange rates.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Construction Loans</w:t>
      </w:r>
    </w:p>
    <w:p>
      <w:pPr>
        <w:spacing w:after="0" w:line="221" w:lineRule="exact"/>
        <w:rPr>
          <w:sz w:val="20"/>
          <w:szCs w:val="20"/>
          <w:color w:val="auto"/>
        </w:rPr>
      </w:pPr>
    </w:p>
    <w:p>
      <w:pPr>
        <w:ind w:left="320" w:right="160"/>
        <w:spacing w:after="0" w:line="255" w:lineRule="auto"/>
        <w:rPr>
          <w:sz w:val="20"/>
          <w:szCs w:val="20"/>
          <w:color w:val="auto"/>
        </w:rPr>
      </w:pPr>
      <w:r>
        <w:rPr>
          <w:rFonts w:ascii="Arial" w:cs="Arial" w:eastAsia="Arial" w:hAnsi="Arial"/>
          <w:sz w:val="18"/>
          <w:szCs w:val="18"/>
          <w:color w:val="auto"/>
        </w:rPr>
        <w:t>In July 2019 and June 2020, one of our wholly owned subsidiaries located in Germany entered into a series of Loan Facilities with a German financial institution providing it with total borrowings of up to €10.1 million. The Loan Facilities are being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90" w:lineRule="exact"/>
        <w:rPr>
          <w:sz w:val="20"/>
          <w:szCs w:val="20"/>
          <w:color w:val="auto"/>
        </w:rPr>
      </w:pPr>
    </w:p>
    <w:p>
      <w:pPr>
        <w:ind w:left="320" w:right="40"/>
        <w:spacing w:after="0" w:line="293" w:lineRule="auto"/>
        <w:rPr>
          <w:sz w:val="20"/>
          <w:szCs w:val="20"/>
          <w:color w:val="auto"/>
        </w:rPr>
      </w:pPr>
      <w:r>
        <w:rPr>
          <w:rFonts w:ascii="Arial" w:cs="Arial" w:eastAsia="Arial" w:hAnsi="Arial"/>
          <w:sz w:val="16"/>
          <w:szCs w:val="16"/>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61" w:lineRule="exact"/>
        <w:rPr>
          <w:sz w:val="20"/>
          <w:szCs w:val="20"/>
          <w:color w:val="auto"/>
        </w:rPr>
      </w:pPr>
    </w:p>
    <w:p>
      <w:pPr>
        <w:ind w:left="320"/>
        <w:spacing w:after="0" w:line="272" w:lineRule="auto"/>
        <w:rPr>
          <w:sz w:val="20"/>
          <w:szCs w:val="20"/>
          <w:color w:val="auto"/>
        </w:rPr>
      </w:pPr>
      <w:r>
        <w:rPr>
          <w:rFonts w:ascii="Arial" w:cs="Arial" w:eastAsia="Arial" w:hAnsi="Arial"/>
          <w:sz w:val="17"/>
          <w:szCs w:val="17"/>
          <w:color w:val="auto"/>
        </w:rPr>
        <w:t>At December 31, 2022, total outstanding borrowings under the Loan Facilities was $8.4 million with $1.0 million of the total outstanding balance being presented as current installments of long-term debt in our consolidated balance sheets. At December 25, 2021, total outstanding borrowings under the Loan Facilities was $10.0 million with $1.0 million of the total outstanding balance being presented as current installments of long-term debt in our consolidated balance sheets. The loans are denominated in Euros and, as a result, amounts disclosed herein will fluctuate because of changes in currency exchange rates. The fair value of the debt approximates the carrying value at December 31, 2022.</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Lines of Credit</w:t>
      </w:r>
    </w:p>
    <w:p>
      <w:pPr>
        <w:spacing w:after="0" w:line="221" w:lineRule="exact"/>
        <w:rPr>
          <w:sz w:val="20"/>
          <w:szCs w:val="20"/>
          <w:color w:val="auto"/>
        </w:rPr>
      </w:pPr>
    </w:p>
    <w:p>
      <w:pPr>
        <w:ind w:left="320" w:right="40"/>
        <w:spacing w:after="0" w:line="275" w:lineRule="auto"/>
        <w:rPr>
          <w:sz w:val="20"/>
          <w:szCs w:val="20"/>
          <w:color w:val="auto"/>
        </w:rPr>
      </w:pPr>
      <w:r>
        <w:rPr>
          <w:rFonts w:ascii="Arial" w:cs="Arial" w:eastAsia="Arial" w:hAnsi="Arial"/>
          <w:sz w:val="17"/>
          <w:szCs w:val="17"/>
          <w:color w:val="auto"/>
        </w:rPr>
        <w:t>As a result of our acquisition of Kita, we assumed a series of revolving credit facilities with various financial institutions in Japan. The credit facilities renew monthly and provide Kita with access to working capital totaling up to 960 million Japanese Yen of which 250 million Japanese Yen is drawn. At December 31, 2022, total borrowings outstanding under the revolving lines of credit were $1.9 million. As these credit facility agreements renew monthly, they have been included in short-term borrowings in our consolidated balance sheets.</w:t>
      </w:r>
    </w:p>
    <w:p>
      <w:pPr>
        <w:spacing w:after="0" w:line="174" w:lineRule="exact"/>
        <w:rPr>
          <w:sz w:val="20"/>
          <w:szCs w:val="20"/>
          <w:color w:val="auto"/>
        </w:rPr>
      </w:pPr>
    </w:p>
    <w:p>
      <w:pPr>
        <w:ind w:left="320" w:right="200"/>
        <w:spacing w:after="0" w:line="271" w:lineRule="auto"/>
        <w:rPr>
          <w:sz w:val="20"/>
          <w:szCs w:val="20"/>
          <w:color w:val="auto"/>
        </w:rPr>
      </w:pPr>
      <w:r>
        <w:rPr>
          <w:rFonts w:ascii="Arial" w:cs="Arial" w:eastAsia="Arial" w:hAnsi="Arial"/>
          <w:sz w:val="18"/>
          <w:szCs w:val="18"/>
          <w:color w:val="auto"/>
        </w:rPr>
        <w:t>The revolving lines of credit are denominated in Japanese Yen and, as a result, amounts disclosed herein will fluctuate because of changes in currency exchange rates.</w:t>
      </w:r>
    </w:p>
    <w:p>
      <w:pPr>
        <w:spacing w:after="0" w:line="175" w:lineRule="exact"/>
        <w:rPr>
          <w:sz w:val="20"/>
          <w:szCs w:val="20"/>
          <w:color w:val="auto"/>
        </w:rPr>
      </w:pPr>
    </w:p>
    <w:p>
      <w:pPr>
        <w:ind w:left="320" w:right="140"/>
        <w:spacing w:after="0" w:line="335" w:lineRule="auto"/>
        <w:rPr>
          <w:sz w:val="20"/>
          <w:szCs w:val="20"/>
          <w:color w:val="auto"/>
        </w:rPr>
      </w:pPr>
      <w:r>
        <w:rPr>
          <w:rFonts w:ascii="Arial" w:cs="Arial" w:eastAsia="Arial" w:hAnsi="Arial"/>
          <w:sz w:val="16"/>
          <w:szCs w:val="16"/>
          <w:color w:val="auto"/>
        </w:rPr>
        <w:t>Our wholly owned subsidiary in Switzerland has one available line of credit which provides borrowings of up to a total of 2.0 million Swiss Francs, a portion of which is reserved for tax guarantees. At December 31, 2022, and December 25, 2021, no amounts were outstanding under this line of credit.</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224" w:lineRule="exact"/>
        <w:rPr>
          <w:rFonts w:ascii="Arial" w:cs="Arial" w:eastAsia="Arial" w:hAnsi="Arial"/>
          <w:sz w:val="18"/>
          <w:szCs w:val="18"/>
          <w:b w:val="1"/>
          <w:bCs w:val="1"/>
          <w:color w:val="auto"/>
        </w:rPr>
      </w:pPr>
    </w:p>
    <w:p>
      <w:pPr>
        <w:ind w:left="32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Subsequent to the acquisition of Xcerra, during the fourth quarter of 2018, we began a strategic restructuring program designed to reposition our organization and improve our cost structure as part of our targeted integration plan regarding the recently acquired Xcerra (“Integration Program”). As part of the Integration Program we consolidated our global handler and contactor manufacturing operations and closed our manufacturing operations in Penang, Malaysia and Fontana, California in 2019.</w:t>
      </w:r>
    </w:p>
    <w:p>
      <w:pPr>
        <w:spacing w:after="0" w:line="190" w:lineRule="exact"/>
        <w:rPr>
          <w:rFonts w:ascii="Arial" w:cs="Arial" w:eastAsia="Arial" w:hAnsi="Arial"/>
          <w:sz w:val="18"/>
          <w:szCs w:val="18"/>
          <w:b w:val="1"/>
          <w:bCs w:val="1"/>
          <w:color w:val="auto"/>
        </w:rPr>
      </w:pPr>
    </w:p>
    <w:p>
      <w:pPr>
        <w:ind w:left="320" w:right="1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2019, we began the Integration Program of our German operations and entered a social plan with the German labor organization representing certain of the employees of our wholly owned subsidiary, Multitest elektronische Systeme GmbH. During the fourth quarter of 2020 we implemented a voluntary program and termination agreements with certain employees of our wholly owned subsidiary, Cohu GmbH. These programs collectively reduced headcount, enabled us to consolidate the facilities of our multiple operations located near Kolbermoor and Rosenheim, Germany, as well as transitioned certain manufacturing to other lower cost regions. The facility consolidations and reduction in force programs were implemented as part of a comprehensive review of our operations and are intended to streamline and reduce our operating cost structure and capitalize on acquisition synergies.</w:t>
      </w:r>
    </w:p>
    <w:p>
      <w:pPr>
        <w:spacing w:after="0" w:line="163" w:lineRule="exact"/>
        <w:rPr>
          <w:rFonts w:ascii="Arial" w:cs="Arial" w:eastAsia="Arial" w:hAnsi="Arial"/>
          <w:sz w:val="18"/>
          <w:szCs w:val="18"/>
          <w:b w:val="1"/>
          <w:bCs w:val="1"/>
          <w:color w:val="auto"/>
        </w:rPr>
      </w:pPr>
    </w:p>
    <w:p>
      <w:pPr>
        <w:ind w:left="320" w:right="560"/>
        <w:spacing w:after="0" w:line="301" w:lineRule="auto"/>
        <w:rPr>
          <w:rFonts w:ascii="Arial" w:cs="Arial" w:eastAsia="Arial" w:hAnsi="Arial"/>
          <w:sz w:val="18"/>
          <w:szCs w:val="18"/>
          <w:b w:val="1"/>
          <w:bCs w:val="1"/>
          <w:color w:val="auto"/>
        </w:rPr>
      </w:pPr>
      <w:r>
        <w:rPr>
          <w:rFonts w:ascii="Arial" w:cs="Arial" w:eastAsia="Arial" w:hAnsi="Arial"/>
          <w:sz w:val="17"/>
          <w:szCs w:val="17"/>
          <w:color w:val="auto"/>
        </w:rPr>
        <w:t>As a result of the activities described above, we recognized total pretax charges of $0.2 million, $1.3 million and $11.4 million for the years ended December 31, 2022, December 25, 2021 and December 26, 2020, respectively, that are within the scope of ASC 420.</w:t>
      </w:r>
    </w:p>
    <w:p>
      <w:pPr>
        <w:spacing w:after="0" w:line="151"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All costs of the Integration Program were, and are expected to be, incurred by our Semiconductor Test &amp; Inspection segment.</w:t>
      </w:r>
    </w:p>
    <w:p>
      <w:pPr>
        <w:spacing w:after="0" w:line="220" w:lineRule="exact"/>
        <w:rPr>
          <w:rFonts w:ascii="Arial" w:cs="Arial" w:eastAsia="Arial" w:hAnsi="Arial"/>
          <w:sz w:val="18"/>
          <w:szCs w:val="18"/>
          <w:b w:val="1"/>
          <w:bCs w:val="1"/>
          <w:color w:val="auto"/>
        </w:rPr>
      </w:pPr>
    </w:p>
    <w:p>
      <w:pPr>
        <w:ind w:left="320" w:right="4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 xml:space="preserve">Charges related to the Integration Program for the years ended December 31, 2022, December 25, 2021 and December 26, 2020,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 costs</w:t>
            </w:r>
          </w:p>
        </w:tc>
        <w:tc>
          <w:tcPr>
            <w:tcW w:w="10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w:t>
            </w:r>
          </w:p>
        </w:tc>
      </w:tr>
      <w:tr>
        <w:trPr>
          <w:trHeight w:val="214"/>
        </w:trPr>
        <w:tc>
          <w:tcPr>
            <w:tcW w:w="5580" w:type="dxa"/>
            <w:vAlign w:val="bottom"/>
          </w:tcPr>
          <w:p>
            <w:pPr>
              <w:spacing w:after="0"/>
              <w:rPr>
                <w:sz w:val="20"/>
                <w:szCs w:val="20"/>
                <w:color w:val="auto"/>
              </w:rPr>
            </w:pPr>
            <w:r>
              <w:rPr>
                <w:rFonts w:ascii="Arial" w:cs="Arial" w:eastAsia="Arial" w:hAnsi="Arial"/>
                <w:sz w:val="18"/>
                <w:szCs w:val="18"/>
                <w:color w:val="auto"/>
              </w:rPr>
              <w:t>Inventory related charges (adjustments)</w:t>
            </w:r>
          </w:p>
        </w:tc>
        <w:tc>
          <w:tcPr>
            <w:tcW w:w="10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3,731</w:t>
            </w:r>
          </w:p>
        </w:tc>
      </w:tr>
      <w:tr>
        <w:trPr>
          <w:trHeight w:val="21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restructuring costs</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5580" w:type="dxa"/>
            <w:vAlign w:val="bottom"/>
          </w:tcPr>
          <w:p>
            <w:pPr>
              <w:ind w:left="16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ind w:right="891"/>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11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1,265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11,354</w:t>
            </w:r>
          </w:p>
        </w:tc>
        <w:tc>
          <w:tcPr>
            <w:tcW w:w="10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right="80"/>
        <w:spacing w:after="0" w:line="255" w:lineRule="auto"/>
        <w:rPr>
          <w:sz w:val="20"/>
          <w:szCs w:val="20"/>
          <w:color w:val="auto"/>
        </w:rPr>
      </w:pPr>
      <w:r>
        <w:rPr>
          <w:rFonts w:ascii="Arial" w:cs="Arial" w:eastAsia="Arial" w:hAnsi="Arial"/>
          <w:sz w:val="18"/>
          <w:szCs w:val="18"/>
          <w:color w:val="auto"/>
        </w:rPr>
        <w:t>Costs associated with restructuring activities are presented in our consolidated statements of operations as restructuring charges, except for certain costs associated with inventory charges related to the decision to end manufacturing of certain of Xcerra’s semiconductor test handler products, which are classified within cost of sales. Other restructuring costs include expenses for professional fees associated with employee severance, impairments of fixed assets and facility closure costs.</w:t>
      </w:r>
    </w:p>
    <w:p>
      <w:pPr>
        <w:spacing w:after="0" w:line="190" w:lineRule="exact"/>
        <w:rPr>
          <w:sz w:val="20"/>
          <w:szCs w:val="20"/>
          <w:color w:val="auto"/>
        </w:rPr>
      </w:pPr>
    </w:p>
    <w:p>
      <w:pPr>
        <w:ind w:left="320" w:right="220"/>
        <w:spacing w:after="0" w:line="271" w:lineRule="auto"/>
        <w:rPr>
          <w:sz w:val="20"/>
          <w:szCs w:val="20"/>
          <w:color w:val="auto"/>
        </w:rPr>
      </w:pPr>
      <w:r>
        <w:rPr>
          <w:rFonts w:ascii="Arial" w:cs="Arial" w:eastAsia="Arial" w:hAnsi="Arial"/>
          <w:sz w:val="18"/>
          <w:szCs w:val="18"/>
          <w:color w:val="auto"/>
        </w:rPr>
        <w:t xml:space="preserve">The following table summarizes the activity within the restructuring related accounts for the Integration Program during the years ended December 31, 2022 and December 25,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160"/>
              <w:spacing w:after="0"/>
              <w:rPr>
                <w:sz w:val="20"/>
                <w:szCs w:val="20"/>
                <w:color w:val="auto"/>
              </w:rPr>
            </w:pPr>
            <w:r>
              <w:rPr>
                <w:rFonts w:ascii="Arial" w:cs="Arial" w:eastAsia="Arial" w:hAnsi="Arial"/>
                <w:sz w:val="18"/>
                <w:szCs w:val="18"/>
                <w:color w:val="auto"/>
              </w:rPr>
              <w:t>Employee</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color w:val="auto"/>
              </w:rPr>
              <w:t>Severance</w:t>
            </w:r>
          </w:p>
        </w:tc>
        <w:tc>
          <w:tcPr>
            <w:tcW w:w="1900" w:type="dxa"/>
            <w:vAlign w:val="bottom"/>
            <w:gridSpan w:val="3"/>
          </w:tcPr>
          <w:p>
            <w:pPr>
              <w:jc w:val="right"/>
              <w:ind w:right="680"/>
              <w:spacing w:after="0"/>
              <w:rPr>
                <w:sz w:val="20"/>
                <w:szCs w:val="20"/>
                <w:color w:val="auto"/>
              </w:rPr>
            </w:pPr>
            <w:r>
              <w:rPr>
                <w:rFonts w:ascii="Arial" w:cs="Arial" w:eastAsia="Arial" w:hAnsi="Arial"/>
                <w:sz w:val="18"/>
                <w:szCs w:val="18"/>
                <w:color w:val="auto"/>
                <w:w w:val="91"/>
              </w:rPr>
              <w:t>Other Exit Costs</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26, 2020</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5,826</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Costs accrued</w:t>
            </w: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paid or charged</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(6,545)</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Impact of currency exchange</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25, 2021</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Costs accrued</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paid or charged</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Impact of currency exchange</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right="420"/>
        <w:spacing w:after="0" w:line="271" w:lineRule="auto"/>
        <w:rPr>
          <w:sz w:val="20"/>
          <w:szCs w:val="20"/>
          <w:color w:val="auto"/>
        </w:rPr>
      </w:pPr>
      <w:r>
        <w:rPr>
          <w:rFonts w:ascii="Arial" w:cs="Arial" w:eastAsia="Arial" w:hAnsi="Arial"/>
          <w:sz w:val="18"/>
          <w:szCs w:val="18"/>
          <w:color w:val="auto"/>
        </w:rPr>
        <w:t>At December 31, 2022, we have no accrual for restructuring. All amounts accrued related to inventory will remain in our consolidated balance sheet until it is scrapped.</w:t>
      </w:r>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20" w:hanging="313"/>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Measured at Fair Value</w:t>
      </w:r>
    </w:p>
    <w:p>
      <w:pPr>
        <w:spacing w:after="0" w:line="224" w:lineRule="exact"/>
        <w:rPr>
          <w:rFonts w:ascii="Arial" w:cs="Arial" w:eastAsia="Arial" w:hAnsi="Arial"/>
          <w:sz w:val="18"/>
          <w:szCs w:val="18"/>
          <w:b w:val="1"/>
          <w:bCs w:val="1"/>
          <w:color w:val="auto"/>
        </w:rPr>
      </w:pPr>
    </w:p>
    <w:p>
      <w:pPr>
        <w:ind w:left="320" w:right="3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90" w:lineRule="exact"/>
        <w:rPr>
          <w:rFonts w:ascii="Arial" w:cs="Arial" w:eastAsia="Arial" w:hAnsi="Arial"/>
          <w:sz w:val="18"/>
          <w:szCs w:val="18"/>
          <w:b w:val="1"/>
          <w:bCs w:val="1"/>
          <w:color w:val="auto"/>
        </w:rPr>
      </w:pPr>
    </w:p>
    <w:p>
      <w:pPr>
        <w:ind w:left="320" w:right="1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92"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Investments that we have classified as short-term, by security type,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color w:val="auto"/>
              </w:rPr>
              <w:t>At December 31, 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4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left="91"/>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3"/>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1"/>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8"/>
                <w:szCs w:val="18"/>
                <w:color w:val="auto"/>
              </w:rPr>
            </w:pPr>
          </w:p>
        </w:tc>
        <w:tc>
          <w:tcPr>
            <w:tcW w:w="1000" w:type="dxa"/>
            <w:vAlign w:val="bottom"/>
          </w:tcPr>
          <w:p>
            <w:pPr>
              <w:jc w:val="center"/>
              <w:ind w:left="91"/>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8"/>
                <w:szCs w:val="18"/>
                <w:color w:val="auto"/>
              </w:rPr>
            </w:pPr>
          </w:p>
        </w:tc>
      </w:tr>
      <w:tr>
        <w:trPr>
          <w:trHeight w:val="228"/>
        </w:trPr>
        <w:tc>
          <w:tcPr>
            <w:tcW w:w="4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89"/>
              </w:rPr>
              <w:t>Gains</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2"/>
              <w:spacing w:after="0" w:line="228" w:lineRule="exact"/>
              <w:rPr>
                <w:sz w:val="20"/>
                <w:szCs w:val="20"/>
                <w:color w:val="auto"/>
              </w:rPr>
            </w:pPr>
            <w:r>
              <w:rPr>
                <w:rFonts w:ascii="Arial" w:cs="Arial" w:eastAsia="Arial" w:hAnsi="Arial"/>
                <w:sz w:val="16"/>
                <w:szCs w:val="16"/>
                <w:color w:val="auto"/>
                <w:w w:val="94"/>
              </w:rPr>
              <w:t xml:space="preserve">Losses </w:t>
            </w:r>
            <w:r>
              <w:rPr>
                <w:rFonts w:ascii="Arial" w:cs="Arial" w:eastAsia="Arial" w:hAnsi="Arial"/>
                <w:sz w:val="26"/>
                <w:szCs w:val="26"/>
                <w:color w:val="auto"/>
                <w:w w:val="94"/>
                <w:vertAlign w:val="superscript"/>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480" w:type="dxa"/>
            <w:vAlign w:val="bottom"/>
          </w:tcPr>
          <w:p>
            <w:pPr>
              <w:spacing w:after="0"/>
              <w:rPr>
                <w:sz w:val="18"/>
                <w:szCs w:val="18"/>
                <w:color w:val="auto"/>
              </w:rPr>
            </w:pPr>
          </w:p>
        </w:tc>
        <w:tc>
          <w:tcPr>
            <w:tcW w:w="5260" w:type="dxa"/>
            <w:vAlign w:val="bottom"/>
            <w:shd w:val="clear" w:color="auto" w:fill="CCEEFF"/>
          </w:tcPr>
          <w:p>
            <w:pPr>
              <w:spacing w:after="0" w:line="207" w:lineRule="exact"/>
              <w:rPr>
                <w:sz w:val="20"/>
                <w:szCs w:val="20"/>
                <w:color w:val="auto"/>
              </w:rPr>
            </w:pPr>
            <w:r>
              <w:rPr>
                <w:rFonts w:ascii="Arial" w:cs="Arial" w:eastAsia="Arial" w:hAnsi="Arial"/>
                <w:sz w:val="15"/>
                <w:szCs w:val="15"/>
                <w:color w:val="auto"/>
              </w:rPr>
              <w:t xml:space="preserve">Corporate debt securities </w:t>
            </w:r>
            <w:r>
              <w:rPr>
                <w:rFonts w:ascii="Arial" w:cs="Arial" w:eastAsia="Arial" w:hAnsi="Arial"/>
                <w:sz w:val="24"/>
                <w:szCs w:val="24"/>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59,283</w:t>
            </w:r>
          </w:p>
        </w:tc>
        <w:tc>
          <w:tcPr>
            <w:tcW w:w="110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59,073</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34,197</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20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36,479</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12,727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12,658</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143,952</w:t>
            </w:r>
          </w:p>
        </w:tc>
        <w:tc>
          <w:tcPr>
            <w:tcW w:w="110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61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778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143,235</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7"/>
        </w:trPr>
        <w:tc>
          <w:tcPr>
            <w:tcW w:w="4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color w:val="auto"/>
              </w:rPr>
              <w:t>At December 25, 2021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4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left="91"/>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3"/>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1"/>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8"/>
                <w:szCs w:val="18"/>
                <w:color w:val="auto"/>
              </w:rPr>
            </w:pPr>
          </w:p>
        </w:tc>
        <w:tc>
          <w:tcPr>
            <w:tcW w:w="1000" w:type="dxa"/>
            <w:vAlign w:val="bottom"/>
          </w:tcPr>
          <w:p>
            <w:pPr>
              <w:jc w:val="center"/>
              <w:ind w:left="91"/>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8"/>
                <w:szCs w:val="18"/>
                <w:color w:val="auto"/>
              </w:rPr>
            </w:pPr>
          </w:p>
        </w:tc>
      </w:tr>
      <w:tr>
        <w:trPr>
          <w:trHeight w:val="228"/>
        </w:trPr>
        <w:tc>
          <w:tcPr>
            <w:tcW w:w="4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89"/>
              </w:rPr>
              <w:t>Gains</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2"/>
              <w:spacing w:after="0" w:line="228" w:lineRule="exact"/>
              <w:rPr>
                <w:sz w:val="20"/>
                <w:szCs w:val="20"/>
                <w:color w:val="auto"/>
              </w:rPr>
            </w:pPr>
            <w:r>
              <w:rPr>
                <w:rFonts w:ascii="Arial" w:cs="Arial" w:eastAsia="Arial" w:hAnsi="Arial"/>
                <w:sz w:val="16"/>
                <w:szCs w:val="16"/>
                <w:color w:val="auto"/>
                <w:w w:val="94"/>
              </w:rPr>
              <w:t xml:space="preserve">Losses </w:t>
            </w:r>
            <w:r>
              <w:rPr>
                <w:rFonts w:ascii="Arial" w:cs="Arial" w:eastAsia="Arial" w:hAnsi="Arial"/>
                <w:sz w:val="26"/>
                <w:szCs w:val="26"/>
                <w:color w:val="auto"/>
                <w:w w:val="94"/>
                <w:vertAlign w:val="superscript"/>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480" w:type="dxa"/>
            <w:vAlign w:val="bottom"/>
          </w:tcPr>
          <w:p>
            <w:pPr>
              <w:spacing w:after="0"/>
              <w:rPr>
                <w:sz w:val="18"/>
                <w:szCs w:val="18"/>
                <w:color w:val="auto"/>
              </w:rPr>
            </w:pPr>
          </w:p>
        </w:tc>
        <w:tc>
          <w:tcPr>
            <w:tcW w:w="5260" w:type="dxa"/>
            <w:vAlign w:val="bottom"/>
            <w:shd w:val="clear" w:color="auto" w:fill="CCEEFF"/>
          </w:tcPr>
          <w:p>
            <w:pPr>
              <w:spacing w:after="0" w:line="207" w:lineRule="exact"/>
              <w:rPr>
                <w:sz w:val="20"/>
                <w:szCs w:val="20"/>
                <w:color w:val="auto"/>
              </w:rPr>
            </w:pPr>
            <w:r>
              <w:rPr>
                <w:rFonts w:ascii="Arial" w:cs="Arial" w:eastAsia="Arial" w:hAnsi="Arial"/>
                <w:sz w:val="15"/>
                <w:szCs w:val="15"/>
                <w:color w:val="auto"/>
              </w:rPr>
              <w:t xml:space="preserve">Corporate debt securities </w:t>
            </w:r>
            <w:r>
              <w:rPr>
                <w:rFonts w:ascii="Arial" w:cs="Arial" w:eastAsia="Arial" w:hAnsi="Arial"/>
                <w:sz w:val="24"/>
                <w:szCs w:val="24"/>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84,060</w:t>
            </w:r>
          </w:p>
        </w:tc>
        <w:tc>
          <w:tcPr>
            <w:tcW w:w="110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84,031</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3,948</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Foreign government security</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480" w:type="dxa"/>
            <w:vAlign w:val="bottom"/>
          </w:tcPr>
          <w:p>
            <w:pPr>
              <w:spacing w:after="0"/>
              <w:rPr>
                <w:sz w:val="21"/>
                <w:szCs w:val="21"/>
                <w:color w:val="auto"/>
              </w:rPr>
            </w:pPr>
          </w:p>
        </w:tc>
        <w:tc>
          <w:tcPr>
            <w:tcW w:w="52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89,738</w:t>
            </w:r>
          </w:p>
        </w:tc>
        <w:tc>
          <w:tcPr>
            <w:tcW w:w="110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89,704</w:t>
            </w:r>
          </w:p>
        </w:tc>
        <w:tc>
          <w:tcPr>
            <w:tcW w:w="80" w:type="dxa"/>
            <w:vAlign w:val="bottom"/>
          </w:tcPr>
          <w:p>
            <w:pPr>
              <w:spacing w:after="0"/>
              <w:rPr>
                <w:sz w:val="21"/>
                <w:szCs w:val="21"/>
                <w:color w:val="auto"/>
              </w:rPr>
            </w:pPr>
          </w:p>
        </w:tc>
      </w:tr>
      <w:tr>
        <w:trPr>
          <w:trHeight w:val="34"/>
        </w:trPr>
        <w:tc>
          <w:tcPr>
            <w:tcW w:w="480" w:type="dxa"/>
            <w:vAlign w:val="bottom"/>
            <w:tcBorders>
              <w:bottom w:val="single" w:sz="8" w:color="auto"/>
            </w:tcBorders>
          </w:tcPr>
          <w:p>
            <w:pPr>
              <w:spacing w:after="0"/>
              <w:rPr>
                <w:sz w:val="2"/>
                <w:szCs w:val="2"/>
                <w:color w:val="auto"/>
              </w:rPr>
            </w:pPr>
          </w:p>
        </w:tc>
        <w:tc>
          <w:tcPr>
            <w:tcW w:w="5260" w:type="dxa"/>
            <w:vAlign w:val="bottom"/>
            <w:tcBorders>
              <w:top w:val="single" w:sz="8" w:color="CCEEFF"/>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CCEE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bl>
    <w:p>
      <w:pPr>
        <w:spacing w:after="0" w:line="39" w:lineRule="exact"/>
        <w:rPr>
          <w:sz w:val="20"/>
          <w:szCs w:val="20"/>
          <w:color w:val="auto"/>
        </w:rPr>
      </w:pPr>
    </w:p>
    <w:p>
      <w:pPr>
        <w:ind w:left="640" w:right="240" w:hanging="312"/>
        <w:spacing w:after="0" w:line="251"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2022, the cost and fair value of investments with loss positions were approximately $86.3 million and $85.5 million, respectively. As of December 25, 2021, the cost and fair value of investments with loss positions was approximately $57.0 million.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w:t>
      </w:r>
    </w:p>
    <w:p>
      <w:pPr>
        <w:ind w:left="640" w:right="280" w:hanging="312"/>
        <w:spacing w:after="0" w:line="25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debt securities include investments in financial and other corporate institutions. No single issuer represents a significant portion of the total corporate debt securities portfolio.</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6860" w:type="dxa"/>
            <w:vAlign w:val="bottom"/>
            <w:gridSpan w:val="2"/>
          </w:tcPr>
          <w:p>
            <w:pPr>
              <w:spacing w:after="0"/>
              <w:rPr>
                <w:sz w:val="20"/>
                <w:szCs w:val="20"/>
                <w:color w:val="auto"/>
              </w:rPr>
            </w:pPr>
            <w:r>
              <w:rPr>
                <w:rFonts w:ascii="Arial" w:cs="Arial" w:eastAsia="Arial" w:hAnsi="Arial"/>
                <w:sz w:val="18"/>
                <w:szCs w:val="18"/>
                <w:color w:val="auto"/>
              </w:rPr>
              <w:t>Effective maturities of short-term investments at December 31, 2022, were as follows: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8"/>
        </w:trPr>
        <w:tc>
          <w:tcPr>
            <w:tcW w:w="1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Estimated</w:t>
            </w:r>
          </w:p>
        </w:tc>
      </w:tr>
      <w:tr>
        <w:trPr>
          <w:trHeight w:val="228"/>
        </w:trPr>
        <w:tc>
          <w:tcPr>
            <w:tcW w:w="160" w:type="dxa"/>
            <w:vAlign w:val="bottom"/>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6"/>
              </w:rPr>
              <w:t>Cost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r>
      <w:tr>
        <w:trPr>
          <w:trHeight w:val="208"/>
        </w:trPr>
        <w:tc>
          <w:tcPr>
            <w:tcW w:w="1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112,956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112,683</w:t>
            </w:r>
          </w:p>
        </w:tc>
      </w:tr>
      <w:tr>
        <w:trPr>
          <w:trHeight w:val="214"/>
        </w:trPr>
        <w:tc>
          <w:tcPr>
            <w:tcW w:w="1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30,552</w:t>
            </w:r>
          </w:p>
        </w:tc>
      </w:tr>
      <w:tr>
        <w:trPr>
          <w:trHeight w:val="20"/>
        </w:trPr>
        <w:tc>
          <w:tcPr>
            <w:tcW w:w="1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160" w:type="dxa"/>
            <w:vAlign w:val="bottom"/>
          </w:tcPr>
          <w:p>
            <w:pPr>
              <w:spacing w:after="0"/>
              <w:rPr>
                <w:sz w:val="19"/>
                <w:szCs w:val="19"/>
                <w:color w:val="auto"/>
              </w:rPr>
            </w:pPr>
          </w:p>
        </w:tc>
        <w:tc>
          <w:tcPr>
            <w:tcW w:w="67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143,952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143,235</w:t>
            </w:r>
          </w:p>
        </w:tc>
      </w:tr>
      <w:tr>
        <w:trPr>
          <w:trHeight w:val="20"/>
        </w:trPr>
        <w:tc>
          <w:tcPr>
            <w:tcW w:w="160" w:type="dxa"/>
            <w:vAlign w:val="bottom"/>
          </w:tcPr>
          <w:p>
            <w:pPr>
              <w:spacing w:after="0" w:line="20" w:lineRule="exact"/>
              <w:rPr>
                <w:sz w:val="1"/>
                <w:szCs w:val="1"/>
                <w:color w:val="auto"/>
              </w:rPr>
            </w:pPr>
          </w:p>
        </w:tc>
        <w:tc>
          <w:tcPr>
            <w:tcW w:w="67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320" w:right="40"/>
        <w:spacing w:after="0" w:line="270" w:lineRule="auto"/>
        <w:rPr>
          <w:sz w:val="20"/>
          <w:szCs w:val="20"/>
          <w:color w:val="auto"/>
        </w:rPr>
      </w:pPr>
      <w:r>
        <w:rPr>
          <w:rFonts w:ascii="Arial" w:cs="Arial" w:eastAsia="Arial" w:hAnsi="Arial"/>
          <w:sz w:val="17"/>
          <w:szCs w:val="17"/>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right="840"/>
        <w:spacing w:after="0" w:line="271" w:lineRule="auto"/>
        <w:rPr>
          <w:sz w:val="20"/>
          <w:szCs w:val="20"/>
          <w:color w:val="auto"/>
        </w:rPr>
      </w:pPr>
      <w:r>
        <w:rPr>
          <w:rFonts w:ascii="Arial" w:cs="Arial" w:eastAsia="Arial" w:hAnsi="Arial"/>
          <w:sz w:val="18"/>
          <w:szCs w:val="18"/>
          <w:color w:val="auto"/>
        </w:rPr>
        <w:t xml:space="preserve">The following table summarizes, by major security type, our financial instruments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20" w:type="dxa"/>
            <w:vAlign w:val="bottom"/>
            <w:gridSpan w:val="11"/>
          </w:tcPr>
          <w:p>
            <w:pPr>
              <w:jc w:val="right"/>
              <w:ind w:right="820"/>
              <w:spacing w:after="0"/>
              <w:rPr>
                <w:sz w:val="20"/>
                <w:szCs w:val="20"/>
                <w:color w:val="auto"/>
              </w:rPr>
            </w:pPr>
            <w:r>
              <w:rPr>
                <w:rFonts w:ascii="Arial" w:cs="Arial" w:eastAsia="Arial" w:hAnsi="Arial"/>
                <w:sz w:val="18"/>
                <w:szCs w:val="18"/>
                <w:color w:val="auto"/>
                <w:w w:val="99"/>
              </w:rPr>
              <w:t>Fair value measurements at December 31, 2022 using:</w:t>
            </w:r>
          </w:p>
        </w:tc>
      </w:tr>
      <w:tr>
        <w:trPr>
          <w:trHeight w:val="194"/>
        </w:trPr>
        <w:tc>
          <w:tcPr>
            <w:tcW w:w="5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Total estimated</w:t>
            </w:r>
          </w:p>
        </w:tc>
        <w:tc>
          <w:tcPr>
            <w:tcW w:w="100" w:type="dxa"/>
            <w:vAlign w:val="bottom"/>
          </w:tcPr>
          <w:p>
            <w:pPr>
              <w:spacing w:after="0"/>
              <w:rPr>
                <w:sz w:val="16"/>
                <w:szCs w:val="16"/>
                <w:color w:val="auto"/>
              </w:rPr>
            </w:pPr>
          </w:p>
        </w:tc>
      </w:tr>
      <w:tr>
        <w:trPr>
          <w:trHeight w:val="228"/>
        </w:trPr>
        <w:tc>
          <w:tcPr>
            <w:tcW w:w="5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3"/>
              </w:rPr>
              <w:t>fair value</w:t>
            </w:r>
          </w:p>
        </w:tc>
        <w:tc>
          <w:tcPr>
            <w:tcW w:w="100" w:type="dxa"/>
            <w:vAlign w:val="bottom"/>
          </w:tcPr>
          <w:p>
            <w:pPr>
              <w:spacing w:after="0"/>
              <w:rPr>
                <w:sz w:val="19"/>
                <w:szCs w:val="19"/>
                <w:color w:val="auto"/>
              </w:rPr>
            </w:pPr>
          </w:p>
        </w:tc>
      </w:tr>
      <w:tr>
        <w:trPr>
          <w:trHeight w:val="20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190,371</w:t>
            </w:r>
          </w:p>
        </w:tc>
        <w:tc>
          <w:tcPr>
            <w:tcW w:w="420" w:type="dxa"/>
            <w:vAlign w:val="bottom"/>
            <w:tcBorders>
              <w:left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190,371</w:t>
            </w: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69,753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69,753</w:t>
            </w:r>
          </w:p>
        </w:tc>
      </w:tr>
      <w:tr>
        <w:trPr>
          <w:trHeight w:val="21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40,290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40,290</w:t>
            </w: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37,480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37,480</w:t>
            </w:r>
          </w:p>
        </w:tc>
      </w:tr>
      <w:tr>
        <w:trPr>
          <w:trHeight w:val="21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34,196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34,196</w:t>
            </w: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12,658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12,658</w:t>
            </w:r>
          </w:p>
        </w:tc>
      </w:tr>
      <w:tr>
        <w:trPr>
          <w:trHeight w:val="21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r>
      <w:tr>
        <w:trPr>
          <w:trHeight w:val="20"/>
        </w:trPr>
        <w:tc>
          <w:tcPr>
            <w:tcW w:w="5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526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190,371</w:t>
            </w:r>
          </w:p>
        </w:tc>
        <w:tc>
          <w:tcPr>
            <w:tcW w:w="22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195,205</w:t>
            </w:r>
          </w:p>
        </w:tc>
        <w:tc>
          <w:tcPr>
            <w:tcW w:w="2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385,576</w:t>
            </w:r>
          </w:p>
        </w:tc>
      </w:tr>
      <w:tr>
        <w:trPr>
          <w:trHeight w:val="20"/>
        </w:trPr>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11"/>
          </w:tcPr>
          <w:p>
            <w:pPr>
              <w:jc w:val="right"/>
              <w:ind w:right="820"/>
              <w:spacing w:after="0"/>
              <w:rPr>
                <w:sz w:val="20"/>
                <w:szCs w:val="20"/>
                <w:color w:val="auto"/>
              </w:rPr>
            </w:pPr>
            <w:r>
              <w:rPr>
                <w:rFonts w:ascii="Arial" w:cs="Arial" w:eastAsia="Arial" w:hAnsi="Arial"/>
                <w:sz w:val="18"/>
                <w:szCs w:val="18"/>
                <w:color w:val="auto"/>
                <w:w w:val="99"/>
              </w:rPr>
              <w:t>Fair value measurements at December 25, 2021 using:</w:t>
            </w:r>
          </w:p>
        </w:tc>
      </w:tr>
      <w:tr>
        <w:trPr>
          <w:trHeight w:val="194"/>
        </w:trPr>
        <w:tc>
          <w:tcPr>
            <w:tcW w:w="5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Total estimated</w:t>
            </w:r>
          </w:p>
        </w:tc>
        <w:tc>
          <w:tcPr>
            <w:tcW w:w="100" w:type="dxa"/>
            <w:vAlign w:val="bottom"/>
          </w:tcPr>
          <w:p>
            <w:pPr>
              <w:spacing w:after="0"/>
              <w:rPr>
                <w:sz w:val="16"/>
                <w:szCs w:val="16"/>
                <w:color w:val="auto"/>
              </w:rPr>
            </w:pPr>
          </w:p>
        </w:tc>
      </w:tr>
      <w:tr>
        <w:trPr>
          <w:trHeight w:val="228"/>
        </w:trPr>
        <w:tc>
          <w:tcPr>
            <w:tcW w:w="5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3"/>
              </w:rPr>
              <w:t>fair value</w:t>
            </w:r>
          </w:p>
        </w:tc>
        <w:tc>
          <w:tcPr>
            <w:tcW w:w="100" w:type="dxa"/>
            <w:vAlign w:val="bottom"/>
          </w:tcPr>
          <w:p>
            <w:pPr>
              <w:spacing w:after="0"/>
              <w:rPr>
                <w:sz w:val="19"/>
                <w:szCs w:val="19"/>
                <w:color w:val="auto"/>
              </w:rPr>
            </w:pPr>
          </w:p>
        </w:tc>
      </w:tr>
      <w:tr>
        <w:trPr>
          <w:trHeight w:val="20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195,297</w:t>
            </w:r>
          </w:p>
        </w:tc>
        <w:tc>
          <w:tcPr>
            <w:tcW w:w="420" w:type="dxa"/>
            <w:vAlign w:val="bottom"/>
            <w:tcBorders>
              <w:left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195,297</w:t>
            </w: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92,400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92,400</w:t>
            </w:r>
          </w:p>
        </w:tc>
      </w:tr>
      <w:tr>
        <w:trPr>
          <w:trHeight w:val="21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86,535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86,535</w:t>
            </w: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3,948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3,948</w:t>
            </w:r>
          </w:p>
        </w:tc>
      </w:tr>
      <w:tr>
        <w:trPr>
          <w:trHeight w:val="21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0"/>
        </w:trPr>
        <w:tc>
          <w:tcPr>
            <w:tcW w:w="5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195,297</w:t>
            </w:r>
          </w:p>
        </w:tc>
        <w:tc>
          <w:tcPr>
            <w:tcW w:w="2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379,905</w:t>
            </w: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20" w:hanging="313"/>
        <w:spacing w:after="0"/>
        <w:tabs>
          <w:tab w:leader="none" w:pos="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0" w:lineRule="exact"/>
        <w:rPr>
          <w:rFonts w:ascii="Arial" w:cs="Arial" w:eastAsia="Arial" w:hAnsi="Arial"/>
          <w:sz w:val="18"/>
          <w:szCs w:val="18"/>
          <w:b w:val="1"/>
          <w:bCs w:val="1"/>
          <w:color w:val="auto"/>
        </w:rPr>
      </w:pPr>
    </w:p>
    <w:p>
      <w:pPr>
        <w:ind w:left="320" w:right="10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Defined Contribution Retirement Plans </w:t>
      </w:r>
      <w:r>
        <w:rPr>
          <w:rFonts w:ascii="Arial" w:cs="Arial" w:eastAsia="Arial" w:hAnsi="Arial"/>
          <w:sz w:val="18"/>
          <w:szCs w:val="18"/>
          <w:color w:val="auto"/>
        </w:rPr>
        <w:t>– Cohu maintains a defined contribution 401(k) retirement savings plan covering all salaried and hourly 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Participation is voluntary and participants’ contributions are based on their eligible compensation. Participants in the Cohu plan receive matching contributions of 50% up to 8% of salary contributed, subject to various statutory limits. In 2022, 2021 and 2020 we made matching contributions to the plan of $2.4 million, $2.4 million and $2.3 million, respectively.</w:t>
      </w:r>
    </w:p>
    <w:p>
      <w:pPr>
        <w:spacing w:after="0" w:line="183" w:lineRule="exact"/>
        <w:rPr>
          <w:rFonts w:ascii="Arial" w:cs="Arial" w:eastAsia="Arial" w:hAnsi="Arial"/>
          <w:sz w:val="18"/>
          <w:szCs w:val="18"/>
          <w:b w:val="1"/>
          <w:bCs w:val="1"/>
          <w:color w:val="auto"/>
        </w:rPr>
      </w:pPr>
    </w:p>
    <w:p>
      <w:pPr>
        <w:ind w:left="320" w:right="1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Defined Benefit Retirement Plans </w:t>
      </w:r>
      <w:r>
        <w:rPr>
          <w:rFonts w:ascii="Arial" w:cs="Arial" w:eastAsia="Arial" w:hAnsi="Arial"/>
          <w:sz w:val="18"/>
          <w:szCs w:val="18"/>
          <w:color w:val="auto"/>
        </w:rPr>
        <w:t>– Some of our employees located in Europe and Asia participate in defined benefit retirement plans. Our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benefit retirement plan is the Ismeca Europe Semiconductor BVG Pension Plan which covers our employees in Switzerland (“the Swiss Plan”) and the following discussion relates solely to the Swiss Plan.</w:t>
      </w:r>
    </w:p>
    <w:p>
      <w:pPr>
        <w:spacing w:after="0" w:line="18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Net periodic benefit cost of the Swiss Plan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8"/>
        </w:trPr>
        <w:tc>
          <w:tcPr>
            <w:tcW w:w="4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954</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1,223</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cost</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Settlements</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480" w:type="dxa"/>
            <w:vAlign w:val="bottom"/>
          </w:tcPr>
          <w:p>
            <w:pPr>
              <w:spacing w:after="0"/>
              <w:rPr>
                <w:sz w:val="21"/>
                <w:szCs w:val="21"/>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periodic costs</w:t>
            </w:r>
          </w:p>
        </w:tc>
        <w:tc>
          <w:tcPr>
            <w:tcW w:w="2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1,228</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21"/>
                <w:szCs w:val="21"/>
                <w:color w:val="auto"/>
              </w:rPr>
            </w:pPr>
          </w:p>
        </w:tc>
      </w:tr>
      <w:tr>
        <w:trPr>
          <w:trHeight w:val="407"/>
        </w:trPr>
        <w:tc>
          <w:tcPr>
            <w:tcW w:w="480" w:type="dxa"/>
            <w:vAlign w:val="bottom"/>
          </w:tcPr>
          <w:p>
            <w:pPr>
              <w:spacing w:after="0"/>
              <w:rPr>
                <w:sz w:val="24"/>
                <w:szCs w:val="24"/>
                <w:color w:val="auto"/>
              </w:rPr>
            </w:pPr>
          </w:p>
        </w:tc>
        <w:tc>
          <w:tcPr>
            <w:tcW w:w="34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jc w:val="right"/>
              <w:ind w:right="311"/>
              <w:spacing w:after="0"/>
              <w:rPr>
                <w:sz w:val="20"/>
                <w:szCs w:val="20"/>
                <w:color w:val="auto"/>
              </w:rPr>
            </w:pPr>
            <w:r>
              <w:rPr>
                <w:rFonts w:ascii="Arial" w:cs="Arial" w:eastAsia="Arial" w:hAnsi="Arial"/>
                <w:sz w:val="18"/>
                <w:szCs w:val="18"/>
                <w:color w:val="auto"/>
              </w:rPr>
              <w:t>62</w:t>
            </w: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right="260"/>
        <w:spacing w:after="0" w:line="271" w:lineRule="auto"/>
        <w:rPr>
          <w:sz w:val="20"/>
          <w:szCs w:val="20"/>
          <w:color w:val="auto"/>
        </w:rPr>
      </w:pPr>
      <w:r>
        <w:rPr>
          <w:rFonts w:ascii="Arial" w:cs="Arial" w:eastAsia="Arial" w:hAnsi="Arial"/>
          <w:sz w:val="18"/>
          <w:szCs w:val="18"/>
          <w:color w:val="auto"/>
        </w:rPr>
        <w:t>The following table sets forth the projected benefit obligation, the fair value of plan assets, the funded status and the liability we have recorded in our consolidated balance sheets related to the Swiss Plan:</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2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(28,765)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(31,039)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gain</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6,043</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Participant contributions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(1,459)</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Plan change</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397</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Foreign currency exchange adjustment</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362</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(21,628)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Change in plan assets: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18,919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Return on assets, net of actuarial loss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Employer contributions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Participant contributions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1,459</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(2,426)</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exchange adjustment</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18,411</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liability at end of year</w:t>
            </w:r>
          </w:p>
        </w:tc>
        <w:tc>
          <w:tcPr>
            <w:tcW w:w="2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(3,217)</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right="60"/>
        <w:spacing w:after="0" w:line="259" w:lineRule="auto"/>
        <w:rPr>
          <w:sz w:val="20"/>
          <w:szCs w:val="20"/>
          <w:color w:val="auto"/>
        </w:rPr>
      </w:pPr>
      <w:r>
        <w:rPr>
          <w:rFonts w:ascii="Arial" w:cs="Arial" w:eastAsia="Arial" w:hAnsi="Arial"/>
          <w:sz w:val="18"/>
          <w:szCs w:val="18"/>
          <w:color w:val="auto"/>
        </w:rPr>
        <w:t>At December 31, 2022 and December 25, 2021, the Swiss Plan’s net liability is included in noncurrent accrued retirement benefits. Amounts recognized in accumulated other comprehensive loss net of tax related to the Swiss Plan consisted of an unrecognized net actuarial gains totaling $6.8 million and $0.9 million at December 31, 2022 and December 25, 2021, respectively.</w:t>
      </w:r>
    </w:p>
    <w:p>
      <w:pPr>
        <w:spacing w:after="0" w:line="186" w:lineRule="exact"/>
        <w:rPr>
          <w:sz w:val="20"/>
          <w:szCs w:val="20"/>
          <w:color w:val="auto"/>
        </w:rPr>
      </w:pPr>
    </w:p>
    <w:p>
      <w:pPr>
        <w:jc w:val="both"/>
        <w:ind w:left="320" w:right="180"/>
        <w:spacing w:after="0" w:line="271" w:lineRule="auto"/>
        <w:rPr>
          <w:sz w:val="20"/>
          <w:szCs w:val="20"/>
          <w:color w:val="auto"/>
        </w:rPr>
      </w:pPr>
      <w:r>
        <w:rPr>
          <w:rFonts w:ascii="Arial" w:cs="Arial" w:eastAsia="Arial" w:hAnsi="Arial"/>
          <w:sz w:val="18"/>
          <w:szCs w:val="18"/>
          <w:color w:val="auto"/>
        </w:rPr>
        <w:t>Actuarial gains of $6.0 million and $1.2 million for the years ended December 31, 2022 and December 25, 2021, respectively, were due to assumption changes as well as plan experience.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Weighted-average actuarial assumptions used to determine the projected benefit obligation under the Swiss Plan are as follows:</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66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r>
      <w:tr>
        <w:trPr>
          <w:trHeight w:val="208"/>
        </w:trPr>
        <w:tc>
          <w:tcPr>
            <w:tcW w:w="16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7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27"/>
        </w:trPr>
        <w:tc>
          <w:tcPr>
            <w:tcW w:w="16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Compensation increase</w:t>
            </w:r>
          </w:p>
        </w:tc>
        <w:tc>
          <w:tcPr>
            <w:tcW w:w="1720" w:type="dxa"/>
            <w:vAlign w:val="bottom"/>
          </w:tcPr>
          <w:p>
            <w:pPr>
              <w:spacing w:after="0"/>
              <w:rPr>
                <w:sz w:val="19"/>
                <w:szCs w:val="19"/>
                <w:color w:val="auto"/>
              </w:rPr>
            </w:pP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3.0%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414"/>
        </w:trPr>
        <w:tc>
          <w:tcPr>
            <w:tcW w:w="8560" w:type="dxa"/>
            <w:vAlign w:val="bottom"/>
            <w:gridSpan w:val="3"/>
          </w:tcPr>
          <w:p>
            <w:pPr>
              <w:jc w:val="right"/>
              <w:ind w:right="811"/>
              <w:spacing w:after="0"/>
              <w:rPr>
                <w:sz w:val="20"/>
                <w:szCs w:val="20"/>
                <w:color w:val="auto"/>
              </w:rPr>
            </w:pPr>
            <w:r>
              <w:rPr>
                <w:rFonts w:ascii="Arial" w:cs="Arial" w:eastAsia="Arial" w:hAnsi="Arial"/>
                <w:sz w:val="18"/>
                <w:szCs w:val="18"/>
                <w:color w:val="auto"/>
                <w:w w:val="88"/>
              </w:rPr>
              <w:t>Weighted-average assumptions used to determine net periodic benefit cost of the Swiss Plan are as follows:</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2"/>
        </w:trPr>
        <w:tc>
          <w:tcPr>
            <w:tcW w:w="160" w:type="dxa"/>
            <w:vAlign w:val="bottom"/>
          </w:tcPr>
          <w:p>
            <w:pPr>
              <w:spacing w:after="0"/>
              <w:rPr>
                <w:sz w:val="24"/>
                <w:szCs w:val="24"/>
                <w:color w:val="auto"/>
              </w:rPr>
            </w:pPr>
          </w:p>
        </w:tc>
        <w:tc>
          <w:tcPr>
            <w:tcW w:w="6680" w:type="dxa"/>
            <w:vAlign w:val="bottom"/>
            <w:tcBorders>
              <w:bottom w:val="single" w:sz="8" w:color="auto"/>
            </w:tcBorders>
          </w:tcPr>
          <w:p>
            <w:pPr>
              <w:ind w:left="6160"/>
              <w:spacing w:after="0"/>
              <w:rPr>
                <w:sz w:val="20"/>
                <w:szCs w:val="20"/>
                <w:color w:val="auto"/>
              </w:rPr>
            </w:pPr>
            <w:r>
              <w:rPr>
                <w:rFonts w:ascii="Arial" w:cs="Arial" w:eastAsia="Arial" w:hAnsi="Arial"/>
                <w:sz w:val="18"/>
                <w:szCs w:val="18"/>
                <w:color w:val="auto"/>
              </w:rPr>
              <w:t>2022</w:t>
            </w:r>
          </w:p>
        </w:tc>
        <w:tc>
          <w:tcPr>
            <w:tcW w:w="1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2021</w:t>
            </w: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720" w:type="dxa"/>
            <w:vAlign w:val="bottom"/>
            <w:shd w:val="clear" w:color="auto" w:fill="CCEEFF"/>
          </w:tcPr>
          <w:p>
            <w:pPr>
              <w:jc w:val="right"/>
              <w:ind w:right="1091"/>
              <w:spacing w:after="0"/>
              <w:rPr>
                <w:sz w:val="20"/>
                <w:szCs w:val="20"/>
                <w:color w:val="auto"/>
              </w:rPr>
            </w:pPr>
            <w:r>
              <w:rPr>
                <w:rFonts w:ascii="Arial" w:cs="Arial" w:eastAsia="Arial" w:hAnsi="Arial"/>
                <w:sz w:val="18"/>
                <w:szCs w:val="18"/>
                <w:color w:val="auto"/>
              </w:rPr>
              <w:t>2.3%</w:t>
            </w: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14"/>
        </w:trPr>
        <w:tc>
          <w:tcPr>
            <w:tcW w:w="1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Rate of return on assets</w:t>
            </w:r>
          </w:p>
        </w:tc>
        <w:tc>
          <w:tcPr>
            <w:tcW w:w="1720" w:type="dxa"/>
            <w:vAlign w:val="bottom"/>
          </w:tcPr>
          <w:p>
            <w:pPr>
              <w:jc w:val="right"/>
              <w:ind w:right="1091"/>
              <w:spacing w:after="0"/>
              <w:rPr>
                <w:sz w:val="20"/>
                <w:szCs w:val="20"/>
                <w:color w:val="auto"/>
              </w:rPr>
            </w:pPr>
            <w:r>
              <w:rPr>
                <w:rFonts w:ascii="Arial" w:cs="Arial" w:eastAsia="Arial" w:hAnsi="Arial"/>
                <w:sz w:val="18"/>
                <w:szCs w:val="18"/>
                <w:color w:val="auto"/>
              </w:rPr>
              <w:t>1.8%</w:t>
            </w:r>
          </w:p>
        </w:tc>
        <w:tc>
          <w:tcPr>
            <w:tcW w:w="880" w:type="dxa"/>
            <w:vAlign w:val="bottom"/>
          </w:tcPr>
          <w:p>
            <w:pPr>
              <w:jc w:val="right"/>
              <w:ind w:right="251"/>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4"/>
        </w:trPr>
        <w:tc>
          <w:tcPr>
            <w:tcW w:w="16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increase</w:t>
            </w:r>
          </w:p>
        </w:tc>
        <w:tc>
          <w:tcPr>
            <w:tcW w:w="1720" w:type="dxa"/>
            <w:vAlign w:val="bottom"/>
            <w:shd w:val="clear" w:color="auto" w:fill="CCEEFF"/>
          </w:tcPr>
          <w:p>
            <w:pPr>
              <w:jc w:val="right"/>
              <w:ind w:right="1091"/>
              <w:spacing w:after="0"/>
              <w:rPr>
                <w:sz w:val="20"/>
                <w:szCs w:val="20"/>
                <w:color w:val="auto"/>
              </w:rPr>
            </w:pPr>
            <w:r>
              <w:rPr>
                <w:rFonts w:ascii="Arial" w:cs="Arial" w:eastAsia="Arial" w:hAnsi="Arial"/>
                <w:sz w:val="18"/>
                <w:szCs w:val="18"/>
                <w:color w:val="auto"/>
              </w:rPr>
              <w:t>3.0%</w:t>
            </w:r>
          </w:p>
        </w:tc>
        <w:tc>
          <w:tcPr>
            <w:tcW w:w="8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jc w:val="both"/>
        <w:ind w:left="320" w:right="200"/>
        <w:spacing w:after="0" w:line="259" w:lineRule="auto"/>
        <w:rPr>
          <w:sz w:val="20"/>
          <w:szCs w:val="20"/>
          <w:color w:val="auto"/>
        </w:rPr>
      </w:pPr>
      <w:r>
        <w:rPr>
          <w:rFonts w:ascii="Arial" w:cs="Arial" w:eastAsia="Arial" w:hAnsi="Arial"/>
          <w:sz w:val="18"/>
          <w:szCs w:val="18"/>
          <w:color w:val="auto"/>
        </w:rPr>
        <w:t>During 2023 employer and employee contributions to the Swiss Plan are expected to total $0.9 million. Estimated benefit payments are expected to be as follows: 2023 - $1.2 million; 2024 - $1.3 million; 2025 - $1.0 million; 2026 - $1.2 million; 2027 - $1.3 million; and $6.8 million thereafter through 2032.</w:t>
      </w:r>
    </w:p>
    <w:p>
      <w:pPr>
        <w:spacing w:after="0" w:line="186" w:lineRule="exact"/>
        <w:rPr>
          <w:sz w:val="20"/>
          <w:szCs w:val="20"/>
          <w:color w:val="auto"/>
        </w:rPr>
      </w:pPr>
    </w:p>
    <w:p>
      <w:pPr>
        <w:ind w:left="320"/>
        <w:spacing w:after="0" w:line="269" w:lineRule="auto"/>
        <w:rPr>
          <w:sz w:val="20"/>
          <w:szCs w:val="20"/>
          <w:color w:val="auto"/>
        </w:rPr>
      </w:pPr>
      <w:r>
        <w:rPr>
          <w:rFonts w:ascii="Arial" w:cs="Arial" w:eastAsia="Arial" w:hAnsi="Arial"/>
          <w:sz w:val="17"/>
          <w:szCs w:val="17"/>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54% debt securities and cash, 23% real estate investments, 13% alternative investments and 10% equity securities. The valuation of the collective fund assets as a whole is a Level 3 measurement; however, the individual investments of the fund are generally Level 1 (equity securities), Level 2 (fixed income) and Level 3 (real estate and alternative) investments. We determine the fair value of the plan assets based on information provided by the collective fund, through review of the collective fund’s annual financial statements. See Note 5,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Measured at Fair Value</w:t>
      </w:r>
      <w:r>
        <w:rPr>
          <w:rFonts w:ascii="Arial" w:cs="Arial" w:eastAsia="Arial" w:hAnsi="Arial"/>
          <w:sz w:val="17"/>
          <w:szCs w:val="17"/>
          <w:color w:val="auto"/>
        </w:rPr>
        <w:t>” for additional information on the three-tier fair value hierarchy.</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right="260"/>
        <w:spacing w:after="0" w:line="271" w:lineRule="auto"/>
        <w:rPr>
          <w:sz w:val="20"/>
          <w:szCs w:val="20"/>
          <w:color w:val="auto"/>
        </w:rPr>
      </w:pPr>
      <w:r>
        <w:rPr>
          <w:rFonts w:ascii="Arial" w:cs="Arial" w:eastAsia="Arial" w:hAnsi="Arial"/>
          <w:sz w:val="18"/>
          <w:szCs w:val="18"/>
          <w:color w:val="auto"/>
        </w:rPr>
        <w:t>We maintain other defined benefit plans for employees located outside the U.S. for which the majority of the obligations and net periodic benefit cost were determined to be immaterial for all periods presented.</w:t>
      </w:r>
    </w:p>
    <w:p>
      <w:pPr>
        <w:spacing w:after="0" w:line="171" w:lineRule="exact"/>
        <w:rPr>
          <w:sz w:val="20"/>
          <w:szCs w:val="20"/>
          <w:color w:val="auto"/>
        </w:rPr>
      </w:pPr>
    </w:p>
    <w:p>
      <w:pPr>
        <w:ind w:left="320" w:right="160"/>
        <w:spacing w:after="0" w:line="261" w:lineRule="auto"/>
        <w:rPr>
          <w:sz w:val="20"/>
          <w:szCs w:val="20"/>
          <w:color w:val="auto"/>
        </w:rPr>
      </w:pPr>
      <w:r>
        <w:rPr>
          <w:rFonts w:ascii="Arial" w:cs="Arial" w:eastAsia="Arial" w:hAnsi="Arial"/>
          <w:sz w:val="18"/>
          <w:szCs w:val="18"/>
          <w:b w:val="1"/>
          <w:bCs w:val="1"/>
          <w:color w:val="auto"/>
        </w:rPr>
        <w:t xml:space="preserve">Retiree Medical Benefits </w:t>
      </w:r>
      <w:r>
        <w:rPr>
          <w:rFonts w:ascii="Arial" w:cs="Arial" w:eastAsia="Arial" w:hAnsi="Arial"/>
          <w:sz w:val="18"/>
          <w:szCs w:val="18"/>
          <w:color w:val="auto"/>
        </w:rPr>
        <w:t>– We provide post-retirement health benefits to certain executives and directors under a noncontributory plan. The net</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benefit cost was $0.1 million in both 2022 and 2020 and was insignificant in 2021. We fund benefits as costs are incurred and as a result there are no plan assets.</w:t>
      </w:r>
    </w:p>
    <w:p>
      <w:pPr>
        <w:spacing w:after="0" w:line="185" w:lineRule="exact"/>
        <w:rPr>
          <w:sz w:val="20"/>
          <w:szCs w:val="20"/>
          <w:color w:val="auto"/>
        </w:rPr>
      </w:pPr>
    </w:p>
    <w:p>
      <w:pPr>
        <w:ind w:left="320"/>
        <w:spacing w:after="0" w:line="255" w:lineRule="auto"/>
        <w:rPr>
          <w:sz w:val="20"/>
          <w:szCs w:val="20"/>
          <w:color w:val="auto"/>
        </w:rPr>
      </w:pPr>
      <w:r>
        <w:rPr>
          <w:rFonts w:ascii="Arial" w:cs="Arial" w:eastAsia="Arial" w:hAnsi="Arial"/>
          <w:sz w:val="18"/>
          <w:szCs w:val="18"/>
          <w:color w:val="auto"/>
        </w:rPr>
        <w:t>The weighted average discount rate used in determining the accumulated post-retirement benefit obligation was 4.9% in 2022, 2.5% in 2021 and 2.1% in 2020. The annual rates of increase of the cost of health benefits was assumed to be 6.8% and 7.2% in 2023 for pre-65 participants and post-65 participants, respectively. This rate was then assumed to decrease 0.27% per year and 0.31% per year for pre-65 participants and post-65 participants, respectively, to 4.4% in 2032 and remain level thereafter.</w:t>
      </w:r>
    </w:p>
    <w:p>
      <w:pPr>
        <w:spacing w:after="0" w:line="190" w:lineRule="exact"/>
        <w:rPr>
          <w:sz w:val="20"/>
          <w:szCs w:val="20"/>
          <w:color w:val="auto"/>
        </w:rPr>
      </w:pPr>
    </w:p>
    <w:p>
      <w:pPr>
        <w:ind w:left="320" w:right="40"/>
        <w:spacing w:after="0" w:line="335" w:lineRule="auto"/>
        <w:rPr>
          <w:sz w:val="20"/>
          <w:szCs w:val="20"/>
          <w:color w:val="auto"/>
        </w:rPr>
      </w:pPr>
      <w:r>
        <w:rPr>
          <w:rFonts w:ascii="Arial" w:cs="Arial" w:eastAsia="Arial" w:hAnsi="Arial"/>
          <w:sz w:val="16"/>
          <w:szCs w:val="16"/>
          <w:color w:val="auto"/>
        </w:rPr>
        <w:t>Contributions to the post-retirement health benefit plan are expected to total $0.1 million in 2023. Estimated benefit payments are expected to be as follows: 2023 - $0.1 million; 2024 - $0.1 million; 2025 - $0.1 million; 2026 - $0.1 million; 2027 - $0.1 million and $0.6 million thereafter through 2032.</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post-retirement benefit obligation, funded status and the liability we have recorded in our consolidated balance sheets:</w:t>
      </w:r>
    </w:p>
    <w:p>
      <w:pPr>
        <w:spacing w:after="0" w:line="257"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55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2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gain</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end of year</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Plan assets at end of year</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2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(1,657)</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20"/>
        <w:spacing w:after="0" w:line="253"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The Cohu, Inc. Deferred Compensation Plan allows certain of our officers to defer a portion of their current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purchased life insurance policies on the participants with Cohu as the named beneficiary. Participant contributions, distributions and investment earnings and losses are accumulated in a separate account for each participant. At December 31, 2022, the payroll liability to participants, included in accrued compensation and benefits in the consolidated balance sheet, was approximately $1.1 million and the cash surrender value of the related life insurance policies included in other current assets was approximately $1.4 million. At December 25, 2021, the liability totaled $1.6 million and the corresponding assets were $1.8 million.</w:t>
      </w:r>
    </w:p>
    <w:p>
      <w:pPr>
        <w:spacing w:after="0" w:line="189" w:lineRule="exact"/>
        <w:rPr>
          <w:sz w:val="20"/>
          <w:szCs w:val="20"/>
          <w:color w:val="auto"/>
        </w:rPr>
      </w:pPr>
    </w:p>
    <w:p>
      <w:pPr>
        <w:ind w:left="320" w:right="20"/>
        <w:spacing w:after="0" w:line="255"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(“the Plan”) provides for the issuance of a maximum of</w:t>
      </w:r>
      <w:r>
        <w:rPr>
          <w:rFonts w:ascii="Arial" w:cs="Arial" w:eastAsia="Arial" w:hAnsi="Arial"/>
          <w:sz w:val="18"/>
          <w:szCs w:val="18"/>
          <w:b w:val="1"/>
          <w:bCs w:val="1"/>
          <w:color w:val="auto"/>
        </w:rPr>
        <w:t xml:space="preserve"> </w:t>
      </w:r>
      <w:r>
        <w:rPr>
          <w:rFonts w:ascii="Arial" w:cs="Arial" w:eastAsia="Arial" w:hAnsi="Arial"/>
          <w:sz w:val="18"/>
          <w:szCs w:val="18"/>
          <w:color w:val="auto"/>
        </w:rPr>
        <w:t>2,650,000 shares of our common stock. Under the Plan, eligible employees may purchase shares of common stock through payroll deductions. The price paid for the common stock is equal to 85% of the fair market value of our common stock on specified dates. During the last three years we issued shares under the Plan as follows: 2022 - 160,855; 2021 - 161,351 and 2020 - 242,633. At December 31, 2022, there were 346,498 shares available for issuance under the Plan.</w:t>
      </w:r>
    </w:p>
    <w:p>
      <w:pPr>
        <w:spacing w:after="0" w:line="184" w:lineRule="exact"/>
        <w:rPr>
          <w:sz w:val="20"/>
          <w:szCs w:val="20"/>
          <w:color w:val="auto"/>
        </w:rPr>
      </w:pPr>
    </w:p>
    <w:p>
      <w:pPr>
        <w:ind w:left="320" w:right="60"/>
        <w:spacing w:after="0" w:line="294" w:lineRule="auto"/>
        <w:rPr>
          <w:sz w:val="20"/>
          <w:szCs w:val="20"/>
          <w:color w:val="auto"/>
        </w:rPr>
      </w:pPr>
      <w:r>
        <w:rPr>
          <w:rFonts w:ascii="Arial" w:cs="Arial" w:eastAsia="Arial" w:hAnsi="Arial"/>
          <w:sz w:val="16"/>
          <w:szCs w:val="16"/>
          <w:b w:val="1"/>
          <w:bCs w:val="1"/>
          <w:color w:val="auto"/>
        </w:rPr>
        <w:t xml:space="preserve">Employee Stock Benefit Plans </w:t>
      </w:r>
      <w:r>
        <w:rPr>
          <w:rFonts w:ascii="Arial" w:cs="Arial" w:eastAsia="Arial" w:hAnsi="Arial"/>
          <w:sz w:val="16"/>
          <w:szCs w:val="16"/>
          <w:color w:val="auto"/>
        </w:rPr>
        <w:t>– Our 2005 Equity Incentive Plan (“2005 Plan”) is a broad-based, long-term retention program intended to attract,</w:t>
      </w:r>
      <w:r>
        <w:rPr>
          <w:rFonts w:ascii="Arial" w:cs="Arial" w:eastAsia="Arial" w:hAnsi="Arial"/>
          <w:sz w:val="16"/>
          <w:szCs w:val="16"/>
          <w:b w:val="1"/>
          <w:bCs w:val="1"/>
          <w:color w:val="auto"/>
        </w:rPr>
        <w:t xml:space="preserve"> </w:t>
      </w:r>
      <w:r>
        <w:rPr>
          <w:rFonts w:ascii="Arial" w:cs="Arial" w:eastAsia="Arial" w:hAnsi="Arial"/>
          <w:sz w:val="16"/>
          <w:szCs w:val="16"/>
          <w:color w:val="auto"/>
        </w:rPr>
        <w:t>motivate, and retain talented employees as well as align stockholder and employee interests. Awards that may be granted under the program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At December 31, 2022, there were 914,705 shares available for future equity grants under the 2005 Plan.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1" w:lineRule="exact"/>
        <w:rPr>
          <w:sz w:val="20"/>
          <w:szCs w:val="20"/>
          <w:color w:val="auto"/>
        </w:rPr>
      </w:pPr>
    </w:p>
    <w:p>
      <w:pPr>
        <w:ind w:left="320" w:right="20"/>
        <w:spacing w:after="0" w:line="255" w:lineRule="auto"/>
        <w:rPr>
          <w:sz w:val="20"/>
          <w:szCs w:val="20"/>
          <w:color w:val="auto"/>
        </w:rPr>
      </w:pPr>
      <w:r>
        <w:rPr>
          <w:rFonts w:ascii="Arial" w:cs="Arial" w:eastAsia="Arial" w:hAnsi="Arial"/>
          <w:sz w:val="18"/>
          <w:szCs w:val="18"/>
          <w:color w:val="auto"/>
        </w:rPr>
        <w:t>Under the 2005 Plan stock options may be granted to employees, consultants and outside 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We have historically issued new shares of Cohu common stock upon share option exercise.</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2022, 2021 and 2020 no stock options were granted and the activity under our share-based compensation plans was as follows: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2022</w:t>
            </w: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71"/>
              <w:spacing w:after="0" w:line="195" w:lineRule="exact"/>
              <w:rPr>
                <w:sz w:val="20"/>
                <w:szCs w:val="20"/>
                <w:color w:val="auto"/>
              </w:rPr>
            </w:pPr>
            <w:r>
              <w:rPr>
                <w:rFonts w:ascii="Arial" w:cs="Arial" w:eastAsia="Arial" w:hAnsi="Arial"/>
                <w:sz w:val="18"/>
                <w:szCs w:val="18"/>
                <w:color w:val="auto"/>
                <w:w w:val="96"/>
              </w:rPr>
              <w:t>Wt. Avg.</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ind w:left="40"/>
              <w:spacing w:after="0" w:line="195" w:lineRule="exact"/>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ind w:left="20"/>
              <w:spacing w:after="0" w:line="195" w:lineRule="exact"/>
              <w:rPr>
                <w:sz w:val="20"/>
                <w:szCs w:val="20"/>
                <w:color w:val="auto"/>
              </w:rPr>
            </w:pPr>
            <w:r>
              <w:rPr>
                <w:rFonts w:ascii="Arial" w:cs="Arial" w:eastAsia="Arial" w:hAnsi="Arial"/>
                <w:sz w:val="18"/>
                <w:szCs w:val="18"/>
                <w:color w:val="auto"/>
              </w:rPr>
              <w:t>Wt. Avg.</w:t>
            </w:r>
          </w:p>
        </w:tc>
        <w:tc>
          <w:tcPr>
            <w:tcW w:w="100" w:type="dxa"/>
            <w:vAlign w:val="bottom"/>
          </w:tcPr>
          <w:p>
            <w:pPr>
              <w:spacing w:after="0"/>
              <w:rPr>
                <w:sz w:val="16"/>
                <w:szCs w:val="16"/>
                <w:color w:val="auto"/>
              </w:rPr>
            </w:pPr>
          </w:p>
        </w:tc>
      </w:tr>
      <w:tr>
        <w:trPr>
          <w:trHeight w:val="228"/>
        </w:trPr>
        <w:tc>
          <w:tcPr>
            <w:tcW w:w="37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Ex. Price</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Ex. Price</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Ex. Price</w:t>
            </w:r>
          </w:p>
        </w:tc>
      </w:tr>
      <w:tr>
        <w:trPr>
          <w:trHeight w:val="208"/>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Outstanding and exercisable, beginning of year</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w:t>
            </w:r>
          </w:p>
        </w:tc>
        <w:tc>
          <w:tcPr>
            <w:tcW w:w="11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w:t>
            </w:r>
          </w:p>
        </w:tc>
        <w:tc>
          <w:tcPr>
            <w:tcW w:w="11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r>
      <w:tr>
        <w:trPr>
          <w:trHeight w:val="214"/>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9.44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10.03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exercisable, end of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320" w:right="80"/>
        <w:spacing w:after="0" w:line="271" w:lineRule="auto"/>
        <w:rPr>
          <w:sz w:val="20"/>
          <w:szCs w:val="20"/>
          <w:color w:val="auto"/>
        </w:rPr>
      </w:pPr>
      <w:r>
        <w:rPr>
          <w:rFonts w:ascii="Arial" w:cs="Arial" w:eastAsia="Arial" w:hAnsi="Arial"/>
          <w:sz w:val="18"/>
          <w:szCs w:val="18"/>
          <w:color w:val="auto"/>
        </w:rPr>
        <w:t>The aggregate intrinsic value of options exercised was $0.2 million in 2022, $8.4 million in 2021, and $1.3 million in 2020. At December 31, 2022, we had no stock options exercisable and outstanding.</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1" w:lineRule="exact"/>
        <w:rPr>
          <w:sz w:val="20"/>
          <w:szCs w:val="20"/>
          <w:color w:val="auto"/>
        </w:rPr>
      </w:pPr>
    </w:p>
    <w:p>
      <w:pPr>
        <w:ind w:left="320"/>
        <w:spacing w:after="0" w:line="293" w:lineRule="auto"/>
        <w:rPr>
          <w:sz w:val="20"/>
          <w:szCs w:val="20"/>
          <w:color w:val="auto"/>
        </w:rPr>
      </w:pPr>
      <w:r>
        <w:rPr>
          <w:rFonts w:ascii="Arial" w:cs="Arial" w:eastAsia="Arial" w:hAnsi="Arial"/>
          <w:sz w:val="16"/>
          <w:szCs w:val="16"/>
          <w:color w:val="auto"/>
        </w:rPr>
        <w:t>Under our equity incentive plans, restricted stock units (“RSUs”) may be granted to employees, consultants and outside directors. Restricted stock units vest over a one-year, two-year or a four-year period from the date of grant. Prior to vesting, restricted stock units do not have dividend equivalent rights, do not have voting rights and the shares underlying the restricted stock units are not considered issued and outstanding. New shares of our common stock will be issued on the date the restricted stock units vest net of the statutory tax withholding requirements to be paid by us on behalf of our employees. As a result, the actual number of shares issued will be fewer than the actual number of RSUs outstanding at December 31, 2022.</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2022</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2021</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31"/>
              <w:spacing w:after="0" w:line="195" w:lineRule="exact"/>
              <w:rPr>
                <w:sz w:val="20"/>
                <w:szCs w:val="20"/>
                <w:color w:val="auto"/>
              </w:rPr>
            </w:pPr>
            <w:r>
              <w:rPr>
                <w:rFonts w:ascii="Arial" w:cs="Arial" w:eastAsia="Arial" w:hAnsi="Arial"/>
                <w:sz w:val="18"/>
                <w:szCs w:val="18"/>
                <w:color w:val="auto"/>
                <w:w w:val="96"/>
              </w:rPr>
              <w:t>Wt. Avg.</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71"/>
              <w:spacing w:after="0" w:line="195" w:lineRule="exact"/>
              <w:rPr>
                <w:sz w:val="20"/>
                <w:szCs w:val="20"/>
                <w:color w:val="auto"/>
              </w:rPr>
            </w:pPr>
            <w:r>
              <w:rPr>
                <w:rFonts w:ascii="Arial" w:cs="Arial" w:eastAsia="Arial" w:hAnsi="Arial"/>
                <w:sz w:val="18"/>
                <w:szCs w:val="18"/>
                <w:color w:val="auto"/>
                <w:w w:val="99"/>
              </w:rPr>
              <w:t>Wt. Avg.</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51"/>
              <w:spacing w:after="0" w:line="195" w:lineRule="exact"/>
              <w:rPr>
                <w:sz w:val="20"/>
                <w:szCs w:val="20"/>
                <w:color w:val="auto"/>
              </w:rPr>
            </w:pPr>
            <w:r>
              <w:rPr>
                <w:rFonts w:ascii="Arial" w:cs="Arial" w:eastAsia="Arial" w:hAnsi="Arial"/>
                <w:sz w:val="18"/>
                <w:szCs w:val="18"/>
                <w:color w:val="auto"/>
                <w:w w:val="99"/>
              </w:rPr>
              <w:t>Wt. Avg.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Units</w:t>
            </w:r>
          </w:p>
        </w:tc>
        <w:tc>
          <w:tcPr>
            <w:tcW w:w="18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 Value</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Units</w:t>
            </w:r>
          </w:p>
        </w:tc>
        <w:tc>
          <w:tcPr>
            <w:tcW w:w="1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Fair Value</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Units</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27.74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41.66</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16.23</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Cancelled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24.33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18.96</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21.16</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Equity-Based Performance Stock Units</w:t>
      </w:r>
    </w:p>
    <w:p>
      <w:pPr>
        <w:spacing w:after="0" w:line="221" w:lineRule="exact"/>
        <w:rPr>
          <w:sz w:val="20"/>
          <w:szCs w:val="20"/>
          <w:color w:val="auto"/>
        </w:rPr>
      </w:pPr>
    </w:p>
    <w:p>
      <w:pPr>
        <w:ind w:left="320" w:right="20"/>
        <w:spacing w:after="0" w:line="252" w:lineRule="auto"/>
        <w:rPr>
          <w:sz w:val="20"/>
          <w:szCs w:val="20"/>
          <w:color w:val="auto"/>
        </w:rPr>
      </w:pPr>
      <w:r>
        <w:rPr>
          <w:rFonts w:ascii="Arial" w:cs="Arial" w:eastAsia="Arial" w:hAnsi="Arial"/>
          <w:sz w:val="18"/>
          <w:szCs w:val="18"/>
          <w:color w:val="auto"/>
        </w:rPr>
        <w:t>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our annualized Total Shareholder Return (“TSR”) for the performance period and the relative performance of our TSR compared with the annualized TSR of certain peer companies for the performance period. PSUs granted vest 100% on the third anniversary of their grant, assuming achievement of the applicable performance criteria.</w:t>
      </w:r>
    </w:p>
    <w:p>
      <w:pPr>
        <w:spacing w:after="0" w:line="194" w:lineRule="exact"/>
        <w:rPr>
          <w:sz w:val="20"/>
          <w:szCs w:val="20"/>
          <w:color w:val="auto"/>
        </w:rPr>
      </w:pPr>
    </w:p>
    <w:p>
      <w:pPr>
        <w:ind w:left="320" w:right="440"/>
        <w:spacing w:after="0" w:line="259" w:lineRule="auto"/>
        <w:rPr>
          <w:sz w:val="20"/>
          <w:szCs w:val="20"/>
          <w:color w:val="auto"/>
        </w:rPr>
      </w:pPr>
      <w:r>
        <w:rPr>
          <w:rFonts w:ascii="Arial" w:cs="Arial" w:eastAsia="Arial" w:hAnsi="Arial"/>
          <w:sz w:val="18"/>
          <w:szCs w:val="18"/>
          <w:color w:val="auto"/>
        </w:rPr>
        <w:t>We estimated the fair value of the PSUs using a Monte Carlo simulation model on the date of grant. Compensation expense is recognized over the requisite service period. New shares of our common stock will be issued on the date the PSUs vest net of the minimum statutory tax withholding requirements to be paid by us on behalf of our employees.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PSU activity under our share-based compensation plans was as follows: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3760" w:type="dxa"/>
            <w:vAlign w:val="bottom"/>
          </w:tcPr>
          <w:p>
            <w:pPr>
              <w:spacing w:after="0"/>
              <w:rPr>
                <w:sz w:val="19"/>
                <w:szCs w:val="19"/>
                <w:color w:val="auto"/>
              </w:rPr>
            </w:pPr>
          </w:p>
        </w:tc>
        <w:tc>
          <w:tcPr>
            <w:tcW w:w="12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2022</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2021</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2020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3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1"/>
              <w:spacing w:after="0" w:line="195" w:lineRule="exact"/>
              <w:rPr>
                <w:sz w:val="20"/>
                <w:szCs w:val="20"/>
                <w:color w:val="auto"/>
              </w:rPr>
            </w:pPr>
            <w:r>
              <w:rPr>
                <w:rFonts w:ascii="Arial" w:cs="Arial" w:eastAsia="Arial" w:hAnsi="Arial"/>
                <w:sz w:val="18"/>
                <w:szCs w:val="18"/>
                <w:color w:val="auto"/>
                <w:w w:val="99"/>
              </w:rPr>
              <w:t>Wt. Avg.</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1"/>
              <w:spacing w:after="0" w:line="195" w:lineRule="exact"/>
              <w:rPr>
                <w:sz w:val="20"/>
                <w:szCs w:val="20"/>
                <w:color w:val="auto"/>
              </w:rPr>
            </w:pPr>
            <w:r>
              <w:rPr>
                <w:rFonts w:ascii="Arial" w:cs="Arial" w:eastAsia="Arial" w:hAnsi="Arial"/>
                <w:sz w:val="18"/>
                <w:szCs w:val="18"/>
                <w:color w:val="auto"/>
                <w:w w:val="94"/>
              </w:rPr>
              <w:t>Wt. Avg.</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11"/>
              <w:spacing w:after="0" w:line="195" w:lineRule="exact"/>
              <w:rPr>
                <w:sz w:val="20"/>
                <w:szCs w:val="20"/>
                <w:color w:val="auto"/>
              </w:rPr>
            </w:pPr>
            <w:r>
              <w:rPr>
                <w:rFonts w:ascii="Arial" w:cs="Arial" w:eastAsia="Arial" w:hAnsi="Arial"/>
                <w:sz w:val="18"/>
                <w:szCs w:val="18"/>
                <w:color w:val="auto"/>
                <w:w w:val="96"/>
              </w:rPr>
              <w:t>Wt. Avg.</w:t>
            </w:r>
          </w:p>
        </w:tc>
        <w:tc>
          <w:tcPr>
            <w:tcW w:w="100" w:type="dxa"/>
            <w:vAlign w:val="bottom"/>
          </w:tcPr>
          <w:p>
            <w:pPr>
              <w:spacing w:after="0"/>
              <w:rPr>
                <w:sz w:val="16"/>
                <w:szCs w:val="16"/>
                <w:color w:val="auto"/>
              </w:rPr>
            </w:pPr>
          </w:p>
        </w:tc>
      </w:tr>
      <w:tr>
        <w:trPr>
          <w:trHeight w:val="228"/>
        </w:trPr>
        <w:tc>
          <w:tcPr>
            <w:tcW w:w="376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Units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Fair Value</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Units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Fair Value</w:t>
            </w:r>
          </w:p>
        </w:tc>
        <w:tc>
          <w:tcPr>
            <w:tcW w:w="220" w:type="dxa"/>
            <w:vAlign w:val="bottom"/>
          </w:tcPr>
          <w:p>
            <w:pPr>
              <w:spacing w:after="0"/>
              <w:rPr>
                <w:sz w:val="19"/>
                <w:szCs w:val="19"/>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Units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19"/>
                <w:szCs w:val="19"/>
                <w:color w:val="auto"/>
              </w:rPr>
            </w:pPr>
          </w:p>
        </w:tc>
      </w:tr>
      <w:tr>
        <w:trPr>
          <w:trHeight w:val="20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w:t>
            </w:r>
          </w:p>
        </w:tc>
      </w:tr>
      <w:tr>
        <w:trPr>
          <w:trHeight w:val="214"/>
        </w:trPr>
        <w:tc>
          <w:tcPr>
            <w:tcW w:w="37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33.22</w:t>
            </w: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51.43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r>
      <w:tr>
        <w:trPr>
          <w:trHeight w:val="214"/>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w:t>
            </w:r>
          </w:p>
        </w:tc>
      </w:tr>
      <w:tr>
        <w:trPr>
          <w:trHeight w:val="214"/>
        </w:trPr>
        <w:tc>
          <w:tcPr>
            <w:tcW w:w="3760" w:type="dxa"/>
            <w:vAlign w:val="bottom"/>
          </w:tcPr>
          <w:p>
            <w:pPr>
              <w:spacing w:after="0"/>
              <w:rPr>
                <w:sz w:val="20"/>
                <w:szCs w:val="20"/>
                <w:color w:val="auto"/>
              </w:rPr>
            </w:pPr>
            <w:r>
              <w:rPr>
                <w:rFonts w:ascii="Arial" w:cs="Arial" w:eastAsia="Arial" w:hAnsi="Arial"/>
                <w:sz w:val="18"/>
                <w:szCs w:val="18"/>
                <w:color w:val="auto"/>
              </w:rPr>
              <w:t>Cancelled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15.94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14.04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r>
      <w:tr>
        <w:trPr>
          <w:trHeight w:val="20"/>
        </w:trPr>
        <w:tc>
          <w:tcPr>
            <w:tcW w:w="3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320"/>
        <w:spacing w:after="0" w:line="266" w:lineRule="auto"/>
        <w:rPr>
          <w:sz w:val="20"/>
          <w:szCs w:val="20"/>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We estimate the fair value of stock options and RSUs on the grant date using the Black-Scholes valuation model. The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estimated fair value of PSUs is determined on the grant date using the Monte Carlo simulation valuation model.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 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Cohu’s Board of Directors authorized suspending our quarterly cash dividend indefinitely, as of May 5, 2020. All awards granted in 2022, 2021 and 2020 exclude the assumption of dividend payments and the estimated fair value awards granted in prior years, when dividends were paid, are unchanged.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Employee Stock Purchase Plan</w:t>
            </w:r>
          </w:p>
        </w:tc>
        <w:tc>
          <w:tcPr>
            <w:tcW w:w="1340" w:type="dxa"/>
            <w:vAlign w:val="bottom"/>
          </w:tcPr>
          <w:p>
            <w:pPr>
              <w:spacing w:after="0"/>
              <w:rPr>
                <w:sz w:val="19"/>
                <w:szCs w:val="19"/>
                <w:color w:val="auto"/>
              </w:rPr>
            </w:pPr>
          </w:p>
        </w:tc>
        <w:tc>
          <w:tcPr>
            <w:tcW w:w="1400" w:type="dxa"/>
            <w:vAlign w:val="bottom"/>
          </w:tcPr>
          <w:p>
            <w:pPr>
              <w:jc w:val="right"/>
              <w:ind w:right="711"/>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400" w:type="dxa"/>
            <w:vAlign w:val="bottom"/>
          </w:tcPr>
          <w:p>
            <w:pPr>
              <w:jc w:val="right"/>
              <w:ind w:right="711"/>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45.6%</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58.3%</w:t>
            </w: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Expected term (years)</w:t>
            </w:r>
          </w:p>
        </w:tc>
        <w:tc>
          <w:tcPr>
            <w:tcW w:w="1340" w:type="dxa"/>
            <w:vAlign w:val="bottom"/>
          </w:tcPr>
          <w:p>
            <w:pPr>
              <w:spacing w:after="0"/>
              <w:rPr>
                <w:sz w:val="18"/>
                <w:szCs w:val="18"/>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8.79</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9.42</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Restricted Stock Units</w:t>
            </w:r>
          </w:p>
        </w:tc>
        <w:tc>
          <w:tcPr>
            <w:tcW w:w="1340" w:type="dxa"/>
            <w:vAlign w:val="bottom"/>
          </w:tcPr>
          <w:p>
            <w:pPr>
              <w:spacing w:after="0"/>
              <w:rPr>
                <w:sz w:val="24"/>
                <w:szCs w:val="24"/>
                <w:color w:val="auto"/>
              </w:rPr>
            </w:pPr>
          </w:p>
        </w:tc>
        <w:tc>
          <w:tcPr>
            <w:tcW w:w="1400" w:type="dxa"/>
            <w:vAlign w:val="bottom"/>
          </w:tcPr>
          <w:p>
            <w:pPr>
              <w:jc w:val="right"/>
              <w:ind w:right="631"/>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4"/>
                <w:szCs w:val="24"/>
                <w:color w:val="auto"/>
              </w:rPr>
            </w:pPr>
          </w:p>
        </w:tc>
        <w:tc>
          <w:tcPr>
            <w:tcW w:w="1400" w:type="dxa"/>
            <w:vAlign w:val="bottom"/>
          </w:tcPr>
          <w:p>
            <w:pPr>
              <w:jc w:val="right"/>
              <w:ind w:right="651"/>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4"/>
                <w:szCs w:val="24"/>
                <w:color w:val="auto"/>
              </w:rPr>
            </w:pPr>
          </w:p>
        </w:tc>
        <w:tc>
          <w:tcPr>
            <w:tcW w:w="1160" w:type="dxa"/>
            <w:vAlign w:val="bottom"/>
          </w:tcPr>
          <w:p>
            <w:pPr>
              <w:jc w:val="right"/>
              <w:ind w:right="451"/>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3,017</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Share-based compensation of continuing operations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13,792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14,234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gridSpan w:val="2"/>
          </w:tcPr>
          <w:p>
            <w:pPr>
              <w:spacing w:after="0"/>
              <w:rPr>
                <w:sz w:val="20"/>
                <w:szCs w:val="20"/>
                <w:color w:val="auto"/>
              </w:rPr>
            </w:pPr>
            <w:r>
              <w:rPr>
                <w:rFonts w:ascii="Arial" w:cs="Arial" w:eastAsia="Arial" w:hAnsi="Arial"/>
                <w:sz w:val="18"/>
                <w:szCs w:val="18"/>
                <w:color w:val="auto"/>
              </w:rPr>
              <w:t>Total share-based compensation, net of tax</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10,914</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13,070</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left="320" w:right="260"/>
        <w:spacing w:after="0" w:line="259" w:lineRule="auto"/>
        <w:rPr>
          <w:sz w:val="20"/>
          <w:szCs w:val="20"/>
          <w:color w:val="auto"/>
        </w:rPr>
      </w:pPr>
      <w:r>
        <w:rPr>
          <w:rFonts w:ascii="Arial" w:cs="Arial" w:eastAsia="Arial" w:hAnsi="Arial"/>
          <w:sz w:val="18"/>
          <w:szCs w:val="18"/>
          <w:color w:val="auto"/>
        </w:rPr>
        <w:t>We account for forfeitures of plan-based awards as they occur. At December 31, 2022, we had approximately $21.6 million of pre-tax unrecognized compensation cost related to unvested restricted stock units and performance stock units which is expected to be recognized over a weighted-average period of approximately 2.3 years.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20" w:right="7980" w:hanging="313"/>
        <w:spacing w:after="0" w:line="640" w:lineRule="auto"/>
        <w:tabs>
          <w:tab w:leader="none" w:pos="32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Derivative Financial Instruments </w:t>
      </w:r>
      <w:r>
        <w:rPr>
          <w:rFonts w:ascii="Arial" w:cs="Arial" w:eastAsia="Arial" w:hAnsi="Arial"/>
          <w:sz w:val="14"/>
          <w:szCs w:val="14"/>
          <w:b w:val="1"/>
          <w:bCs w:val="1"/>
          <w:i w:val="1"/>
          <w:iCs w:val="1"/>
          <w:color w:val="auto"/>
        </w:rPr>
        <w:t>Foreign Exchange Derivative Contracts</w:t>
      </w:r>
    </w:p>
    <w:p>
      <w:pPr>
        <w:spacing w:after="0" w:line="1" w:lineRule="exact"/>
        <w:rPr>
          <w:rFonts w:ascii="Arial" w:cs="Arial" w:eastAsia="Arial" w:hAnsi="Arial"/>
          <w:sz w:val="14"/>
          <w:szCs w:val="14"/>
          <w:b w:val="1"/>
          <w:bCs w:val="1"/>
          <w:color w:val="auto"/>
        </w:rPr>
      </w:pPr>
    </w:p>
    <w:p>
      <w:pPr>
        <w:ind w:left="320" w:right="140"/>
        <w:spacing w:after="0" w:line="253" w:lineRule="auto"/>
        <w:rPr>
          <w:rFonts w:ascii="Arial" w:cs="Arial" w:eastAsia="Arial" w:hAnsi="Arial"/>
          <w:sz w:val="14"/>
          <w:szCs w:val="14"/>
          <w:b w:val="1"/>
          <w:bCs w:val="1"/>
          <w:color w:val="auto"/>
        </w:rPr>
      </w:pPr>
      <w:r>
        <w:rPr>
          <w:rFonts w:ascii="Arial" w:cs="Arial" w:eastAsia="Arial" w:hAnsi="Arial"/>
          <w:sz w:val="18"/>
          <w:szCs w:val="18"/>
          <w:color w:val="auto"/>
        </w:rPr>
        <w:t>We operate and sell our products in various global markets and, as a result, we are exposed to changes in foreign currency exchange rates. In the fourth quarter of 2020, we began utilizing foreign currency forward contracts to offset against future movements in foreign exchange rates that affect certain existing foreign currency denominated assets and liabilities.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spacing w:after="0" w:line="192" w:lineRule="exact"/>
        <w:rPr>
          <w:rFonts w:ascii="Arial" w:cs="Arial" w:eastAsia="Arial" w:hAnsi="Arial"/>
          <w:sz w:val="14"/>
          <w:szCs w:val="14"/>
          <w:b w:val="1"/>
          <w:bCs w:val="1"/>
          <w:color w:val="auto"/>
        </w:rPr>
      </w:pPr>
    </w:p>
    <w:p>
      <w:pPr>
        <w:ind w:left="320"/>
        <w:spacing w:after="0" w:line="253" w:lineRule="auto"/>
        <w:rPr>
          <w:rFonts w:ascii="Arial" w:cs="Arial" w:eastAsia="Arial" w:hAnsi="Arial"/>
          <w:sz w:val="14"/>
          <w:szCs w:val="14"/>
          <w:b w:val="1"/>
          <w:bCs w:val="1"/>
          <w:color w:val="auto"/>
        </w:rPr>
      </w:pPr>
      <w:r>
        <w:rPr>
          <w:rFonts w:ascii="Arial" w:cs="Arial" w:eastAsia="Arial" w:hAnsi="Arial"/>
          <w:sz w:val="18"/>
          <w:szCs w:val="18"/>
          <w:color w:val="auto"/>
        </w:rPr>
        <w:t>We do not use derivative financial instruments for speculative or trading purposes. For accounting purposes, our foreign currency forward contracts are not designated as hedging instruments and, accordingly, we record the fair value of these contracts as of the end of our reporting period in our consolidated balance sheets with changes in fair value recorded within foreign transaction gain (loss) in our consolidated statements of operations for both realized and unrealized gains and losses. The cash flows associated with the foreign currency forward contracts are reported in net cash provided by operating activities in our consolidated statements of cash flows.</w:t>
      </w:r>
    </w:p>
    <w:p>
      <w:pPr>
        <w:spacing w:after="0" w:line="192" w:lineRule="exact"/>
        <w:rPr>
          <w:rFonts w:ascii="Arial" w:cs="Arial" w:eastAsia="Arial" w:hAnsi="Arial"/>
          <w:sz w:val="14"/>
          <w:szCs w:val="14"/>
          <w:b w:val="1"/>
          <w:bCs w:val="1"/>
          <w:color w:val="auto"/>
        </w:rPr>
      </w:pPr>
    </w:p>
    <w:p>
      <w:pPr>
        <w:ind w:left="320"/>
        <w:spacing w:after="0" w:line="301" w:lineRule="auto"/>
        <w:rPr>
          <w:rFonts w:ascii="Arial" w:cs="Arial" w:eastAsia="Arial" w:hAnsi="Arial"/>
          <w:sz w:val="14"/>
          <w:szCs w:val="14"/>
          <w:b w:val="1"/>
          <w:bCs w:val="1"/>
          <w:color w:val="auto"/>
        </w:rPr>
      </w:pPr>
      <w:r>
        <w:rPr>
          <w:rFonts w:ascii="Arial" w:cs="Arial" w:eastAsia="Arial" w:hAnsi="Arial"/>
          <w:sz w:val="17"/>
          <w:szCs w:val="17"/>
          <w:color w:val="auto"/>
        </w:rPr>
        <w:t>The fair value of our foreign exchange derivative contracts was determined based on current foreign currency exchange rates and forward points. All our foreign exchange derivative contracts outstanding at December 31, 2022 will mature during the first quarter of fiscal 2023.</w:t>
      </w:r>
    </w:p>
    <w:p>
      <w:pPr>
        <w:spacing w:after="0" w:line="151" w:lineRule="exact"/>
        <w:rPr>
          <w:rFonts w:ascii="Arial" w:cs="Arial" w:eastAsia="Arial" w:hAnsi="Arial"/>
          <w:sz w:val="14"/>
          <w:szCs w:val="14"/>
          <w:b w:val="1"/>
          <w:bCs w:val="1"/>
          <w:color w:val="auto"/>
        </w:rPr>
      </w:pPr>
    </w:p>
    <w:p>
      <w:pPr>
        <w:ind w:left="320"/>
        <w:spacing w:after="0"/>
        <w:rPr>
          <w:rFonts w:ascii="Arial" w:cs="Arial" w:eastAsia="Arial" w:hAnsi="Arial"/>
          <w:sz w:val="14"/>
          <w:szCs w:val="14"/>
          <w:b w:val="1"/>
          <w:bCs w:val="1"/>
          <w:color w:val="auto"/>
        </w:rPr>
      </w:pPr>
      <w:r>
        <w:rPr>
          <w:rFonts w:ascii="Arial" w:cs="Arial" w:eastAsia="Arial" w:hAnsi="Arial"/>
          <w:sz w:val="17"/>
          <w:szCs w:val="17"/>
          <w:color w:val="auto"/>
        </w:rPr>
        <w:t xml:space="preserve">The following table provides information about our foreign currency forward contracts outstanding as of December 31, 2022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2" w:lineRule="exact"/>
        <w:rPr>
          <w:sz w:val="20"/>
          <w:szCs w:val="20"/>
          <w:color w:val="auto"/>
        </w:rPr>
      </w:pPr>
    </w:p>
    <w:tbl>
      <w:tblPr>
        <w:tblLayout w:type="fixed"/>
        <w:tblInd w:w="48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w w:val="99"/>
              </w:rPr>
              <w:t>Contract 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Contract Amount</w:t>
            </w:r>
          </w:p>
        </w:tc>
      </w:tr>
      <w:tr>
        <w:trPr>
          <w:trHeight w:val="228"/>
        </w:trPr>
        <w:tc>
          <w:tcPr>
            <w:tcW w:w="2660" w:type="dxa"/>
            <w:vAlign w:val="bottom"/>
            <w:gridSpan w:val="2"/>
          </w:tcPr>
          <w:p>
            <w:pPr>
              <w:spacing w:after="0"/>
              <w:rPr>
                <w:sz w:val="20"/>
                <w:szCs w:val="20"/>
                <w:color w:val="auto"/>
              </w:rPr>
            </w:pPr>
            <w:r>
              <w:rPr>
                <w:rFonts w:ascii="Arial" w:cs="Arial" w:eastAsia="Arial" w:hAnsi="Arial"/>
                <w:sz w:val="18"/>
                <w:szCs w:val="18"/>
                <w:color w:val="auto"/>
              </w:rPr>
              <w:t>Currency</w:t>
            </w:r>
          </w:p>
        </w:tc>
        <w:tc>
          <w:tcPr>
            <w:tcW w:w="4740" w:type="dxa"/>
            <w:vAlign w:val="bottom"/>
          </w:tcPr>
          <w:p>
            <w:pPr>
              <w:ind w:left="1780"/>
              <w:spacing w:after="0"/>
              <w:rPr>
                <w:sz w:val="20"/>
                <w:szCs w:val="20"/>
                <w:color w:val="auto"/>
              </w:rPr>
            </w:pPr>
            <w:r>
              <w:rPr>
                <w:rFonts w:ascii="Arial" w:cs="Arial" w:eastAsia="Arial" w:hAnsi="Arial"/>
                <w:sz w:val="18"/>
                <w:szCs w:val="18"/>
                <w:color w:val="auto"/>
              </w:rPr>
              <w:t>Contract Position</w:t>
            </w: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(Local Currency)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(U.S. Dollars)</w:t>
            </w:r>
          </w:p>
        </w:tc>
      </w:tr>
      <w:tr>
        <w:trPr>
          <w:trHeight w:val="208"/>
        </w:trPr>
        <w:tc>
          <w:tcPr>
            <w:tcW w:w="2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Euro</w:t>
            </w:r>
          </w:p>
        </w:tc>
        <w:tc>
          <w:tcPr>
            <w:tcW w:w="4740" w:type="dxa"/>
            <w:vAlign w:val="bottom"/>
            <w:tcBorders>
              <w:top w:val="single" w:sz="8" w:color="auto"/>
            </w:tcBorders>
            <w:shd w:val="clear" w:color="auto" w:fill="CCEEFF"/>
          </w:tcPr>
          <w:p>
            <w:pPr>
              <w:ind w:left="4320"/>
              <w:spacing w:after="0"/>
              <w:rPr>
                <w:sz w:val="20"/>
                <w:szCs w:val="20"/>
                <w:color w:val="auto"/>
              </w:rPr>
            </w:pPr>
            <w:r>
              <w:rPr>
                <w:rFonts w:ascii="Arial" w:cs="Arial" w:eastAsia="Arial" w:hAnsi="Arial"/>
                <w:sz w:val="18"/>
                <w:szCs w:val="18"/>
                <w:color w:val="auto"/>
              </w:rPr>
              <w:t>Buy</w:t>
            </w:r>
          </w:p>
        </w:tc>
        <w:tc>
          <w:tcPr>
            <w:tcW w:w="16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81,677</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87,300</w:t>
            </w:r>
          </w:p>
        </w:tc>
      </w:tr>
      <w:tr>
        <w:trPr>
          <w:trHeight w:val="214"/>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Swiss Franc</w:t>
            </w:r>
          </w:p>
        </w:tc>
        <w:tc>
          <w:tcPr>
            <w:tcW w:w="4740" w:type="dxa"/>
            <w:vAlign w:val="bottom"/>
          </w:tcPr>
          <w:p>
            <w:pPr>
              <w:ind w:left="4320"/>
              <w:spacing w:after="0"/>
              <w:rPr>
                <w:sz w:val="20"/>
                <w:szCs w:val="20"/>
                <w:color w:val="auto"/>
              </w:rPr>
            </w:pPr>
            <w:r>
              <w:rPr>
                <w:rFonts w:ascii="Arial" w:cs="Arial" w:eastAsia="Arial" w:hAnsi="Arial"/>
                <w:sz w:val="18"/>
                <w:szCs w:val="18"/>
                <w:color w:val="auto"/>
              </w:rPr>
              <w:t>Buy</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20,714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22,500</w:t>
            </w: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4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109,800</w:t>
            </w: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320" w:right="280"/>
        <w:spacing w:after="0" w:line="271" w:lineRule="auto"/>
        <w:rPr>
          <w:sz w:val="20"/>
          <w:szCs w:val="20"/>
          <w:color w:val="auto"/>
        </w:rPr>
      </w:pPr>
      <w:r>
        <w:rPr>
          <w:rFonts w:ascii="Arial" w:cs="Arial" w:eastAsia="Arial" w:hAnsi="Arial"/>
          <w:sz w:val="18"/>
          <w:szCs w:val="18"/>
          <w:color w:val="auto"/>
        </w:rPr>
        <w:t>Our foreign currency contracts are classified within Level 2 of the fair value hierarchy as they are valued using pricing models that utilize observable market inputs. The fair value of our foreign currency contracts as of December 31, 2022 was immaterial.</w:t>
      </w:r>
    </w:p>
    <w:p>
      <w:pPr>
        <w:spacing w:after="0" w:line="175" w:lineRule="exact"/>
        <w:rPr>
          <w:sz w:val="20"/>
          <w:szCs w:val="20"/>
          <w:color w:val="auto"/>
        </w:rPr>
      </w:pPr>
    </w:p>
    <w:p>
      <w:pPr>
        <w:ind w:left="320" w:right="120"/>
        <w:spacing w:after="0" w:line="271" w:lineRule="auto"/>
        <w:rPr>
          <w:sz w:val="20"/>
          <w:szCs w:val="20"/>
          <w:color w:val="auto"/>
        </w:rPr>
      </w:pPr>
      <w:r>
        <w:rPr>
          <w:rFonts w:ascii="Arial" w:cs="Arial" w:eastAsia="Arial" w:hAnsi="Arial"/>
          <w:sz w:val="18"/>
          <w:szCs w:val="18"/>
          <w:color w:val="auto"/>
        </w:rPr>
        <w:t xml:space="preserve">The location and amount of gains (losses) related to non-designated derivative instruments in the consolidated statements of operations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760" w:type="dxa"/>
            <w:vAlign w:val="bottom"/>
          </w:tcPr>
          <w:p>
            <w:pPr>
              <w:jc w:val="center"/>
              <w:ind w:left="91"/>
              <w:spacing w:after="0"/>
              <w:rPr>
                <w:sz w:val="20"/>
                <w:szCs w:val="20"/>
                <w:color w:val="auto"/>
              </w:rPr>
            </w:pPr>
            <w:r>
              <w:rPr>
                <w:rFonts w:ascii="Arial" w:cs="Arial" w:eastAsia="Arial" w:hAnsi="Arial"/>
                <w:sz w:val="18"/>
                <w:szCs w:val="18"/>
                <w:color w:val="auto"/>
                <w:w w:val="90"/>
              </w:rPr>
              <w:t>Derivatives Not Designated</w:t>
            </w:r>
          </w:p>
        </w:tc>
        <w:tc>
          <w:tcPr>
            <w:tcW w:w="2680" w:type="dxa"/>
            <w:vAlign w:val="bottom"/>
          </w:tcPr>
          <w:p>
            <w:pPr>
              <w:jc w:val="center"/>
              <w:ind w:left="231"/>
              <w:spacing w:after="0"/>
              <w:rPr>
                <w:sz w:val="20"/>
                <w:szCs w:val="20"/>
                <w:color w:val="auto"/>
              </w:rPr>
            </w:pPr>
            <w:r>
              <w:rPr>
                <w:rFonts w:ascii="Arial" w:cs="Arial" w:eastAsia="Arial" w:hAnsi="Arial"/>
                <w:sz w:val="18"/>
                <w:szCs w:val="18"/>
                <w:color w:val="auto"/>
                <w:w w:val="92"/>
              </w:rPr>
              <w:t>Location of Gain (Loss)</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right="251"/>
              <w:spacing w:after="0"/>
              <w:rPr>
                <w:sz w:val="20"/>
                <w:szCs w:val="20"/>
                <w:color w:val="auto"/>
              </w:rPr>
            </w:pPr>
            <w:r>
              <w:rPr>
                <w:rFonts w:ascii="Arial" w:cs="Arial" w:eastAsia="Arial" w:hAnsi="Arial"/>
                <w:sz w:val="18"/>
                <w:szCs w:val="18"/>
                <w:color w:val="auto"/>
                <w:w w:val="88"/>
              </w:rPr>
              <w:t>Fiscal Year</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89"/>
              </w:rPr>
              <w:t>as Hedging Instruments</w:t>
            </w:r>
          </w:p>
        </w:tc>
        <w:tc>
          <w:tcPr>
            <w:tcW w:w="2680" w:type="dxa"/>
            <w:vAlign w:val="bottom"/>
            <w:tcBorders>
              <w:bottom w:val="single" w:sz="8" w:color="auto"/>
            </w:tcBorders>
          </w:tcPr>
          <w:p>
            <w:pPr>
              <w:jc w:val="center"/>
              <w:ind w:left="211"/>
              <w:spacing w:after="0"/>
              <w:rPr>
                <w:sz w:val="20"/>
                <w:szCs w:val="20"/>
                <w:color w:val="auto"/>
              </w:rPr>
            </w:pPr>
            <w:r>
              <w:rPr>
                <w:rFonts w:ascii="Arial" w:cs="Arial" w:eastAsia="Arial" w:hAnsi="Arial"/>
                <w:sz w:val="18"/>
                <w:szCs w:val="18"/>
                <w:color w:val="auto"/>
                <w:w w:val="90"/>
              </w:rPr>
              <w:t>Recognized on Derivatives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exchange forward contracts</w:t>
            </w: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transaction gain (loss)</w:t>
            </w:r>
          </w:p>
        </w:tc>
        <w:tc>
          <w:tcPr>
            <w:tcW w:w="12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(5,356)</w:t>
            </w:r>
          </w:p>
        </w:tc>
        <w:tc>
          <w:tcPr>
            <w:tcW w:w="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bl>
    <w:p>
      <w:pPr>
        <w:spacing w:after="0" w:line="200" w:lineRule="exact"/>
        <w:rPr>
          <w:sz w:val="20"/>
          <w:szCs w:val="20"/>
          <w:color w:val="auto"/>
        </w:rPr>
      </w:pPr>
    </w:p>
    <w:p>
      <w:pPr>
        <w:spacing w:after="0" w:line="236" w:lineRule="exact"/>
        <w:rPr>
          <w:sz w:val="20"/>
          <w:szCs w:val="20"/>
          <w:color w:val="auto"/>
        </w:rPr>
      </w:pPr>
    </w:p>
    <w:p>
      <w:pPr>
        <w:ind w:left="320" w:hanging="313"/>
        <w:spacing w:after="0"/>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2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Common Stock Issuance</w:t>
      </w:r>
    </w:p>
    <w:p>
      <w:pPr>
        <w:spacing w:after="0" w:line="220" w:lineRule="exact"/>
        <w:rPr>
          <w:rFonts w:ascii="Arial" w:cs="Arial" w:eastAsia="Arial" w:hAnsi="Arial"/>
          <w:sz w:val="18"/>
          <w:szCs w:val="18"/>
          <w:b w:val="1"/>
          <w:bCs w:val="1"/>
          <w:color w:val="auto"/>
        </w:rPr>
      </w:pPr>
    </w:p>
    <w:p>
      <w:pPr>
        <w:ind w:left="32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March 8, 2021, we closed an underwritten follow-on public offering of 4,950,000 shares of our common stock at $41.00 per share. As part of the transaction, the underwriters were also granted a 30-day option to purchase up to an aggregate of 742,500 additional shares of common stock to cover over-allotments which was exercised in full on March 11, 2021. The offering, and the follow-on option to sell additional shares, resulted in net proceeds, after deducting underwriting discounts and commissions and offering expenses, of approximately $223.1 million. All of the shares were sold pursuant to an effective shelf registration statement previously filed with the SEC.</w:t>
      </w:r>
    </w:p>
    <w:p>
      <w:pPr>
        <w:spacing w:after="0" w:line="176"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Share Repurchase Program</w:t>
      </w:r>
    </w:p>
    <w:p>
      <w:pPr>
        <w:spacing w:after="0" w:line="220" w:lineRule="exact"/>
        <w:rPr>
          <w:rFonts w:ascii="Arial" w:cs="Arial" w:eastAsia="Arial" w:hAnsi="Arial"/>
          <w:sz w:val="18"/>
          <w:szCs w:val="18"/>
          <w:b w:val="1"/>
          <w:bCs w:val="1"/>
          <w:color w:val="auto"/>
        </w:rPr>
      </w:pPr>
    </w:p>
    <w:p>
      <w:pPr>
        <w:ind w:left="320" w:right="4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On October 28, 2021, we announced that our Board of Directors authorized a $70 million share repurchase program. On October 25, 2022, our Board of Directors authorized an additional $70 million under the share repurchase program. This share repurchase program was effective as of November 2, 2021 and has no expiration date, and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For the year ended December 31, 2022, we repurchased 1,767,070 shares of our common stock for $50.7 million to be held as treasury stock. For the year ended December 25, 2021, we repurchased 206,572 shares of our common stock for $7.3 million. As of December 31, 2022, we may purchase up to $82.0 million of shares of our common stock under our share repurchase program.</w:t>
      </w:r>
    </w:p>
    <w:p>
      <w:pPr>
        <w:sectPr>
          <w:pgSz w:w="11900" w:h="16838" w:orient="portrait"/>
          <w:cols w:equalWidth="0" w:num="1">
            <w:col w:w="11240"/>
          </w:cols>
          <w:pgMar w:left="320" w:top="125"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21" w:lineRule="exact"/>
        <w:rPr>
          <w:sz w:val="20"/>
          <w:szCs w:val="20"/>
          <w:color w:val="auto"/>
        </w:rPr>
      </w:pPr>
    </w:p>
    <w:p>
      <w:pPr>
        <w:ind w:left="320" w:right="300"/>
        <w:spacing w:after="0" w:line="255" w:lineRule="auto"/>
        <w:rPr>
          <w:sz w:val="20"/>
          <w:szCs w:val="20"/>
          <w:color w:val="auto"/>
        </w:rPr>
      </w:pPr>
      <w:r>
        <w:rPr>
          <w:rFonts w:ascii="Arial" w:cs="Arial" w:eastAsia="Arial" w:hAnsi="Arial"/>
          <w:sz w:val="18"/>
          <w:szCs w:val="18"/>
          <w:color w:val="auto"/>
        </w:rPr>
        <w:t>On May 4, 2022, our stockholders approved an amendment to Cohu’s Amended and Restated Certificate of Incorporation to increase the number of authorized shares of common stock from 60,000,000 to 90,000,000 shares. Accordingly, on May 5, 2022, we filed with the Secretary of State of the State of Delaware an Amended and Restated Certificate of Incorporation implementing the approved changes (the “Restated Certificate”), and the Restated Certificate was effective as of that date.</w:t>
      </w:r>
    </w:p>
    <w:p>
      <w:pPr>
        <w:spacing w:after="0" w:line="200" w:lineRule="exact"/>
        <w:rPr>
          <w:sz w:val="20"/>
          <w:szCs w:val="20"/>
          <w:color w:val="auto"/>
        </w:rPr>
      </w:pPr>
    </w:p>
    <w:p>
      <w:pPr>
        <w:spacing w:after="0" w:line="227" w:lineRule="exact"/>
        <w:rPr>
          <w:sz w:val="20"/>
          <w:szCs w:val="20"/>
          <w:color w:val="auto"/>
        </w:rPr>
      </w:pPr>
    </w:p>
    <w:p>
      <w:pPr>
        <w:ind w:left="320" w:hanging="313"/>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for continuing operations are as follows:</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8"/>
                <w:szCs w:val="18"/>
                <w:color w:val="auto"/>
              </w:rPr>
              <w:t>Current:</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2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3440" w:type="dxa"/>
            <w:vAlign w:val="bottom"/>
          </w:tcPr>
          <w:p>
            <w:pPr>
              <w:ind w:left="160"/>
              <w:spacing w:after="0"/>
              <w:rPr>
                <w:sz w:val="20"/>
                <w:szCs w:val="20"/>
                <w:color w:val="auto"/>
              </w:rPr>
            </w:pPr>
            <w:r>
              <w:rPr>
                <w:rFonts w:ascii="Arial" w:cs="Arial" w:eastAsia="Arial" w:hAnsi="Arial"/>
                <w:sz w:val="18"/>
                <w:szCs w:val="18"/>
                <w:color w:val="auto"/>
              </w:rPr>
              <w:t>U.S. State</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456</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4"/>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31,307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w:t>
            </w:r>
          </w:p>
        </w:tc>
      </w:tr>
      <w:tr>
        <w:trPr>
          <w:trHeight w:val="20"/>
        </w:trPr>
        <w:tc>
          <w:tcPr>
            <w:tcW w:w="34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3440" w:type="dxa"/>
            <w:vAlign w:val="bottom"/>
          </w:tcPr>
          <w:p>
            <w:pPr>
              <w:ind w:left="320"/>
              <w:spacing w:after="0"/>
              <w:rPr>
                <w:sz w:val="20"/>
                <w:szCs w:val="20"/>
                <w:color w:val="auto"/>
              </w:rPr>
            </w:pPr>
            <w:r>
              <w:rPr>
                <w:rFonts w:ascii="Arial" w:cs="Arial" w:eastAsia="Arial" w:hAnsi="Arial"/>
                <w:sz w:val="18"/>
                <w:szCs w:val="18"/>
                <w:color w:val="auto"/>
              </w:rPr>
              <w:t>Total current</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33,372</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24,066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5,971</w:t>
            </w:r>
          </w:p>
        </w:tc>
      </w:tr>
      <w:tr>
        <w:trPr>
          <w:trHeight w:val="214"/>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44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4"/>
        </w:trPr>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(5,313)</w:t>
            </w:r>
          </w:p>
        </w:tc>
      </w:tr>
      <w:tr>
        <w:trPr>
          <w:trHeight w:val="20"/>
        </w:trPr>
        <w:tc>
          <w:tcPr>
            <w:tcW w:w="34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3440" w:type="dxa"/>
            <w:vAlign w:val="bottom"/>
          </w:tcPr>
          <w:p>
            <w:pPr>
              <w:ind w:left="320"/>
              <w:spacing w:after="0"/>
              <w:rPr>
                <w:sz w:val="20"/>
                <w:szCs w:val="20"/>
                <w:color w:val="auto"/>
              </w:rPr>
            </w:pPr>
            <w:r>
              <w:rPr>
                <w:rFonts w:ascii="Arial" w:cs="Arial" w:eastAsia="Arial" w:hAnsi="Arial"/>
                <w:sz w:val="18"/>
                <w:szCs w:val="18"/>
                <w:color w:val="auto"/>
              </w:rPr>
              <w:t>Total deferred</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(3,504)</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(5,305)</w:t>
            </w:r>
          </w:p>
        </w:tc>
      </w:tr>
      <w:tr>
        <w:trPr>
          <w:trHeight w:val="20"/>
        </w:trPr>
        <w:tc>
          <w:tcPr>
            <w:tcW w:w="3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44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29,868</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r>
      <w:tr>
        <w:trPr>
          <w:trHeight w:val="20"/>
        </w:trPr>
        <w:tc>
          <w:tcPr>
            <w:tcW w:w="34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(loss) before income taxes from continuing operations consisted of the following:</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117,535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161,756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126,715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192,344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Deferred tax effects</w:t>
      </w:r>
    </w:p>
    <w:p>
      <w:pPr>
        <w:spacing w:after="0" w:line="221" w:lineRule="exact"/>
        <w:rPr>
          <w:sz w:val="20"/>
          <w:szCs w:val="20"/>
          <w:color w:val="auto"/>
        </w:rPr>
      </w:pPr>
    </w:p>
    <w:p>
      <w:pPr>
        <w:jc w:val="both"/>
        <w:ind w:left="320"/>
        <w:spacing w:after="0" w:line="271" w:lineRule="auto"/>
        <w:rPr>
          <w:sz w:val="20"/>
          <w:szCs w:val="20"/>
          <w:color w:val="auto"/>
        </w:rPr>
      </w:pPr>
      <w:r>
        <w:rPr>
          <w:rFonts w:ascii="Arial" w:cs="Arial" w:eastAsia="Arial" w:hAnsi="Arial"/>
          <w:sz w:val="18"/>
          <w:szCs w:val="18"/>
          <w:color w:val="auto"/>
        </w:rPr>
        <w:t>Except for working capital requirements in certain foreign jurisdictions, we provide for all taxes, including withholding and other residual taxes, related to unremitted earnings of our foreign subsidiaries.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right="140"/>
        <w:spacing w:after="0" w:line="271"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73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Inventory, receivable and warranty reserves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13,599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12,166</w:t>
            </w: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39,545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44,806</w:t>
            </w:r>
          </w:p>
        </w:tc>
      </w:tr>
      <w:tr>
        <w:trPr>
          <w:trHeight w:val="214"/>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29,646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31,264</w:t>
            </w: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R&amp;D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19,819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8,728</w:t>
            </w:r>
          </w:p>
        </w:tc>
      </w:tr>
      <w:tr>
        <w:trPr>
          <w:trHeight w:val="214"/>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Accrued employee benefits</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4,416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5,695</w:t>
            </w: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w:t>
            </w:r>
          </w:p>
        </w:tc>
      </w:tr>
      <w:tr>
        <w:trPr>
          <w:trHeight w:val="214"/>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3,965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r>
      <w:tr>
        <w:trPr>
          <w:trHeight w:val="214"/>
        </w:trPr>
        <w:tc>
          <w:tcPr>
            <w:tcW w:w="20" w:type="dxa"/>
            <w:vAlign w:val="bottom"/>
          </w:tcPr>
          <w:p>
            <w:pPr>
              <w:spacing w:after="0"/>
              <w:rPr>
                <w:sz w:val="18"/>
                <w:szCs w:val="18"/>
                <w:color w:val="auto"/>
              </w:rPr>
            </w:pPr>
          </w:p>
        </w:tc>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7280" w:type="dxa"/>
            <w:vAlign w:val="bottom"/>
          </w:tcPr>
          <w:p>
            <w:pPr>
              <w:ind w:left="300"/>
              <w:spacing w:after="0"/>
              <w:rPr>
                <w:sz w:val="20"/>
                <w:szCs w:val="20"/>
                <w:color w:val="auto"/>
              </w:rPr>
            </w:pPr>
            <w:r>
              <w:rPr>
                <w:rFonts w:ascii="Arial" w:cs="Arial" w:eastAsia="Arial" w:hAnsi="Arial"/>
                <w:sz w:val="18"/>
                <w:szCs w:val="18"/>
                <w:color w:val="auto"/>
              </w:rPr>
              <w:t>Gross deferred tax assets</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114,452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112,055</w:t>
            </w: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valuation allowance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(89,234)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(76,250)</w:t>
            </w: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25,218</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35,805</w:t>
            </w:r>
          </w:p>
        </w:tc>
        <w:tc>
          <w:tcPr>
            <w:tcW w:w="100" w:type="dxa"/>
            <w:vAlign w:val="bottom"/>
            <w:tcBorders>
              <w:top w:val="single" w:sz="8" w:color="CCEEFF"/>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Intangible assets and other acquisition basis differences</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38,921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48,657</w:t>
            </w: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4,066</w:t>
            </w:r>
          </w:p>
        </w:tc>
      </w:tr>
      <w:tr>
        <w:trPr>
          <w:trHeight w:val="214"/>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Unremitted earnings of foreign subsidiaries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7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7280" w:type="dxa"/>
            <w:vAlign w:val="bottom"/>
          </w:tcPr>
          <w:p>
            <w:pPr>
              <w:ind w:left="300"/>
              <w:spacing w:after="0"/>
              <w:rPr>
                <w:sz w:val="20"/>
                <w:szCs w:val="20"/>
                <w:color w:val="auto"/>
              </w:rPr>
            </w:pPr>
            <w:r>
              <w:rPr>
                <w:rFonts w:ascii="Arial" w:cs="Arial" w:eastAsia="Arial" w:hAnsi="Arial"/>
                <w:sz w:val="18"/>
                <w:szCs w:val="18"/>
                <w:color w:val="auto"/>
              </w:rPr>
              <w:t>Net deferred tax liabilities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(17,429)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(21,125)</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components of total net deferred tax assets (liabilities), net of valuation allowances, as shown in our consolidated balance sheets are as follows:</w:t>
      </w:r>
    </w:p>
    <w:p>
      <w:pPr>
        <w:spacing w:after="0" w:line="257"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 (long-term)</w:t>
            </w:r>
          </w:p>
        </w:tc>
        <w:tc>
          <w:tcPr>
            <w:tcW w:w="2540" w:type="dxa"/>
            <w:vAlign w:val="bottom"/>
            <w:tcBorders>
              <w:top w:val="single" w:sz="8" w:color="auto"/>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3,930</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deferred income tax liabilities</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(21,359)</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(25,887)</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tax liabilities</w:t>
            </w:r>
          </w:p>
        </w:tc>
        <w:tc>
          <w:tcPr>
            <w:tcW w:w="2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(17,429)</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(21,125)</w:t>
            </w: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320"/>
        <w:spacing w:after="0" w:line="272" w:lineRule="auto"/>
        <w:rPr>
          <w:sz w:val="20"/>
          <w:szCs w:val="20"/>
          <w:color w:val="auto"/>
        </w:rPr>
      </w:pPr>
      <w:r>
        <w:rPr>
          <w:rFonts w:ascii="Arial" w:cs="Arial" w:eastAsia="Arial" w:hAnsi="Arial"/>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76" w:lineRule="exact"/>
        <w:rPr>
          <w:sz w:val="20"/>
          <w:szCs w:val="20"/>
          <w:color w:val="auto"/>
        </w:rPr>
      </w:pPr>
    </w:p>
    <w:p>
      <w:pPr>
        <w:ind w:left="320" w:right="20"/>
        <w:spacing w:after="0" w:line="275" w:lineRule="auto"/>
        <w:rPr>
          <w:sz w:val="20"/>
          <w:szCs w:val="20"/>
          <w:color w:val="auto"/>
        </w:rPr>
      </w:pPr>
      <w:r>
        <w:rPr>
          <w:rFonts w:ascii="Arial" w:cs="Arial" w:eastAsia="Arial" w:hAnsi="Arial"/>
          <w:sz w:val="17"/>
          <w:szCs w:val="17"/>
          <w:color w:val="auto"/>
        </w:rPr>
        <w:t>In assessing whether a valuation allowance is required, significant weight is to be given to evidence that can be objectively verified. We have evaluated our DTAs each reporting period, including an assessment of taxable income in prior carryback years, future reversals of existing taxable temporary differences, future taxable income exclusive of reversing temporary differences and carryforwards, and prudent and feasible tax planning strategies that we would be willing to undertake to prevent a deferred tax asset from otherwise expiring.</w:t>
      </w:r>
    </w:p>
    <w:p>
      <w:pPr>
        <w:spacing w:after="0" w:line="174" w:lineRule="exact"/>
        <w:rPr>
          <w:sz w:val="20"/>
          <w:szCs w:val="20"/>
          <w:color w:val="auto"/>
        </w:rPr>
      </w:pPr>
    </w:p>
    <w:p>
      <w:pPr>
        <w:ind w:left="320" w:right="100"/>
        <w:spacing w:after="0" w:line="271" w:lineRule="auto"/>
        <w:rPr>
          <w:sz w:val="20"/>
          <w:szCs w:val="20"/>
          <w:color w:val="auto"/>
        </w:rPr>
      </w:pPr>
      <w:r>
        <w:rPr>
          <w:rFonts w:ascii="Arial" w:cs="Arial" w:eastAsia="Arial" w:hAnsi="Arial"/>
          <w:sz w:val="18"/>
          <w:szCs w:val="18"/>
          <w:color w:val="auto"/>
        </w:rPr>
        <w:t>The assessment regarding whether a valuation allowance is required or whether a change in judgement regarding the valuation allowance has occurred also considers all available positive and negative evidence, including but not limited to:</w:t>
      </w:r>
    </w:p>
    <w:p>
      <w:pPr>
        <w:spacing w:after="0" w:line="175" w:lineRule="exact"/>
        <w:rPr>
          <w:sz w:val="20"/>
          <w:szCs w:val="20"/>
          <w:color w:val="auto"/>
        </w:rPr>
      </w:pPr>
    </w:p>
    <w:p>
      <w:pPr>
        <w:ind w:left="480" w:hanging="15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Nature, frequency, and severity of cumulative losses in recent years</w:t>
      </w:r>
    </w:p>
    <w:p>
      <w:pPr>
        <w:spacing w:after="0" w:line="220" w:lineRule="exact"/>
        <w:rPr>
          <w:rFonts w:ascii="Arial" w:cs="Arial" w:eastAsia="Arial" w:hAnsi="Arial"/>
          <w:sz w:val="18"/>
          <w:szCs w:val="18"/>
          <w:color w:val="auto"/>
        </w:rPr>
      </w:pPr>
    </w:p>
    <w:p>
      <w:pPr>
        <w:ind w:left="480" w:hanging="15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Duration of statutory carryforward and carryback periods</w:t>
      </w:r>
    </w:p>
    <w:p>
      <w:pPr>
        <w:spacing w:after="0" w:line="247" w:lineRule="exact"/>
        <w:rPr>
          <w:rFonts w:ascii="Arial" w:cs="Arial" w:eastAsia="Arial" w:hAnsi="Arial"/>
          <w:sz w:val="18"/>
          <w:szCs w:val="18"/>
          <w:color w:val="auto"/>
        </w:rPr>
      </w:pPr>
    </w:p>
    <w:p>
      <w:pPr>
        <w:ind w:left="480" w:hanging="15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Statutory limitations against utilization of tax attribute carryforwards against taxable income</w:t>
      </w:r>
    </w:p>
    <w:p>
      <w:pPr>
        <w:spacing w:after="0" w:line="247" w:lineRule="exact"/>
        <w:rPr>
          <w:rFonts w:ascii="Arial" w:cs="Arial" w:eastAsia="Arial" w:hAnsi="Arial"/>
          <w:sz w:val="18"/>
          <w:szCs w:val="18"/>
          <w:color w:val="auto"/>
        </w:rPr>
      </w:pPr>
    </w:p>
    <w:p>
      <w:pPr>
        <w:ind w:left="480" w:hanging="15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w:t>
      </w:r>
    </w:p>
    <w:p>
      <w:pPr>
        <w:spacing w:after="0" w:line="247" w:lineRule="exact"/>
        <w:rPr>
          <w:rFonts w:ascii="Arial" w:cs="Arial" w:eastAsia="Arial" w:hAnsi="Arial"/>
          <w:sz w:val="18"/>
          <w:szCs w:val="18"/>
          <w:color w:val="auto"/>
        </w:rPr>
      </w:pPr>
    </w:p>
    <w:p>
      <w:pPr>
        <w:ind w:left="480" w:hanging="15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Near- and medium-term financial outlook</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right="20"/>
        <w:spacing w:after="0" w:line="255" w:lineRule="auto"/>
        <w:rPr>
          <w:sz w:val="20"/>
          <w:szCs w:val="20"/>
          <w:color w:val="auto"/>
        </w:rPr>
      </w:pPr>
      <w:r>
        <w:rPr>
          <w:rFonts w:ascii="Arial" w:cs="Arial" w:eastAsia="Arial" w:hAnsi="Arial"/>
          <w:sz w:val="18"/>
          <w:szCs w:val="18"/>
          <w:color w:val="auto"/>
        </w:rPr>
        <w:t>The weight given to the positive and negative evidence is commensurate with the extent to which the evidence may be objectively verified. Accordingly, it is generally difficult to conclude a valuation allowance is not required when there is significant objective and verifiable negative evidence, such as cumulative losses in recent years. We use the actual results for the last two years and current year results as the primary measure of cumulative losses in recent years.</w:t>
      </w:r>
    </w:p>
    <w:p>
      <w:pPr>
        <w:spacing w:after="0" w:line="190" w:lineRule="exact"/>
        <w:rPr>
          <w:sz w:val="20"/>
          <w:szCs w:val="20"/>
          <w:color w:val="auto"/>
        </w:rPr>
      </w:pPr>
    </w:p>
    <w:p>
      <w:pPr>
        <w:jc w:val="both"/>
        <w:ind w:left="320" w:right="160"/>
        <w:spacing w:after="0" w:line="307" w:lineRule="auto"/>
        <w:rPr>
          <w:sz w:val="20"/>
          <w:szCs w:val="20"/>
          <w:color w:val="auto"/>
        </w:rPr>
      </w:pPr>
      <w:r>
        <w:rPr>
          <w:rFonts w:ascii="Arial" w:cs="Arial" w:eastAsia="Arial" w:hAnsi="Arial"/>
          <w:sz w:val="16"/>
          <w:szCs w:val="16"/>
          <w:color w:val="auto"/>
        </w:rPr>
        <w:t>The evaluation of deferred tax assets requires judgment in assessing the likely future tax consequences of events recognized in the financial statements or tax returns and future profitability. The recognition of deferred tax assets represents our best estimate of those future events. Changes in the current estimates, due to unanticipated events or otherwise, could have a material effect on our results of operations and financial condition.</w:t>
      </w:r>
    </w:p>
    <w:p>
      <w:pPr>
        <w:spacing w:after="0" w:line="150" w:lineRule="exact"/>
        <w:rPr>
          <w:sz w:val="20"/>
          <w:szCs w:val="20"/>
          <w:color w:val="auto"/>
        </w:rPr>
      </w:pPr>
    </w:p>
    <w:p>
      <w:pPr>
        <w:ind w:left="320" w:right="40"/>
        <w:spacing w:after="0" w:line="290" w:lineRule="auto"/>
        <w:rPr>
          <w:sz w:val="20"/>
          <w:szCs w:val="20"/>
          <w:color w:val="auto"/>
        </w:rPr>
      </w:pPr>
      <w:r>
        <w:rPr>
          <w:rFonts w:ascii="Arial" w:cs="Arial" w:eastAsia="Arial" w:hAnsi="Arial"/>
          <w:sz w:val="16"/>
          <w:szCs w:val="16"/>
          <w:color w:val="auto"/>
        </w:rPr>
        <w:t>In certain tax jurisdictions, our analysis indicates that it has cumulative losses in recent years. This is considered significant negative evidence, which is objective and veritable and, therefore, difficult to overcome. However, the cumulative loss position is not solely determinative and, accordingly, we consider all other available positive and negative evidence in this analysis. Based on the evidence available including a lack of sustainable earnings and history of expiring unused NOLs, and tax credits, we continue to maintain the judgement that a previously recorded valuation allowance against substantially all net deferred tax assets in the United States is still required. If a change in judgement regarding this valuation allowance were to occur in the future, we will record a potentially material deferred tax benefit, which could result in a favorable impact on the effective tax rate in that period.</w:t>
      </w:r>
    </w:p>
    <w:p>
      <w:pPr>
        <w:spacing w:after="0" w:line="164" w:lineRule="exact"/>
        <w:rPr>
          <w:sz w:val="20"/>
          <w:szCs w:val="20"/>
          <w:color w:val="auto"/>
        </w:rPr>
      </w:pPr>
    </w:p>
    <w:p>
      <w:pPr>
        <w:ind w:left="320" w:right="40"/>
        <w:spacing w:after="0" w:line="255" w:lineRule="auto"/>
        <w:rPr>
          <w:sz w:val="20"/>
          <w:szCs w:val="20"/>
          <w:color w:val="auto"/>
        </w:rPr>
      </w:pPr>
      <w:r>
        <w:rPr>
          <w:rFonts w:ascii="Arial" w:cs="Arial" w:eastAsia="Arial" w:hAnsi="Arial"/>
          <w:sz w:val="18"/>
          <w:szCs w:val="18"/>
          <w:color w:val="auto"/>
        </w:rPr>
        <w:t>Our valuation allowance on our DTAs at December 31, 2022, and December 25, 2021, was approximately $89.2 million and $76.3 million, respectively. The remaining gross DTAs for which a valuation allowance was not recorded are realizable primarily through future reversals of existing taxable temporary differences and to a lesser extent future taxable income in certain jurisdictions exclusive of reversing temporary differences and carryforwards.</w:t>
      </w:r>
    </w:p>
    <w:p>
      <w:pPr>
        <w:spacing w:after="0" w:line="190" w:lineRule="exact"/>
        <w:rPr>
          <w:sz w:val="20"/>
          <w:szCs w:val="20"/>
          <w:color w:val="auto"/>
        </w:rPr>
      </w:pPr>
    </w:p>
    <w:p>
      <w:pPr>
        <w:ind w:left="320"/>
        <w:spacing w:after="0" w:line="271" w:lineRule="auto"/>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for continuing operations is as follows:</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U.S. 21% statutory rate</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26,610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40,392</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2,246</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Settlements, adjustments and releases from statute expirations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Federal R&amp;D credits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(943)</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Excess executive compensation</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1,608</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Exemption of PTG gain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(12,378)</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 net of foreign tax credits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GILTI, net of foreign tax credits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3,458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9,343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552</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29,868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25,019</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right="200"/>
        <w:spacing w:after="0" w:line="259" w:lineRule="auto"/>
        <w:rPr>
          <w:sz w:val="20"/>
          <w:szCs w:val="20"/>
          <w:color w:val="auto"/>
        </w:rPr>
      </w:pPr>
      <w:r>
        <w:rPr>
          <w:rFonts w:ascii="Arial" w:cs="Arial" w:eastAsia="Arial" w:hAnsi="Arial"/>
          <w:sz w:val="18"/>
          <w:szCs w:val="18"/>
          <w:color w:val="auto"/>
        </w:rPr>
        <w:t>An accounting policy may be selected to either (i) treat taxes due on future U.S. inclusions in taxable income related to global intangible low-taxed income (“GILTI”) as a current-period expense when incurred or (ii) factor such amounts into a company’s measurement of its deferred taxes. We have elected to account for GILTI as a period cost.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December 31, 2022, we had federal, state and foreign net operating loss carryforwards of approximately $140.0 million, $113.9 million and</w:t>
      </w:r>
    </w:p>
    <w:p>
      <w:pPr>
        <w:spacing w:after="0" w:line="31" w:lineRule="exact"/>
        <w:rPr>
          <w:sz w:val="20"/>
          <w:szCs w:val="20"/>
          <w:color w:val="auto"/>
        </w:rPr>
      </w:pPr>
    </w:p>
    <w:p>
      <w:pPr>
        <w:ind w:left="320" w:right="20"/>
        <w:spacing w:after="0" w:line="267" w:lineRule="auto"/>
        <w:rPr>
          <w:sz w:val="20"/>
          <w:szCs w:val="20"/>
          <w:color w:val="auto"/>
        </w:rPr>
      </w:pPr>
      <w:r>
        <w:rPr>
          <w:rFonts w:ascii="Arial" w:cs="Arial" w:eastAsia="Arial" w:hAnsi="Arial"/>
          <w:sz w:val="17"/>
          <w:szCs w:val="17"/>
          <w:color w:val="auto"/>
        </w:rPr>
        <w:t>$9.0 million, respectively, that expire in various tax years beginning in 2023 through 2041 or have no expiration date. We also have federal and state tax credit carryforwards at December 31, 2022 of approximately $3.7 million and $32.9 million, respectively, certain of which expire in various tax years beginning in 2023 through 2041 or have no expiration date. The federal and state loss and credit carryforwards are subject to annual limitations under Sections 382 and 383 of the Internal Revenue Code and applicable state tax laws. We analyzed and determined that there were no ownership changes during the three-year period ending December 31, 2022. We will continue to assess the realizability of these carryforwards in subsequent periods. Future changes in the ownership of Cohu could further limit the utilization of these carryforwards.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jc w:val="both"/>
        <w:ind w:left="320" w:right="100"/>
        <w:spacing w:after="0" w:line="259" w:lineRule="auto"/>
        <w:rPr>
          <w:sz w:val="20"/>
          <w:szCs w:val="20"/>
          <w:color w:val="auto"/>
        </w:rPr>
      </w:pPr>
      <w:r>
        <w:rPr>
          <w:rFonts w:ascii="Arial" w:cs="Arial" w:eastAsia="Arial" w:hAnsi="Arial"/>
          <w:sz w:val="18"/>
          <w:szCs w:val="18"/>
          <w:color w:val="auto"/>
        </w:rPr>
        <w:t>We have certain tax holidays with respect to our operations in Malaysia and the Philippines. These holidays require compliance with certain conditions and expire at various dates through 2027. The impact of these holidays was an increase in net income of approximately $4.5 million or $0.09 per share in both 2022 and 2021, and $3.6 million, or $0.09 per share, in fiscal 2020.</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our gross unrecognized tax benefits, excluding accrued interest and penalties, is as follows:</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33,391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33,696</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Additions for tax positions of current year</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686</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Reductions due to lapse of the statute of limitations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settlements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Foreign exchange rate impact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33,368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33,391</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If the unrecognized tax benefits at December 31, 2022 are ultimately recognized, excluding the impact of U.S. tax benefits netted against deferred taxes that are subject to a valuation allowance, approximately $5.8 million ($5.3 million at December 25, 2021 and $5.9 million at December 26, 2020) would result in a reduction in our income tax expense and effective tax rate.</w:t>
      </w:r>
    </w:p>
    <w:p>
      <w:pPr>
        <w:spacing w:after="0" w:line="186" w:lineRule="exact"/>
        <w:rPr>
          <w:sz w:val="20"/>
          <w:szCs w:val="20"/>
          <w:color w:val="auto"/>
        </w:rPr>
      </w:pPr>
    </w:p>
    <w:p>
      <w:pPr>
        <w:jc w:val="both"/>
        <w:ind w:left="320" w:right="140"/>
        <w:spacing w:after="0" w:line="259" w:lineRule="auto"/>
        <w:rPr>
          <w:sz w:val="20"/>
          <w:szCs w:val="20"/>
          <w:color w:val="auto"/>
        </w:rPr>
      </w:pPr>
      <w:r>
        <w:rPr>
          <w:rFonts w:ascii="Arial" w:cs="Arial" w:eastAsia="Arial" w:hAnsi="Arial"/>
          <w:sz w:val="18"/>
          <w:szCs w:val="18"/>
          <w:color w:val="auto"/>
        </w:rPr>
        <w:t>We recognize interest and penalties related to unrecognized tax benefits in income tax expense. Cohu had approximately $0.6 million and $0.8 million accrued for the payment of interest and penalties at December 31, 2022, and December 25, 2021, respectively. Interest expense, net of accrued interest reversed, was $(0.1) million in 2022, $(0.2) million in 2021 and $(0.3) million in 2020.</w:t>
      </w:r>
    </w:p>
    <w:p>
      <w:pPr>
        <w:spacing w:after="0" w:line="186" w:lineRule="exact"/>
        <w:rPr>
          <w:sz w:val="20"/>
          <w:szCs w:val="20"/>
          <w:color w:val="auto"/>
        </w:rPr>
      </w:pPr>
    </w:p>
    <w:p>
      <w:pPr>
        <w:ind w:left="320" w:right="40"/>
        <w:spacing w:after="0" w:line="297" w:lineRule="auto"/>
        <w:rPr>
          <w:sz w:val="20"/>
          <w:szCs w:val="20"/>
          <w:color w:val="auto"/>
        </w:rPr>
      </w:pPr>
      <w:r>
        <w:rPr>
          <w:rFonts w:ascii="Arial" w:cs="Arial" w:eastAsia="Arial" w:hAnsi="Arial"/>
          <w:sz w:val="16"/>
          <w:szCs w:val="16"/>
          <w:color w:val="auto"/>
        </w:rPr>
        <w:t>Our U.S. federal and state income tax returns for years after 2018 and 2017,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w:t>
      </w:r>
    </w:p>
    <w:p>
      <w:pPr>
        <w:spacing w:after="0" w:line="159" w:lineRule="exact"/>
        <w:rPr>
          <w:sz w:val="20"/>
          <w:szCs w:val="20"/>
          <w:color w:val="auto"/>
        </w:rPr>
      </w:pPr>
    </w:p>
    <w:p>
      <w:pPr>
        <w:ind w:left="320" w:right="280"/>
        <w:spacing w:after="0" w:line="307" w:lineRule="auto"/>
        <w:rPr>
          <w:sz w:val="20"/>
          <w:szCs w:val="20"/>
          <w:color w:val="auto"/>
        </w:rPr>
      </w:pPr>
      <w:r>
        <w:rPr>
          <w:rFonts w:ascii="Arial" w:cs="Arial" w:eastAsia="Arial" w:hAnsi="Arial"/>
          <w:sz w:val="16"/>
          <w:szCs w:val="16"/>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Singapore, Philippines and Malaysia. We believe our financial statement accruals for income taxes are appropriate.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20" w:hanging="313"/>
        <w:spacing w:after="0"/>
        <w:tabs>
          <w:tab w:leader="none" w:pos="3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4" w:lineRule="exact"/>
        <w:rPr>
          <w:rFonts w:ascii="Arial" w:cs="Arial" w:eastAsia="Arial" w:hAnsi="Arial"/>
          <w:sz w:val="18"/>
          <w:szCs w:val="18"/>
          <w:b w:val="1"/>
          <w:bCs w:val="1"/>
          <w:color w:val="auto"/>
        </w:rPr>
      </w:pPr>
    </w:p>
    <w:p>
      <w:pPr>
        <w:ind w:left="320" w:right="10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THG, STG and ISG. Our THG, STG and ISG operating segments qualify for aggregation under ASC 280 due to similarities in their customers, their economic characteristics, and the nature of products and services provided. As a result, we report in one segment, Semiconductor Test &amp; Inspection. All amounts presented in our consolidated balance sheet as of December 31, 2022, and our consolidated statement of operations for the twelve months ended December 31, 2022, represents the financial position and results of our remaining reportable segment. Prior to the sale of our PCB Test Group on June 24, 2021, we reported in two segments, Semiconductor Test &amp; Inspection and PCB Test.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40" w:type="dxa"/>
            <w:vAlign w:val="bottom"/>
            <w:gridSpan w:val="2"/>
          </w:tcPr>
          <w:p>
            <w:pPr>
              <w:ind w:left="48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3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8"/>
        </w:trPr>
        <w:tc>
          <w:tcPr>
            <w:tcW w:w="480" w:type="dxa"/>
            <w:vAlign w:val="bottom"/>
          </w:tcPr>
          <w:p>
            <w:pPr>
              <w:spacing w:after="0"/>
              <w:rPr>
                <w:sz w:val="18"/>
                <w:szCs w:val="18"/>
                <w:color w:val="auto"/>
              </w:rPr>
            </w:pPr>
          </w:p>
        </w:tc>
        <w:tc>
          <w:tcPr>
            <w:tcW w:w="726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by segment:</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860,454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585,240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26,760</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48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Total consolidated net sales for reportable segments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887,214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636,007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726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Segment profit (loss) before tax:</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138,026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(2,497)</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48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Profit for reportable segments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141,933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unallocated amounts: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Corporate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(10,819)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sale of PCB Test business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(6,413)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(13,759)</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Gain on extinguishment of debt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(3,411)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7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480" w:type="dxa"/>
            <w:vAlign w:val="bottom"/>
          </w:tcPr>
          <w:p>
            <w:pPr>
              <w:spacing w:after="0"/>
              <w:rPr>
                <w:sz w:val="21"/>
                <w:szCs w:val="21"/>
                <w:color w:val="auto"/>
              </w:rPr>
            </w:pPr>
          </w:p>
        </w:tc>
        <w:tc>
          <w:tcPr>
            <w:tcW w:w="72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Profit (loss) from continuing operations before taxes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192,344</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(13,177)</w:t>
            </w:r>
          </w:p>
        </w:tc>
        <w:tc>
          <w:tcPr>
            <w:tcW w:w="80" w:type="dxa"/>
            <w:vAlign w:val="bottom"/>
          </w:tcPr>
          <w:p>
            <w:pPr>
              <w:spacing w:after="0"/>
              <w:rPr>
                <w:sz w:val="21"/>
                <w:szCs w:val="21"/>
                <w:color w:val="auto"/>
              </w:rPr>
            </w:pPr>
          </w:p>
        </w:tc>
      </w:tr>
      <w:tr>
        <w:trPr>
          <w:trHeight w:val="421"/>
        </w:trPr>
        <w:tc>
          <w:tcPr>
            <w:tcW w:w="480" w:type="dxa"/>
            <w:vAlign w:val="bottom"/>
          </w:tcPr>
          <w:p>
            <w:pPr>
              <w:spacing w:after="0"/>
              <w:rPr>
                <w:sz w:val="24"/>
                <w:szCs w:val="24"/>
                <w:color w:val="auto"/>
              </w:rPr>
            </w:pPr>
          </w:p>
        </w:tc>
        <w:tc>
          <w:tcPr>
            <w:tcW w:w="726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480" w:type="dxa"/>
            <w:vAlign w:val="bottom"/>
          </w:tcPr>
          <w:p>
            <w:pPr>
              <w:spacing w:after="0"/>
              <w:rPr>
                <w:sz w:val="18"/>
                <w:szCs w:val="18"/>
                <w:color w:val="auto"/>
              </w:rPr>
            </w:pPr>
          </w:p>
        </w:tc>
        <w:tc>
          <w:tcPr>
            <w:tcW w:w="7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by segment deducted in arriving at profit (loss):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48,129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51,548</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7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Total depreciation and amortization</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48,568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52,746</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726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Capital expenditures by segment: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11,954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18,616</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7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Total consolidated capital expenditures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18,660</w:t>
            </w:r>
          </w:p>
        </w:tc>
        <w:tc>
          <w:tcPr>
            <w:tcW w:w="80" w:type="dxa"/>
            <w:vAlign w:val="bottom"/>
          </w:tcPr>
          <w:p>
            <w:pPr>
              <w:spacing w:after="0"/>
              <w:rPr>
                <w:sz w:val="18"/>
                <w:szCs w:val="18"/>
                <w:color w:val="auto"/>
              </w:rPr>
            </w:pPr>
          </w:p>
        </w:tc>
      </w:tr>
      <w:tr>
        <w:trPr>
          <w:trHeight w:val="20"/>
        </w:trPr>
        <w:tc>
          <w:tcPr>
            <w:tcW w:w="7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8"/>
        </w:trPr>
        <w:tc>
          <w:tcPr>
            <w:tcW w:w="7740" w:type="dxa"/>
            <w:vAlign w:val="bottom"/>
            <w:gridSpan w:val="2"/>
          </w:tcPr>
          <w:p>
            <w:pPr>
              <w:ind w:left="48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480" w:type="dxa"/>
            <w:vAlign w:val="bottom"/>
          </w:tcPr>
          <w:p>
            <w:pPr>
              <w:spacing w:after="0"/>
              <w:rPr>
                <w:sz w:val="18"/>
                <w:szCs w:val="18"/>
                <w:color w:val="auto"/>
              </w:rPr>
            </w:pPr>
          </w:p>
        </w:tc>
        <w:tc>
          <w:tcPr>
            <w:tcW w:w="7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by segment: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Semiconductor Test &amp; Inspection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968,028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PCB Test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480" w:type="dxa"/>
            <w:vAlign w:val="bottom"/>
          </w:tcPr>
          <w:p>
            <w:pPr>
              <w:spacing w:after="0"/>
              <w:rPr>
                <w:sz w:val="18"/>
                <w:szCs w:val="18"/>
                <w:color w:val="auto"/>
              </w:rPr>
            </w:pPr>
          </w:p>
        </w:tc>
        <w:tc>
          <w:tcPr>
            <w:tcW w:w="726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Total assets for reportable segments</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1,034,854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Corporate, principally cash and investments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726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7"/>
        </w:trPr>
        <w:tc>
          <w:tcPr>
            <w:tcW w:w="480" w:type="dxa"/>
            <w:vAlign w:val="bottom"/>
          </w:tcPr>
          <w:p>
            <w:pPr>
              <w:spacing w:after="0"/>
              <w:rPr>
                <w:sz w:val="21"/>
                <w:szCs w:val="21"/>
                <w:color w:val="auto"/>
              </w:rPr>
            </w:pPr>
          </w:p>
        </w:tc>
        <w:tc>
          <w:tcPr>
            <w:tcW w:w="726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consolidated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1,090,346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07"/>
        </w:trPr>
        <w:tc>
          <w:tcPr>
            <w:tcW w:w="480" w:type="dxa"/>
            <w:vAlign w:val="bottom"/>
          </w:tcPr>
          <w:p>
            <w:pPr>
              <w:spacing w:after="0"/>
              <w:rPr>
                <w:sz w:val="24"/>
                <w:szCs w:val="24"/>
                <w:color w:val="auto"/>
              </w:rPr>
            </w:pPr>
          </w:p>
        </w:tc>
        <w:tc>
          <w:tcPr>
            <w:tcW w:w="7260" w:type="dxa"/>
            <w:vAlign w:val="bottom"/>
            <w:tcBorders>
              <w:top w:val="single" w:sz="8" w:color="CCEEFF"/>
            </w:tcBorders>
          </w:tcPr>
          <w:p>
            <w:pPr>
              <w:ind w:left="5060"/>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7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right="120"/>
        <w:spacing w:after="0" w:line="271" w:lineRule="auto"/>
        <w:rPr>
          <w:sz w:val="20"/>
          <w:szCs w:val="20"/>
          <w:color w:val="auto"/>
        </w:rPr>
      </w:pPr>
      <w:r>
        <w:rPr>
          <w:rFonts w:ascii="Arial" w:cs="Arial" w:eastAsia="Arial" w:hAnsi="Arial"/>
          <w:sz w:val="18"/>
          <w:szCs w:val="18"/>
          <w:color w:val="auto"/>
        </w:rPr>
        <w:t>During the last three years, the following customers of our Semiconductor Test &amp; Inspection segment that comprised 10% or greater of our consolidated net sales were as follows:</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Analog Devices</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57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 Less than 10% of consolidated net sales.</w:t>
            </w:r>
          </w:p>
        </w:tc>
        <w:tc>
          <w:tcPr>
            <w:tcW w:w="1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bl>
    <w:p>
      <w:pPr>
        <w:spacing w:after="0" w:line="187" w:lineRule="exact"/>
        <w:rPr>
          <w:sz w:val="20"/>
          <w:szCs w:val="20"/>
          <w:color w:val="auto"/>
        </w:rPr>
      </w:pPr>
    </w:p>
    <w:p>
      <w:pPr>
        <w:ind w:left="320" w:right="720"/>
        <w:spacing w:after="0" w:line="271" w:lineRule="auto"/>
        <w:rPr>
          <w:sz w:val="20"/>
          <w:szCs w:val="20"/>
          <w:color w:val="auto"/>
        </w:rPr>
      </w:pPr>
      <w:r>
        <w:rPr>
          <w:rFonts w:ascii="Arial" w:cs="Arial" w:eastAsia="Arial" w:hAnsi="Arial"/>
          <w:sz w:val="18"/>
          <w:szCs w:val="18"/>
          <w:color w:val="auto"/>
        </w:rPr>
        <w:t>On June 24, 2021, we completed the divestment of our PCB Test business. Prior to this, no customer of our PCB Test segment exceeded 10% of consolidated net sales for the years ended December 25, 2021 and December 26, 2020.</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sales to customers, attributed to countries based on product shipment destination, were as follows:</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8"/>
        </w:trPr>
        <w:tc>
          <w:tcPr>
            <w:tcW w:w="3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8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146,227</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213,575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143,360</w:t>
            </w:r>
          </w:p>
        </w:tc>
        <w:tc>
          <w:tcPr>
            <w:tcW w:w="10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Philippines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111,647</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155,070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56,272</w:t>
            </w:r>
          </w:p>
        </w:tc>
      </w:tr>
      <w:tr>
        <w:trPr>
          <w:trHeight w:val="214"/>
        </w:trPr>
        <w:tc>
          <w:tcPr>
            <w:tcW w:w="3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99,508</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79,777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57,893</w:t>
            </w:r>
          </w:p>
        </w:tc>
      </w:tr>
      <w:tr>
        <w:trPr>
          <w:trHeight w:val="214"/>
        </w:trPr>
        <w:tc>
          <w:tcPr>
            <w:tcW w:w="3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United States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79,093</w:t>
            </w: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77,495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108,694</w:t>
            </w:r>
          </w:p>
        </w:tc>
        <w:tc>
          <w:tcPr>
            <w:tcW w:w="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59,835</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88,152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83,685</w:t>
            </w:r>
          </w:p>
        </w:tc>
      </w:tr>
      <w:tr>
        <w:trPr>
          <w:trHeight w:val="214"/>
        </w:trPr>
        <w:tc>
          <w:tcPr>
            <w:tcW w:w="3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Rest of the world</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316,465</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273,145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186,103</w:t>
            </w:r>
          </w:p>
        </w:tc>
        <w:tc>
          <w:tcPr>
            <w:tcW w:w="10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20" w:type="dxa"/>
            <w:vAlign w:val="bottom"/>
          </w:tcPr>
          <w:p>
            <w:pPr>
              <w:spacing w:after="0"/>
              <w:rPr>
                <w:sz w:val="19"/>
                <w:szCs w:val="19"/>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net</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812,775</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887,214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636,007</w:t>
            </w:r>
          </w:p>
        </w:tc>
        <w:tc>
          <w:tcPr>
            <w:tcW w:w="100" w:type="dxa"/>
            <w:vAlign w:val="bottom"/>
            <w:shd w:val="clear" w:color="auto" w:fill="CCEEFF"/>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7"/>
        </w:trPr>
        <w:tc>
          <w:tcPr>
            <w:tcW w:w="7700" w:type="dxa"/>
            <w:vAlign w:val="bottom"/>
            <w:gridSpan w:val="6"/>
          </w:tcPr>
          <w:p>
            <w:pPr>
              <w:jc w:val="right"/>
              <w:ind w:right="500"/>
              <w:spacing w:after="0"/>
              <w:rPr>
                <w:sz w:val="20"/>
                <w:szCs w:val="20"/>
                <w:color w:val="auto"/>
              </w:rPr>
            </w:pPr>
            <w:r>
              <w:rPr>
                <w:rFonts w:ascii="Arial" w:cs="Arial" w:eastAsia="Arial" w:hAnsi="Arial"/>
                <w:sz w:val="18"/>
                <w:szCs w:val="18"/>
                <w:color w:val="auto"/>
                <w:w w:val="89"/>
              </w:rPr>
              <w:t>Geographic location of our property, plant and equipment and other long-lived assets was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320" w:type="dxa"/>
            <w:vAlign w:val="bottom"/>
          </w:tcPr>
          <w:p>
            <w:pPr>
              <w:spacing w:after="0"/>
              <w:rPr>
                <w:sz w:val="24"/>
                <w:szCs w:val="24"/>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4"/>
                <w:szCs w:val="24"/>
                <w:color w:val="auto"/>
              </w:rPr>
            </w:pPr>
          </w:p>
        </w:tc>
      </w:tr>
      <w:tr>
        <w:trPr>
          <w:trHeight w:val="208"/>
        </w:trPr>
        <w:tc>
          <w:tcPr>
            <w:tcW w:w="3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18,419</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18,375</w:t>
            </w:r>
          </w:p>
        </w:tc>
      </w:tr>
      <w:tr>
        <w:trPr>
          <w:trHeight w:val="214"/>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Germany</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15,977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17,419</w:t>
            </w:r>
          </w:p>
        </w:tc>
      </w:tr>
      <w:tr>
        <w:trPr>
          <w:trHeight w:val="214"/>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Philippines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14,706</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10,384</w:t>
            </w:r>
          </w:p>
        </w:tc>
      </w:tr>
      <w:tr>
        <w:trPr>
          <w:trHeight w:val="214"/>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Japan</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Malaysia</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15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3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Total, net</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65,011</w:t>
            </w:r>
          </w:p>
        </w:tc>
        <w:tc>
          <w:tcPr>
            <w:tcW w:w="200" w:type="dxa"/>
            <w:vAlign w:val="bottom"/>
          </w:tcPr>
          <w:p>
            <w:pPr>
              <w:spacing w:after="0"/>
              <w:rPr>
                <w:sz w:val="18"/>
                <w:szCs w:val="18"/>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63,957</w:t>
            </w:r>
          </w:p>
        </w:tc>
      </w:tr>
      <w:tr>
        <w:trPr>
          <w:trHeight w:val="20"/>
        </w:trPr>
        <w:tc>
          <w:tcPr>
            <w:tcW w:w="3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3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Germany</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181,146</w:t>
            </w:r>
          </w:p>
        </w:tc>
        <w:tc>
          <w:tcPr>
            <w:tcW w:w="10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131,068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150,477</w:t>
            </w:r>
          </w:p>
        </w:tc>
        <w:tc>
          <w:tcPr>
            <w:tcW w:w="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Malaysia</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43,571</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43,611</w:t>
            </w:r>
          </w:p>
        </w:tc>
        <w:tc>
          <w:tcPr>
            <w:tcW w:w="10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Singapore</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12,512</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12,990</w:t>
            </w:r>
          </w:p>
        </w:tc>
      </w:tr>
      <w:tr>
        <w:trPr>
          <w:trHeight w:val="214"/>
        </w:trPr>
        <w:tc>
          <w:tcPr>
            <w:tcW w:w="3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Switzerland</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0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Japan</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15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3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Total, net</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353,643</w:t>
            </w:r>
          </w:p>
        </w:tc>
        <w:tc>
          <w:tcPr>
            <w:tcW w:w="200" w:type="dxa"/>
            <w:vAlign w:val="bottom"/>
          </w:tcPr>
          <w:p>
            <w:pPr>
              <w:spacing w:after="0"/>
              <w:rPr>
                <w:sz w:val="18"/>
                <w:szCs w:val="18"/>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397,111</w:t>
            </w:r>
          </w:p>
        </w:tc>
      </w:tr>
      <w:tr>
        <w:trPr>
          <w:trHeight w:val="20"/>
        </w:trPr>
        <w:tc>
          <w:tcPr>
            <w:tcW w:w="3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20" w:hanging="313"/>
        <w:spacing w:after="0"/>
        <w:tabs>
          <w:tab w:leader="none" w:pos="3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4" w:lineRule="exact"/>
        <w:rPr>
          <w:rFonts w:ascii="Arial" w:cs="Arial" w:eastAsia="Arial" w:hAnsi="Arial"/>
          <w:sz w:val="18"/>
          <w:szCs w:val="18"/>
          <w:b w:val="1"/>
          <w:bCs w:val="1"/>
          <w:color w:val="auto"/>
        </w:rPr>
      </w:pPr>
    </w:p>
    <w:p>
      <w:pPr>
        <w:ind w:left="32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lease certain of our facilities, equipment and vehicles under non-cancelable operating and finance leases. Leases with initial terms with 12 months or less are not recorded in the consolidated balance sheet, but we recognized those lease payments in the consolidated statements of operations on a straight-line basis over the lease term. Lease and non-lease components are included in the calculation of the right of use asset (“ROU”) asset and lease liabilities.</w:t>
      </w:r>
    </w:p>
    <w:p>
      <w:pPr>
        <w:spacing w:after="0" w:line="190" w:lineRule="exact"/>
        <w:rPr>
          <w:sz w:val="20"/>
          <w:szCs w:val="20"/>
          <w:color w:val="auto"/>
        </w:rPr>
      </w:pPr>
    </w:p>
    <w:p>
      <w:pPr>
        <w:ind w:left="320" w:right="100"/>
        <w:spacing w:after="0" w:line="259" w:lineRule="auto"/>
        <w:rPr>
          <w:sz w:val="20"/>
          <w:szCs w:val="20"/>
          <w:color w:val="auto"/>
        </w:rPr>
      </w:pPr>
      <w:r>
        <w:rPr>
          <w:rFonts w:ascii="Arial" w:cs="Arial" w:eastAsia="Arial" w:hAnsi="Arial"/>
          <w:sz w:val="18"/>
          <w:szCs w:val="18"/>
          <w:color w:val="auto"/>
        </w:rPr>
        <w:t>Our leases have remaining lease terms ranging from 1 year to 35 years, some of which include one or more options to extend the lease for up to 25 years. Our lease term includes renewal terms when we are reasonably certain that we will exercise the renewal options. We sublease certain leased assets to third parties, mainly as a result of unused space in our facilities.</w:t>
      </w:r>
    </w:p>
    <w:p>
      <w:pPr>
        <w:spacing w:after="0" w:line="18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26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December 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December 25,</w:t>
            </w:r>
          </w:p>
        </w:tc>
      </w:tr>
      <w:tr>
        <w:trPr>
          <w:trHeight w:val="228"/>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8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Classification</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9"/>
                <w:szCs w:val="19"/>
                <w:color w:val="auto"/>
              </w:rPr>
            </w:pPr>
          </w:p>
        </w:tc>
      </w:tr>
      <w:tr>
        <w:trPr>
          <w:trHeight w:val="208"/>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2680" w:type="dxa"/>
            <w:vAlign w:val="bottom"/>
          </w:tcPr>
          <w:p>
            <w:pPr>
              <w:ind w:left="160"/>
              <w:spacing w:after="0"/>
              <w:rPr>
                <w:sz w:val="20"/>
                <w:szCs w:val="20"/>
                <w:color w:val="auto"/>
              </w:rPr>
            </w:pPr>
            <w:r>
              <w:rPr>
                <w:rFonts w:ascii="Arial" w:cs="Arial" w:eastAsia="Arial" w:hAnsi="Arial"/>
                <w:sz w:val="18"/>
                <w:szCs w:val="18"/>
                <w:color w:val="auto"/>
              </w:rPr>
              <w:t>Operating lease assets</w:t>
            </w:r>
          </w:p>
        </w:tc>
        <w:tc>
          <w:tcPr>
            <w:tcW w:w="3840" w:type="dxa"/>
            <w:vAlign w:val="bottom"/>
          </w:tcPr>
          <w:p>
            <w:pPr>
              <w:ind w:left="380"/>
              <w:spacing w:after="0"/>
              <w:rPr>
                <w:sz w:val="20"/>
                <w:szCs w:val="20"/>
                <w:color w:val="auto"/>
              </w:rPr>
            </w:pPr>
            <w:r>
              <w:rPr>
                <w:rFonts w:ascii="Arial" w:cs="Arial" w:eastAsia="Arial" w:hAnsi="Arial"/>
                <w:sz w:val="18"/>
                <w:szCs w:val="18"/>
                <w:color w:val="auto"/>
              </w:rPr>
              <w:t>Operating lease right-of-use assets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22,804</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25,060</w:t>
            </w:r>
          </w:p>
        </w:tc>
      </w:tr>
      <w:tr>
        <w:trPr>
          <w:trHeight w:val="214"/>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Finance lease assets</w:t>
            </w:r>
          </w:p>
        </w:tc>
        <w:tc>
          <w:tcPr>
            <w:tcW w:w="3840" w:type="dxa"/>
            <w:vAlign w:val="bottom"/>
            <w:tcBorders>
              <w:bottom w:val="single" w:sz="8" w:color="CCEEFF"/>
            </w:tcBorders>
            <w:shd w:val="clear" w:color="auto" w:fill="CCEEFF"/>
          </w:tcPr>
          <w:p>
            <w:pPr>
              <w:ind w:left="380"/>
              <w:spacing w:after="0" w:line="214" w:lineRule="exact"/>
              <w:rPr>
                <w:sz w:val="20"/>
                <w:szCs w:val="20"/>
                <w:color w:val="auto"/>
              </w:rPr>
            </w:pPr>
            <w:r>
              <w:rPr>
                <w:rFonts w:ascii="Arial" w:cs="Arial" w:eastAsia="Arial" w:hAnsi="Arial"/>
                <w:sz w:val="15"/>
                <w:szCs w:val="15"/>
                <w:color w:val="auto"/>
              </w:rPr>
              <w:t xml:space="preserve">Property, plant and equipment, net </w:t>
            </w:r>
            <w:r>
              <w:rPr>
                <w:rFonts w:ascii="Arial" w:cs="Arial" w:eastAsia="Arial" w:hAnsi="Arial"/>
                <w:sz w:val="24"/>
                <w:szCs w:val="24"/>
                <w:color w:val="auto"/>
                <w:vertAlign w:val="superscript"/>
              </w:rPr>
              <w:t>(1)</w:t>
            </w: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7"/>
        </w:trPr>
        <w:tc>
          <w:tcPr>
            <w:tcW w:w="2680" w:type="dxa"/>
            <w:vAlign w:val="bottom"/>
          </w:tcPr>
          <w:p>
            <w:pPr>
              <w:ind w:left="320"/>
              <w:spacing w:after="0"/>
              <w:rPr>
                <w:sz w:val="20"/>
                <w:szCs w:val="20"/>
                <w:color w:val="auto"/>
              </w:rPr>
            </w:pPr>
            <w:r>
              <w:rPr>
                <w:rFonts w:ascii="Arial" w:cs="Arial" w:eastAsia="Arial" w:hAnsi="Arial"/>
                <w:sz w:val="18"/>
                <w:szCs w:val="18"/>
                <w:color w:val="auto"/>
              </w:rPr>
              <w:t>Total lease assets</w:t>
            </w:r>
          </w:p>
        </w:tc>
        <w:tc>
          <w:tcPr>
            <w:tcW w:w="38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23,127</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25,483</w:t>
            </w:r>
          </w:p>
        </w:tc>
      </w:tr>
      <w:tr>
        <w:trPr>
          <w:trHeight w:val="20"/>
        </w:trPr>
        <w:tc>
          <w:tcPr>
            <w:tcW w:w="2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2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Liabilities:</w:t>
            </w:r>
          </w:p>
        </w:tc>
        <w:tc>
          <w:tcPr>
            <w:tcW w:w="3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4"/>
        </w:trPr>
        <w:tc>
          <w:tcPr>
            <w:tcW w:w="2680" w:type="dxa"/>
            <w:vAlign w:val="bottom"/>
          </w:tcPr>
          <w:p>
            <w:pPr>
              <w:ind w:left="160"/>
              <w:spacing w:after="0"/>
              <w:rPr>
                <w:sz w:val="20"/>
                <w:szCs w:val="20"/>
                <w:color w:val="auto"/>
              </w:rPr>
            </w:pPr>
            <w:r>
              <w:rPr>
                <w:rFonts w:ascii="Arial" w:cs="Arial" w:eastAsia="Arial" w:hAnsi="Arial"/>
                <w:sz w:val="18"/>
                <w:szCs w:val="18"/>
                <w:color w:val="auto"/>
              </w:rPr>
              <w:t>Current:</w:t>
            </w:r>
          </w:p>
        </w:tc>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3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4,886</w:t>
            </w:r>
          </w:p>
        </w:tc>
      </w:tr>
      <w:tr>
        <w:trPr>
          <w:trHeight w:val="214"/>
        </w:trPr>
        <w:tc>
          <w:tcPr>
            <w:tcW w:w="2680" w:type="dxa"/>
            <w:vAlign w:val="bottom"/>
          </w:tcPr>
          <w:p>
            <w:pPr>
              <w:ind w:left="320"/>
              <w:spacing w:after="0"/>
              <w:rPr>
                <w:sz w:val="20"/>
                <w:szCs w:val="20"/>
                <w:color w:val="auto"/>
              </w:rPr>
            </w:pPr>
            <w:r>
              <w:rPr>
                <w:rFonts w:ascii="Arial" w:cs="Arial" w:eastAsia="Arial" w:hAnsi="Arial"/>
                <w:sz w:val="18"/>
                <w:szCs w:val="18"/>
                <w:color w:val="auto"/>
              </w:rPr>
              <w:t>Finance</w:t>
            </w:r>
          </w:p>
        </w:tc>
        <w:tc>
          <w:tcPr>
            <w:tcW w:w="384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r>
      <w:tr>
        <w:trPr>
          <w:trHeight w:val="214"/>
        </w:trPr>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w:t>
            </w:r>
          </w:p>
        </w:tc>
        <w:tc>
          <w:tcPr>
            <w:tcW w:w="3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2680" w:type="dxa"/>
            <w:vAlign w:val="bottom"/>
          </w:tcPr>
          <w:p>
            <w:pPr>
              <w:ind w:left="320"/>
              <w:spacing w:after="0"/>
              <w:rPr>
                <w:sz w:val="20"/>
                <w:szCs w:val="20"/>
                <w:color w:val="auto"/>
              </w:rPr>
            </w:pPr>
            <w:r>
              <w:rPr>
                <w:rFonts w:ascii="Arial" w:cs="Arial" w:eastAsia="Arial" w:hAnsi="Arial"/>
                <w:sz w:val="18"/>
                <w:szCs w:val="18"/>
                <w:color w:val="auto"/>
              </w:rPr>
              <w:t>Operating</w:t>
            </w:r>
          </w:p>
        </w:tc>
        <w:tc>
          <w:tcPr>
            <w:tcW w:w="3840" w:type="dxa"/>
            <w:vAlign w:val="bottom"/>
          </w:tcPr>
          <w:p>
            <w:pPr>
              <w:ind w:left="380"/>
              <w:spacing w:after="0"/>
              <w:rPr>
                <w:sz w:val="20"/>
                <w:szCs w:val="20"/>
                <w:color w:val="auto"/>
              </w:rPr>
            </w:pPr>
            <w:r>
              <w:rPr>
                <w:rFonts w:ascii="Arial" w:cs="Arial" w:eastAsia="Arial" w:hAnsi="Arial"/>
                <w:sz w:val="18"/>
                <w:szCs w:val="18"/>
                <w:color w:val="auto"/>
              </w:rPr>
              <w:t>Long-term lease liabilities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19,185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21,977</w:t>
            </w:r>
          </w:p>
        </w:tc>
      </w:tr>
      <w:tr>
        <w:trPr>
          <w:trHeight w:val="214"/>
        </w:trPr>
        <w:tc>
          <w:tcPr>
            <w:tcW w:w="2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w:t>
            </w:r>
          </w:p>
        </w:tc>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lease liabilities</w:t>
            </w: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7"/>
        </w:trPr>
        <w:tc>
          <w:tcPr>
            <w:tcW w:w="2680" w:type="dxa"/>
            <w:vAlign w:val="bottom"/>
          </w:tcPr>
          <w:p>
            <w:pPr>
              <w:ind w:left="320"/>
              <w:spacing w:after="0"/>
              <w:rPr>
                <w:sz w:val="20"/>
                <w:szCs w:val="20"/>
                <w:color w:val="auto"/>
              </w:rPr>
            </w:pPr>
            <w:r>
              <w:rPr>
                <w:rFonts w:ascii="Arial" w:cs="Arial" w:eastAsia="Arial" w:hAnsi="Arial"/>
                <w:sz w:val="18"/>
                <w:szCs w:val="18"/>
                <w:color w:val="auto"/>
              </w:rPr>
              <w:t>Total lease liabilities</w:t>
            </w:r>
          </w:p>
        </w:tc>
        <w:tc>
          <w:tcPr>
            <w:tcW w:w="38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24,185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27,093</w:t>
            </w:r>
          </w:p>
        </w:tc>
      </w:tr>
      <w:tr>
        <w:trPr>
          <w:trHeight w:val="20"/>
        </w:trPr>
        <w:tc>
          <w:tcPr>
            <w:tcW w:w="2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6520" w:type="dxa"/>
            <w:vAlign w:val="bottom"/>
            <w:gridSpan w:val="2"/>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4"/>
        </w:trPr>
        <w:tc>
          <w:tcPr>
            <w:tcW w:w="6520" w:type="dxa"/>
            <w:vAlign w:val="bottom"/>
            <w:gridSpan w:val="2"/>
          </w:tcPr>
          <w:p>
            <w:pPr>
              <w:spacing w:after="0"/>
              <w:rPr>
                <w:sz w:val="20"/>
                <w:szCs w:val="20"/>
                <w:color w:val="auto"/>
              </w:rPr>
            </w:pPr>
            <w:r>
              <w:rPr>
                <w:rFonts w:ascii="Arial" w:cs="Arial" w:eastAsia="Arial" w:hAnsi="Arial"/>
                <w:sz w:val="18"/>
                <w:szCs w:val="18"/>
                <w:color w:val="auto"/>
              </w:rPr>
              <w:t>Weighted-average remaining lease term (years):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3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r>
      <w:tr>
        <w:trPr>
          <w:trHeight w:val="214"/>
        </w:trPr>
        <w:tc>
          <w:tcPr>
            <w:tcW w:w="2680" w:type="dxa"/>
            <w:vAlign w:val="bottom"/>
          </w:tcPr>
          <w:p>
            <w:pPr>
              <w:ind w:left="160"/>
              <w:spacing w:after="0"/>
              <w:rPr>
                <w:sz w:val="20"/>
                <w:szCs w:val="20"/>
                <w:color w:val="auto"/>
              </w:rPr>
            </w:pPr>
            <w:r>
              <w:rPr>
                <w:rFonts w:ascii="Arial" w:cs="Arial" w:eastAsia="Arial" w:hAnsi="Arial"/>
                <w:sz w:val="18"/>
                <w:szCs w:val="18"/>
                <w:color w:val="auto"/>
              </w:rPr>
              <w:t>Finance leases</w:t>
            </w:r>
          </w:p>
        </w:tc>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14"/>
        </w:trPr>
        <w:tc>
          <w:tcPr>
            <w:tcW w:w="26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26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3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27"/>
        </w:trPr>
        <w:tc>
          <w:tcPr>
            <w:tcW w:w="2680" w:type="dxa"/>
            <w:vAlign w:val="bottom"/>
          </w:tcPr>
          <w:p>
            <w:pPr>
              <w:ind w:left="160"/>
              <w:spacing w:after="0"/>
              <w:rPr>
                <w:sz w:val="20"/>
                <w:szCs w:val="20"/>
                <w:color w:val="auto"/>
              </w:rPr>
            </w:pPr>
            <w:r>
              <w:rPr>
                <w:rFonts w:ascii="Arial" w:cs="Arial" w:eastAsia="Arial" w:hAnsi="Arial"/>
                <w:sz w:val="18"/>
                <w:szCs w:val="18"/>
                <w:color w:val="auto"/>
              </w:rPr>
              <w:t>Finance leases</w:t>
            </w:r>
          </w:p>
        </w:tc>
        <w:tc>
          <w:tcPr>
            <w:tcW w:w="3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-7620</wp:posOffset>
            </wp:positionV>
            <wp:extent cx="67767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6720" cy="8255"/>
                    </a:xfrm>
                    <a:prstGeom prst="rect">
                      <a:avLst/>
                    </a:prstGeom>
                    <a:noFill/>
                  </pic:spPr>
                </pic:pic>
              </a:graphicData>
            </a:graphic>
          </wp:anchor>
        </w:drawing>
      </w:r>
    </w:p>
    <w:p>
      <w:pPr>
        <w:ind w:left="320" w:right="1140" w:firstLine="168"/>
        <w:spacing w:after="0" w:line="488" w:lineRule="auto"/>
        <w:tabs>
          <w:tab w:leader="none" w:pos="8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Finance lease assets are recorded net of accumulated amortization of $0.2 million and $0.1 million in 2022 and 2021, respectively. The components of lease expense were as follows:</w:t>
      </w:r>
    </w:p>
    <w:tbl>
      <w:tblPr>
        <w:tblLayout w:type="fixed"/>
        <w:tblInd w:w="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9"/>
                <w:szCs w:val="19"/>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December 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gridSpan w:val="2"/>
          </w:tcPr>
          <w:p>
            <w:pPr>
              <w:ind w:left="480"/>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94"/>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47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6,698</w:t>
            </w:r>
          </w:p>
        </w:tc>
        <w:tc>
          <w:tcPr>
            <w:tcW w:w="500" w:type="dxa"/>
            <w:vAlign w:val="bottom"/>
            <w:tcBorders>
              <w:top w:val="single" w:sz="8" w:color="auto"/>
            </w:tcBorders>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Variable lease expense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Short-term operating leases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Finance leases: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leased assets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Interest on lease liabilities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lease cost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8,942</w:t>
            </w:r>
          </w:p>
        </w:tc>
        <w:tc>
          <w:tcPr>
            <w:tcW w:w="50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6"/>
            <w:vMerge w:val="restart"/>
          </w:tcPr>
          <w:p>
            <w:pPr>
              <w:ind w:left="480"/>
              <w:spacing w:after="0"/>
              <w:rPr>
                <w:sz w:val="20"/>
                <w:szCs w:val="20"/>
                <w:color w:val="auto"/>
              </w:rPr>
            </w:pPr>
            <w:r>
              <w:rPr>
                <w:rFonts w:ascii="Arial" w:cs="Arial" w:eastAsia="Arial" w:hAnsi="Arial"/>
                <w:sz w:val="18"/>
                <w:szCs w:val="18"/>
                <w:color w:val="auto"/>
              </w:rPr>
              <w:t>Future minimum lease payments at December 31, 2022, are as follows:</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420" w:type="dxa"/>
            <w:vAlign w:val="bottom"/>
            <w:gridSpan w:val="6"/>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8"/>
                <w:szCs w:val="18"/>
                <w:color w:val="auto"/>
              </w:rPr>
              <w:t>Finance</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0" w:type="dxa"/>
            <w:vAlign w:val="bottom"/>
            <w:gridSpan w:val="2"/>
          </w:tcPr>
          <w:p>
            <w:pPr>
              <w:ind w:left="480"/>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leases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780"/>
              <w:spacing w:after="0"/>
              <w:rPr>
                <w:sz w:val="20"/>
                <w:szCs w:val="20"/>
                <w:color w:val="auto"/>
              </w:rPr>
            </w:pPr>
            <w:r>
              <w:rPr>
                <w:rFonts w:ascii="Arial" w:cs="Arial" w:eastAsia="Arial" w:hAnsi="Arial"/>
                <w:sz w:val="18"/>
                <w:szCs w:val="18"/>
                <w:color w:val="auto"/>
              </w:rPr>
              <w:t>leases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160" w:type="dxa"/>
            <w:vAlign w:val="bottom"/>
            <w:tcBorders>
              <w:top w:val="single" w:sz="8" w:color="auto"/>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6,197</w:t>
            </w:r>
          </w:p>
        </w:tc>
        <w:tc>
          <w:tcPr>
            <w:tcW w:w="3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060" w:type="dxa"/>
            <w:vAlign w:val="bottom"/>
            <w:tcBorders>
              <w:top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6,247</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5,848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5,859</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5,245</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2026</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2,849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2,852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Thereafter</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7,904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7,904</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29,887</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Interest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(5,700)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(5,702)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80" w:type="dxa"/>
            <w:vAlign w:val="bottom"/>
          </w:tcPr>
          <w:p>
            <w:pPr>
              <w:spacing w:after="0"/>
              <w:rPr>
                <w:sz w:val="21"/>
                <w:szCs w:val="21"/>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Present value of lease liabilities</w:t>
            </w: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24,112</w:t>
            </w: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060" w:type="dxa"/>
            <w:vAlign w:val="bottom"/>
            <w:shd w:val="clear" w:color="auto" w:fill="CCEEFF"/>
          </w:tcPr>
          <w:p>
            <w:pPr>
              <w:jc w:val="right"/>
              <w:ind w:right="894"/>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24,185</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48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491"/>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618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28"/>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jc w:val="right"/>
              <w:ind w:right="251"/>
              <w:spacing w:after="0"/>
              <w:rPr>
                <w:sz w:val="20"/>
                <w:szCs w:val="20"/>
                <w:color w:val="auto"/>
              </w:rPr>
            </w:pPr>
            <w:r>
              <w:rPr>
                <w:rFonts w:ascii="Arial" w:cs="Arial" w:eastAsia="Arial" w:hAnsi="Arial"/>
                <w:sz w:val="18"/>
                <w:szCs w:val="18"/>
                <w:color w:val="auto"/>
                <w:w w:val="95"/>
              </w:rPr>
              <w:t>December 31,</w:t>
            </w:r>
          </w:p>
        </w:tc>
        <w:tc>
          <w:tcPr>
            <w:tcW w:w="280" w:type="dxa"/>
            <w:vAlign w:val="bottom"/>
          </w:tcPr>
          <w:p>
            <w:pPr>
              <w:spacing w:after="0"/>
              <w:rPr>
                <w:sz w:val="24"/>
                <w:szCs w:val="24"/>
                <w:color w:val="auto"/>
              </w:rPr>
            </w:pPr>
          </w:p>
        </w:tc>
        <w:tc>
          <w:tcPr>
            <w:tcW w:w="1480" w:type="dxa"/>
            <w:vAlign w:val="bottom"/>
          </w:tcPr>
          <w:p>
            <w:pPr>
              <w:jc w:val="right"/>
              <w:ind w:right="291"/>
              <w:spacing w:after="0"/>
              <w:rPr>
                <w:sz w:val="20"/>
                <w:szCs w:val="20"/>
                <w:color w:val="auto"/>
              </w:rPr>
            </w:pPr>
            <w:r>
              <w:rPr>
                <w:rFonts w:ascii="Arial" w:cs="Arial" w:eastAsia="Arial" w:hAnsi="Arial"/>
                <w:sz w:val="18"/>
                <w:szCs w:val="18"/>
                <w:color w:val="auto"/>
                <w:w w:val="95"/>
              </w:rPr>
              <w:t>December 25,</w:t>
            </w:r>
          </w:p>
        </w:tc>
      </w:tr>
      <w:tr>
        <w:trPr>
          <w:trHeight w:val="228"/>
        </w:trPr>
        <w:tc>
          <w:tcPr>
            <w:tcW w:w="61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300" w:type="dxa"/>
            <w:vAlign w:val="bottom"/>
          </w:tcPr>
          <w:p>
            <w:pPr>
              <w:spacing w:after="0"/>
              <w:rPr>
                <w:sz w:val="19"/>
                <w:szCs w:val="19"/>
                <w:color w:val="auto"/>
              </w:rPr>
            </w:pPr>
          </w:p>
        </w:tc>
        <w:tc>
          <w:tcPr>
            <w:tcW w:w="1440" w:type="dxa"/>
            <w:vAlign w:val="bottom"/>
          </w:tcPr>
          <w:p>
            <w:pPr>
              <w:jc w:val="right"/>
              <w:ind w:right="571"/>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1480" w:type="dxa"/>
            <w:vAlign w:val="bottom"/>
          </w:tcPr>
          <w:p>
            <w:pPr>
              <w:jc w:val="right"/>
              <w:ind w:right="611"/>
              <w:spacing w:after="0"/>
              <w:rPr>
                <w:sz w:val="20"/>
                <w:szCs w:val="20"/>
                <w:color w:val="auto"/>
              </w:rPr>
            </w:pPr>
            <w:r>
              <w:rPr>
                <w:rFonts w:ascii="Arial" w:cs="Arial" w:eastAsia="Arial" w:hAnsi="Arial"/>
                <w:sz w:val="18"/>
                <w:szCs w:val="18"/>
                <w:color w:val="auto"/>
              </w:rPr>
              <w:t>2021</w:t>
            </w:r>
          </w:p>
        </w:tc>
      </w:tr>
      <w:tr>
        <w:trPr>
          <w:trHeight w:val="208"/>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3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160" w:type="dxa"/>
            <w:vAlign w:val="bottom"/>
          </w:tcPr>
          <w:p>
            <w:pPr>
              <w:ind w:left="300"/>
              <w:spacing w:after="0"/>
              <w:rPr>
                <w:sz w:val="20"/>
                <w:szCs w:val="20"/>
                <w:color w:val="auto"/>
              </w:rPr>
            </w:pPr>
            <w:r>
              <w:rPr>
                <w:rFonts w:ascii="Arial" w:cs="Arial" w:eastAsia="Arial" w:hAnsi="Arial"/>
                <w:sz w:val="18"/>
                <w:szCs w:val="18"/>
                <w:color w:val="auto"/>
              </w:rPr>
              <w:t>Operating cash flows from operating leases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7,628</w:t>
            </w:r>
          </w:p>
        </w:tc>
      </w:tr>
      <w:tr>
        <w:trPr>
          <w:trHeight w:val="214"/>
        </w:trPr>
        <w:tc>
          <w:tcPr>
            <w:tcW w:w="20" w:type="dxa"/>
            <w:vAlign w:val="bottom"/>
          </w:tcPr>
          <w:p>
            <w:pPr>
              <w:spacing w:after="0"/>
              <w:rPr>
                <w:sz w:val="18"/>
                <w:szCs w:val="18"/>
                <w:color w:val="auto"/>
              </w:rPr>
            </w:pPr>
          </w:p>
        </w:tc>
        <w:tc>
          <w:tcPr>
            <w:tcW w:w="6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cash flows from finance leases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14"/>
        </w:trPr>
        <w:tc>
          <w:tcPr>
            <w:tcW w:w="20" w:type="dxa"/>
            <w:vAlign w:val="bottom"/>
          </w:tcPr>
          <w:p>
            <w:pPr>
              <w:spacing w:after="0"/>
              <w:rPr>
                <w:sz w:val="18"/>
                <w:szCs w:val="18"/>
                <w:color w:val="auto"/>
              </w:rPr>
            </w:pPr>
          </w:p>
        </w:tc>
        <w:tc>
          <w:tcPr>
            <w:tcW w:w="6160" w:type="dxa"/>
            <w:vAlign w:val="bottom"/>
          </w:tcPr>
          <w:p>
            <w:pPr>
              <w:ind w:left="300"/>
              <w:spacing w:after="0"/>
              <w:rPr>
                <w:sz w:val="20"/>
                <w:szCs w:val="20"/>
                <w:color w:val="auto"/>
              </w:rPr>
            </w:pPr>
            <w:r>
              <w:rPr>
                <w:rFonts w:ascii="Arial" w:cs="Arial" w:eastAsia="Arial" w:hAnsi="Arial"/>
                <w:sz w:val="18"/>
                <w:szCs w:val="18"/>
                <w:color w:val="auto"/>
              </w:rPr>
              <w:t>Financing cash flows from finance leases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186</w:t>
            </w:r>
          </w:p>
        </w:tc>
      </w:tr>
      <w:tr>
        <w:trPr>
          <w:trHeight w:val="214"/>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27"/>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3,866</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5" w:lineRule="exact"/>
        <w:rPr>
          <w:sz w:val="20"/>
          <w:szCs w:val="20"/>
          <w:color w:val="auto"/>
        </w:rPr>
      </w:pPr>
    </w:p>
    <w:p>
      <w:pPr>
        <w:jc w:val="both"/>
        <w:ind w:left="480" w:right="200"/>
        <w:spacing w:after="0" w:line="307" w:lineRule="auto"/>
        <w:rPr>
          <w:sz w:val="20"/>
          <w:szCs w:val="20"/>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spacing w:after="0" w:line="387" w:lineRule="exact"/>
        <w:rPr>
          <w:sz w:val="20"/>
          <w:szCs w:val="20"/>
          <w:color w:val="auto"/>
        </w:rPr>
      </w:pPr>
    </w:p>
    <w:p>
      <w:pPr>
        <w:ind w:left="480" w:right="9420" w:hanging="473"/>
        <w:spacing w:after="0" w:line="560" w:lineRule="auto"/>
        <w:tabs>
          <w:tab w:leader="none" w:pos="32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Guarantees </w:t>
      </w:r>
      <w:r>
        <w:rPr>
          <w:rFonts w:ascii="Arial" w:cs="Arial" w:eastAsia="Arial" w:hAnsi="Arial"/>
          <w:sz w:val="16"/>
          <w:szCs w:val="16"/>
          <w:i w:val="1"/>
          <w:iCs w:val="1"/>
          <w:u w:val="single" w:color="auto"/>
          <w:color w:val="auto"/>
        </w:rPr>
        <w:t>Accrued Warranty</w:t>
      </w:r>
    </w:p>
    <w:p>
      <w:pPr>
        <w:spacing w:after="0" w:line="1" w:lineRule="exact"/>
        <w:rPr>
          <w:rFonts w:ascii="Arial" w:cs="Arial" w:eastAsia="Arial" w:hAnsi="Arial"/>
          <w:sz w:val="16"/>
          <w:szCs w:val="16"/>
          <w:b w:val="1"/>
          <w:bCs w:val="1"/>
          <w:color w:val="auto"/>
        </w:rPr>
      </w:pPr>
    </w:p>
    <w:p>
      <w:pPr>
        <w:ind w:left="480"/>
        <w:spacing w:after="0"/>
        <w:rPr>
          <w:rFonts w:ascii="Arial" w:cs="Arial" w:eastAsia="Arial" w:hAnsi="Arial"/>
          <w:sz w:val="16"/>
          <w:szCs w:val="16"/>
          <w:b w:val="1"/>
          <w:bCs w:val="1"/>
          <w:color w:val="auto"/>
        </w:rPr>
      </w:pPr>
      <w:r>
        <w:rPr>
          <w:rFonts w:ascii="Arial" w:cs="Arial" w:eastAsia="Arial" w:hAnsi="Arial"/>
          <w:sz w:val="18"/>
          <w:szCs w:val="18"/>
          <w:color w:val="auto"/>
        </w:rPr>
        <w:t>Changes in accrued warranty during the three-year period ended December 31, 2022, was as follows:</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7,691</w:t>
            </w: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6,382</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6,155</w:t>
            </w:r>
          </w:p>
        </w:tc>
      </w:tr>
      <w:tr>
        <w:trPr>
          <w:trHeight w:val="214"/>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Warranty accruals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8,897</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13,389</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6,173</w:t>
            </w: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payments</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(10,374)</w:t>
            </w: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(11,135)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(5,946)</w:t>
            </w:r>
          </w:p>
        </w:tc>
      </w:tr>
      <w:tr>
        <w:trPr>
          <w:trHeight w:val="214"/>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Warranty liability transferred</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(945)</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6,214</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7,691</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w:t>
            </w: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Accrued warranty amounts expected to be incurred after one year are included in noncurrent other accrued liabilities in the consolidated balance sheet.</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These amounts totaled $0.6 million and $1.1 million at December 31, 2022 and December 25, 2021, respectively.</w:t>
      </w:r>
    </w:p>
    <w:p>
      <w:pPr>
        <w:spacing w:after="0" w:line="200" w:lineRule="exact"/>
        <w:rPr>
          <w:sz w:val="20"/>
          <w:szCs w:val="20"/>
          <w:color w:val="auto"/>
        </w:rPr>
      </w:pPr>
    </w:p>
    <w:p>
      <w:pPr>
        <w:spacing w:after="0" w:line="245" w:lineRule="exact"/>
        <w:rPr>
          <w:sz w:val="20"/>
          <w:szCs w:val="20"/>
          <w:color w:val="auto"/>
        </w:rPr>
      </w:pPr>
    </w:p>
    <w:p>
      <w:pPr>
        <w:ind w:left="480" w:right="7020" w:hanging="473"/>
        <w:spacing w:after="0" w:line="498" w:lineRule="auto"/>
        <w:tabs>
          <w:tab w:leader="none" w:pos="3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Divestitures and Discontinued Operations </w:t>
      </w:r>
      <w:r>
        <w:rPr>
          <w:rFonts w:ascii="Arial" w:cs="Arial" w:eastAsia="Arial" w:hAnsi="Arial"/>
          <w:sz w:val="18"/>
          <w:szCs w:val="18"/>
          <w:i w:val="1"/>
          <w:iCs w:val="1"/>
          <w:u w:val="single" w:color="auto"/>
          <w:color w:val="auto"/>
        </w:rPr>
        <w:t>PCB Test Equipment Business</w:t>
      </w:r>
    </w:p>
    <w:p>
      <w:pPr>
        <w:spacing w:after="0" w:line="1" w:lineRule="exact"/>
        <w:rPr>
          <w:sz w:val="20"/>
          <w:szCs w:val="20"/>
          <w:color w:val="auto"/>
        </w:rPr>
      </w:pPr>
    </w:p>
    <w:p>
      <w:pPr>
        <w:ind w:left="480" w:right="20"/>
        <w:spacing w:after="0" w:line="290" w:lineRule="auto"/>
        <w:rPr>
          <w:sz w:val="20"/>
          <w:szCs w:val="20"/>
          <w:color w:val="auto"/>
        </w:rPr>
      </w:pPr>
      <w:r>
        <w:rPr>
          <w:rFonts w:ascii="Arial" w:cs="Arial" w:eastAsia="Arial" w:hAnsi="Arial"/>
          <w:sz w:val="16"/>
          <w:szCs w:val="16"/>
          <w:color w:val="auto"/>
        </w:rPr>
        <w:t>On June 24, 2021, we completed the sale of our PCB Test business, which represented our PCB Test reportable segment. As part of the transaction we also sold certain intellectual property held by our Semiconductor Test &amp; Inspection segment that is utilized by the PCB Test business. Our decision to sell this non-core business resulted from management’s determination that that they were no longer a fit within our organization. We received gross proceeds of $125.1 million, subject to certain closing adjustments. The sale generated a $70.8 million pre-tax gain on sale of business, which was recorded in our consolidated statements of operations for the twelve months ended December 25, 2021. As a result of the closing of the transaction, we derecognized net assets of $48.2 million, including goodwill of $21.9 million and intangible assets of $14.8 million.</w:t>
      </w:r>
    </w:p>
    <w:p>
      <w:pPr>
        <w:spacing w:after="0" w:line="164" w:lineRule="exact"/>
        <w:rPr>
          <w:sz w:val="20"/>
          <w:szCs w:val="20"/>
          <w:color w:val="auto"/>
        </w:rPr>
      </w:pPr>
    </w:p>
    <w:p>
      <w:pPr>
        <w:ind w:left="480" w:right="520"/>
        <w:spacing w:after="0" w:line="275" w:lineRule="auto"/>
        <w:rPr>
          <w:sz w:val="20"/>
          <w:szCs w:val="20"/>
          <w:color w:val="auto"/>
        </w:rPr>
      </w:pPr>
      <w:r>
        <w:rPr>
          <w:rFonts w:ascii="Arial" w:cs="Arial" w:eastAsia="Arial" w:hAnsi="Arial"/>
          <w:sz w:val="17"/>
          <w:szCs w:val="17"/>
          <w:color w:val="auto"/>
        </w:rPr>
        <w:t xml:space="preserve">We evaluated the guidance in ASC Topic 205-20,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xml:space="preserve"> – </w:t>
      </w:r>
      <w:r>
        <w:rPr>
          <w:rFonts w:ascii="Arial" w:cs="Arial" w:eastAsia="Arial" w:hAnsi="Arial"/>
          <w:sz w:val="17"/>
          <w:szCs w:val="17"/>
          <w:i w:val="1"/>
          <w:iCs w:val="1"/>
          <w:color w:val="auto"/>
        </w:rPr>
        <w:t>Discontinued Operations</w:t>
      </w:r>
      <w:r>
        <w:rPr>
          <w:rFonts w:ascii="Arial" w:cs="Arial" w:eastAsia="Arial" w:hAnsi="Arial"/>
          <w:sz w:val="17"/>
          <w:szCs w:val="17"/>
          <w:color w:val="auto"/>
        </w:rPr>
        <w:t>, and determined that the divestment of our PCB Test business does not represent a strategic shift as the divestiture will not have a major effect on Cohu’s operations and financial results and, as a result, it is not presented as discontinued operations in any periods presented. Subsequent to the sale of our PCB Test business, we have one reportable segment, Semiconductor Test &amp; Inspection.</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Fixtures Services Business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FSG</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w:t>
      </w:r>
    </w:p>
    <w:p>
      <w:pPr>
        <w:spacing w:after="0" w:line="221" w:lineRule="exact"/>
        <w:rPr>
          <w:sz w:val="20"/>
          <w:szCs w:val="20"/>
          <w:color w:val="auto"/>
        </w:rPr>
      </w:pPr>
    </w:p>
    <w:p>
      <w:pPr>
        <w:ind w:left="480" w:right="20"/>
        <w:spacing w:after="0" w:line="272" w:lineRule="auto"/>
        <w:rPr>
          <w:sz w:val="20"/>
          <w:szCs w:val="20"/>
          <w:color w:val="auto"/>
        </w:rPr>
      </w:pPr>
      <w:r>
        <w:rPr>
          <w:rFonts w:ascii="Arial" w:cs="Arial" w:eastAsia="Arial" w:hAnsi="Arial"/>
          <w:sz w:val="17"/>
          <w:szCs w:val="17"/>
          <w:color w:val="auto"/>
        </w:rPr>
        <w:t>On October 1, 2018, we acquired a fixtures services business as part of Xcerra. At the time of the acquisition our management determined that this business did not align with Cohu’s core business and was not a strategic fit within our organization. The fixtures services business was marketed for sale since we acquired Xcerra on October 1, 2018 and it has been presented as discontinued operations as it met the held for sale criteria. For financial statement purposes, the results of operations for this business have been segregated from those of continuing operations and are presented in our consolidated financial statements as discontinued operations for all periods presented.</w:t>
      </w:r>
    </w:p>
    <w:p>
      <w:pPr>
        <w:sectPr>
          <w:pgSz w:w="11900" w:h="16838" w:orient="portrait"/>
          <w:cols w:equalWidth="0" w:num="1">
            <w:col w:w="11220"/>
          </w:cols>
          <w:pgMar w:left="320" w:top="125" w:right="35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1335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1" w:lineRule="exact"/>
        <w:rPr>
          <w:sz w:val="20"/>
          <w:szCs w:val="20"/>
          <w:color w:val="auto"/>
        </w:rPr>
      </w:pPr>
    </w:p>
    <w:p>
      <w:pPr>
        <w:ind w:left="320" w:right="200"/>
        <w:spacing w:after="0" w:line="271" w:lineRule="auto"/>
        <w:rPr>
          <w:sz w:val="20"/>
          <w:szCs w:val="20"/>
          <w:color w:val="auto"/>
        </w:rPr>
      </w:pPr>
      <w:r>
        <w:rPr>
          <w:rFonts w:ascii="Arial" w:cs="Arial" w:eastAsia="Arial" w:hAnsi="Arial"/>
          <w:sz w:val="18"/>
          <w:szCs w:val="18"/>
          <w:color w:val="auto"/>
        </w:rPr>
        <w:t>We completed the sale of this business in February 2020 which resulted in an immaterial gain that that was recorded in our statement of operations for the twelve months ended December 26, 2020, as noted below.</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7040" w:type="dxa"/>
            <w:vAlign w:val="bottom"/>
            <w:gridSpan w:val="2"/>
          </w:tcPr>
          <w:p>
            <w:pPr>
              <w:spacing w:after="0"/>
              <w:rPr>
                <w:sz w:val="20"/>
                <w:szCs w:val="20"/>
                <w:color w:val="auto"/>
              </w:rPr>
            </w:pPr>
            <w:r>
              <w:rPr>
                <w:rFonts w:ascii="Arial" w:cs="Arial" w:eastAsia="Arial" w:hAnsi="Arial"/>
                <w:sz w:val="18"/>
                <w:szCs w:val="18"/>
                <w:color w:val="auto"/>
                <w:w w:val="96"/>
              </w:rPr>
              <w:t xml:space="preserve">Operating results of our discontinued operations are summarized as follows </w:t>
            </w:r>
            <w:r>
              <w:rPr>
                <w:rFonts w:ascii="Arial" w:cs="Arial" w:eastAsia="Arial" w:hAnsi="Arial"/>
                <w:sz w:val="18"/>
                <w:szCs w:val="18"/>
                <w:i w:val="1"/>
                <w:iCs w:val="1"/>
                <w:color w:val="auto"/>
                <w:w w:val="96"/>
              </w:rPr>
              <w:t>(in thousands)</w:t>
            </w:r>
            <w:r>
              <w:rPr>
                <w:rFonts w:ascii="Arial" w:cs="Arial" w:eastAsia="Arial" w:hAnsi="Arial"/>
                <w:sz w:val="18"/>
                <w:szCs w:val="18"/>
                <w:color w:val="auto"/>
                <w:w w:val="96"/>
              </w:rPr>
              <w:t>:</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4"/>
        </w:trPr>
        <w:tc>
          <w:tcPr>
            <w:tcW w:w="16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Gain on sale of FSG</w:t>
            </w: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tax provision</w:t>
            </w: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net of tax</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20" w:hanging="313"/>
        <w:spacing w:after="0"/>
        <w:tabs>
          <w:tab w:leader="none" w:pos="3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Components of other comprehensive income (loss), on an after-tax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Tax (Expense)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5260" w:type="dxa"/>
            <w:vAlign w:val="bottom"/>
            <w:gridSpan w:val="2"/>
          </w:tcPr>
          <w:p>
            <w:pPr>
              <w:ind w:left="480"/>
              <w:spacing w:after="0"/>
              <w:rPr>
                <w:sz w:val="20"/>
                <w:szCs w:val="20"/>
                <w:color w:val="auto"/>
              </w:rPr>
            </w:pPr>
            <w:r>
              <w:rPr>
                <w:rFonts w:ascii="Arial" w:cs="Arial" w:eastAsia="Arial" w:hAnsi="Arial"/>
                <w:sz w:val="18"/>
                <w:szCs w:val="18"/>
                <w:i w:val="1"/>
                <w:iCs w:val="1"/>
                <w:color w:val="auto"/>
              </w:rPr>
              <w:t>(in thousands)</w:t>
            </w:r>
          </w:p>
        </w:tc>
        <w:tc>
          <w:tcPr>
            <w:tcW w:w="880" w:type="dxa"/>
            <w:vAlign w:val="bottom"/>
          </w:tcPr>
          <w:p>
            <w:pPr>
              <w:spacing w:after="0"/>
              <w:rPr>
                <w:sz w:val="19"/>
                <w:szCs w:val="19"/>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Before Tax 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Benefit</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Net of Tax Amount</w:t>
            </w:r>
          </w:p>
        </w:tc>
        <w:tc>
          <w:tcPr>
            <w:tcW w:w="80" w:type="dxa"/>
            <w:vAlign w:val="bottom"/>
          </w:tcPr>
          <w:p>
            <w:pPr>
              <w:spacing w:after="0"/>
              <w:rPr>
                <w:sz w:val="19"/>
                <w:szCs w:val="19"/>
                <w:color w:val="auto"/>
              </w:rPr>
            </w:pPr>
          </w:p>
        </w:tc>
      </w:tr>
      <w:tr>
        <w:trPr>
          <w:trHeight w:val="208"/>
        </w:trPr>
        <w:tc>
          <w:tcPr>
            <w:tcW w:w="48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26, 2020</w:t>
            </w: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27,321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45"/>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27,321</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2,599</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Other comprehensive income</w:t>
            </w:r>
          </w:p>
        </w:tc>
        <w:tc>
          <w:tcPr>
            <w:tcW w:w="880" w:type="dxa"/>
            <w:vAlign w:val="bottom"/>
          </w:tcPr>
          <w:p>
            <w:pPr>
              <w:spacing w:after="0"/>
              <w:rPr>
                <w:sz w:val="18"/>
                <w:szCs w:val="18"/>
                <w:color w:val="auto"/>
              </w:rPr>
            </w:pP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29,920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320" w:type="dxa"/>
            <w:vAlign w:val="bottom"/>
          </w:tcPr>
          <w:p>
            <w:pPr>
              <w:jc w:val="right"/>
              <w:ind w:right="145"/>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4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Year ended December 25, 2021</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(22,859)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320" w:type="dxa"/>
            <w:vAlign w:val="bottom"/>
          </w:tcPr>
          <w:p>
            <w:pPr>
              <w:jc w:val="right"/>
              <w:ind w:right="145"/>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(22,956)</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2,920</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due to sale of PBC Test Business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(2,515)</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Other comprehensive loss</w:t>
            </w:r>
          </w:p>
        </w:tc>
        <w:tc>
          <w:tcPr>
            <w:tcW w:w="880" w:type="dxa"/>
            <w:vAlign w:val="bottom"/>
          </w:tcPr>
          <w:p>
            <w:pPr>
              <w:spacing w:after="0"/>
              <w:rPr>
                <w:sz w:val="18"/>
                <w:szCs w:val="18"/>
                <w:color w:val="auto"/>
              </w:rPr>
            </w:pP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(22,521)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(415)</w:t>
            </w:r>
          </w:p>
        </w:tc>
        <w:tc>
          <w:tcPr>
            <w:tcW w:w="320" w:type="dxa"/>
            <w:vAlign w:val="bottom"/>
          </w:tcPr>
          <w:p>
            <w:pPr>
              <w:jc w:val="right"/>
              <w:ind w:right="145"/>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(22,936)</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4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Year ended December 31, 2022</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(17,991)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320" w:type="dxa"/>
            <w:vAlign w:val="bottom"/>
          </w:tcPr>
          <w:p>
            <w:pPr>
              <w:jc w:val="right"/>
              <w:ind w:right="145"/>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(17,950)</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6,690</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45"/>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loss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(11,995)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(12,750)</w:t>
            </w:r>
          </w:p>
        </w:tc>
        <w:tc>
          <w:tcPr>
            <w:tcW w:w="8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7"/>
        </w:trPr>
        <w:tc>
          <w:tcPr>
            <w:tcW w:w="9560" w:type="dxa"/>
            <w:vAlign w:val="bottom"/>
            <w:gridSpan w:val="10"/>
          </w:tcPr>
          <w:p>
            <w:pPr>
              <w:jc w:val="right"/>
              <w:ind w:right="960"/>
              <w:spacing w:after="0"/>
              <w:rPr>
                <w:sz w:val="20"/>
                <w:szCs w:val="20"/>
                <w:color w:val="auto"/>
              </w:rPr>
            </w:pPr>
            <w:r>
              <w:rPr>
                <w:rFonts w:ascii="Arial" w:cs="Arial" w:eastAsia="Arial" w:hAnsi="Arial"/>
                <w:sz w:val="18"/>
                <w:szCs w:val="18"/>
                <w:color w:val="auto"/>
                <w:w w:val="92"/>
              </w:rPr>
              <w:t>Components of accumulated other comprehensive income (loss), net of tax, at the end of each period are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2"/>
        </w:trPr>
        <w:tc>
          <w:tcPr>
            <w:tcW w:w="5260" w:type="dxa"/>
            <w:vAlign w:val="bottom"/>
            <w:gridSpan w:val="2"/>
          </w:tcPr>
          <w:p>
            <w:pPr>
              <w:ind w:left="480"/>
              <w:spacing w:after="0"/>
              <w:rPr>
                <w:sz w:val="20"/>
                <w:szCs w:val="20"/>
                <w:color w:val="auto"/>
              </w:rPr>
            </w:pPr>
            <w:r>
              <w:rPr>
                <w:rFonts w:ascii="Arial" w:cs="Arial" w:eastAsia="Arial" w:hAnsi="Arial"/>
                <w:sz w:val="18"/>
                <w:szCs w:val="18"/>
                <w:i w:val="1"/>
                <w:iCs w:val="1"/>
                <w:color w:val="auto"/>
              </w:rPr>
              <w:t>(in thousands)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111"/>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511"/>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48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net currency translation adjustments</w:t>
            </w: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(46,308)</w:t>
            </w:r>
          </w:p>
        </w:tc>
        <w:tc>
          <w:tcPr>
            <w:tcW w:w="32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(25,833)</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Accumulated net adjustments related to postretirement benefits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7,031</w:t>
            </w:r>
          </w:p>
        </w:tc>
        <w:tc>
          <w:tcPr>
            <w:tcW w:w="220" w:type="dxa"/>
            <w:vAlign w:val="bottom"/>
          </w:tcPr>
          <w:p>
            <w:pPr>
              <w:spacing w:after="0"/>
              <w:rPr>
                <w:sz w:val="18"/>
                <w:szCs w:val="18"/>
                <w:color w:val="auto"/>
              </w:rPr>
            </w:pPr>
          </w:p>
        </w:tc>
        <w:tc>
          <w:tcPr>
            <w:tcW w:w="320" w:type="dxa"/>
            <w:vAlign w:val="bottom"/>
          </w:tcPr>
          <w:p>
            <w:pPr>
              <w:jc w:val="right"/>
              <w:ind w:right="185"/>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unrealized gain/loss on investments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w:t>
            </w:r>
          </w:p>
        </w:tc>
        <w:tc>
          <w:tcPr>
            <w:tcW w:w="320" w:type="dxa"/>
            <w:vAlign w:val="bottom"/>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5"/>
              </w:rPr>
              <w:t>Accumulated reclassification due to sale of PBC Test Business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ind w:right="185"/>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(2,515)</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7"/>
        </w:trPr>
        <w:tc>
          <w:tcPr>
            <w:tcW w:w="480" w:type="dxa"/>
            <w:vAlign w:val="bottom"/>
          </w:tcPr>
          <w:p>
            <w:pPr>
              <w:spacing w:after="0"/>
              <w:rPr>
                <w:sz w:val="21"/>
                <w:szCs w:val="21"/>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accumulated other comprehensive loss</w:t>
            </w: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(40,012)</w:t>
            </w:r>
          </w:p>
        </w:tc>
        <w:tc>
          <w:tcPr>
            <w:tcW w:w="320" w:type="dxa"/>
            <w:vAlign w:val="bottom"/>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(27,262)</w:t>
            </w:r>
          </w:p>
        </w:tc>
        <w:tc>
          <w:tcPr>
            <w:tcW w:w="80" w:type="dxa"/>
            <w:vAlign w:val="bottom"/>
          </w:tcPr>
          <w:p>
            <w:pPr>
              <w:spacing w:after="0"/>
              <w:rPr>
                <w:sz w:val="21"/>
                <w:szCs w:val="21"/>
                <w:color w:val="auto"/>
              </w:rPr>
            </w:pPr>
          </w:p>
        </w:tc>
      </w:tr>
      <w:tr>
        <w:trPr>
          <w:trHeight w:val="407"/>
        </w:trPr>
        <w:tc>
          <w:tcPr>
            <w:tcW w:w="480" w:type="dxa"/>
            <w:vAlign w:val="bottom"/>
          </w:tcPr>
          <w:p>
            <w:pPr>
              <w:spacing w:after="0"/>
              <w:rPr>
                <w:sz w:val="24"/>
                <w:szCs w:val="24"/>
                <w:color w:val="auto"/>
              </w:rPr>
            </w:pPr>
          </w:p>
        </w:tc>
        <w:tc>
          <w:tcPr>
            <w:tcW w:w="47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jc w:val="right"/>
              <w:ind w:right="331"/>
              <w:spacing w:after="0"/>
              <w:rPr>
                <w:sz w:val="20"/>
                <w:szCs w:val="20"/>
                <w:color w:val="auto"/>
              </w:rPr>
            </w:pPr>
            <w:r>
              <w:rPr>
                <w:rFonts w:ascii="Arial" w:cs="Arial" w:eastAsia="Arial" w:hAnsi="Arial"/>
                <w:sz w:val="18"/>
                <w:szCs w:val="18"/>
                <w:color w:val="auto"/>
              </w:rPr>
              <w:t>76</w:t>
            </w:r>
          </w:p>
        </w:tc>
        <w:tc>
          <w:tcPr>
            <w:tcW w:w="52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20" w:hanging="313"/>
        <w:spacing w:after="0"/>
        <w:tabs>
          <w:tab w:leader="none" w:pos="3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4" w:lineRule="exact"/>
        <w:rPr>
          <w:rFonts w:ascii="Arial" w:cs="Arial" w:eastAsia="Arial" w:hAnsi="Arial"/>
          <w:sz w:val="18"/>
          <w:szCs w:val="18"/>
          <w:b w:val="1"/>
          <w:bCs w:val="1"/>
          <w:color w:val="auto"/>
        </w:rPr>
      </w:pPr>
    </w:p>
    <w:p>
      <w:pPr>
        <w:ind w:left="320" w:right="840"/>
        <w:spacing w:after="0" w:line="335" w:lineRule="auto"/>
        <w:rPr>
          <w:rFonts w:ascii="Arial" w:cs="Arial" w:eastAsia="Arial" w:hAnsi="Arial"/>
          <w:sz w:val="18"/>
          <w:szCs w:val="18"/>
          <w:b w:val="1"/>
          <w:bCs w:val="1"/>
          <w:color w:val="auto"/>
        </w:rPr>
      </w:pPr>
      <w:r>
        <w:rPr>
          <w:rFonts w:ascii="Arial" w:cs="Arial" w:eastAsia="Arial" w:hAnsi="Arial"/>
          <w:sz w:val="16"/>
          <w:szCs w:val="16"/>
          <w:color w:val="auto"/>
        </w:rPr>
        <w:t>At December 31, 2022, certain of our cash and short-term investments were held and managed by BlackRock, Inc. which owns 15.9% of our outstanding common stock as reported in its Form 13-G/A filing made with the Securities and Exchange Commission on January 20, 2023.</w:t>
      </w:r>
    </w:p>
    <w:p>
      <w:pPr>
        <w:spacing w:after="0" w:line="128" w:lineRule="exact"/>
        <w:rPr>
          <w:rFonts w:ascii="Arial" w:cs="Arial" w:eastAsia="Arial" w:hAnsi="Arial"/>
          <w:sz w:val="18"/>
          <w:szCs w:val="18"/>
          <w:b w:val="1"/>
          <w:bCs w:val="1"/>
          <w:color w:val="auto"/>
        </w:rPr>
      </w:pPr>
    </w:p>
    <w:p>
      <w:pPr>
        <w:ind w:left="32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an ownership interest in Fraes-und Technologiezentrum GmbH Frasdorf (“FTZ”), a company based in Germany that provides milling services to one of our wholly owned subsidiaries. This investment is accounted for under the equity method and is not material to our consolidated balance sheets. During 2022, 2021 and 2020, purchases of products from FTZ were not material.</w:t>
      </w:r>
    </w:p>
    <w:p>
      <w:pPr>
        <w:spacing w:after="0" w:line="185" w:lineRule="exact"/>
        <w:rPr>
          <w:rFonts w:ascii="Arial" w:cs="Arial" w:eastAsia="Arial" w:hAnsi="Arial"/>
          <w:sz w:val="18"/>
          <w:szCs w:val="18"/>
          <w:b w:val="1"/>
          <w:bCs w:val="1"/>
          <w:color w:val="auto"/>
        </w:rPr>
      </w:pPr>
    </w:p>
    <w:p>
      <w:pPr>
        <w:ind w:left="32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also had an ownership interest in ETZ Elektrisches Testzentrum fuer Leiterplatten GmbH (“ETZ”) which provided our PCB Test business, atg-Luther &amp; Maelzer GmbH, with certain component parts. Our ownership interest in ETZ was transferred on June 24, 2021 as part of the sale of the PCB Test business and ETZ is no longer a related party. During 2021 and 2020, purchases of products from ETZ, when it was a related party, were not material.</w:t>
      </w:r>
    </w:p>
    <w:p>
      <w:pPr>
        <w:spacing w:after="0" w:line="200" w:lineRule="exact"/>
        <w:rPr>
          <w:rFonts w:ascii="Arial" w:cs="Arial" w:eastAsia="Arial" w:hAnsi="Arial"/>
          <w:sz w:val="18"/>
          <w:szCs w:val="18"/>
          <w:b w:val="1"/>
          <w:bCs w:val="1"/>
          <w:color w:val="auto"/>
        </w:rPr>
      </w:pPr>
    </w:p>
    <w:p>
      <w:pPr>
        <w:spacing w:after="0" w:line="226" w:lineRule="exact"/>
        <w:rPr>
          <w:rFonts w:ascii="Arial" w:cs="Arial" w:eastAsia="Arial" w:hAnsi="Arial"/>
          <w:sz w:val="18"/>
          <w:szCs w:val="18"/>
          <w:b w:val="1"/>
          <w:bCs w:val="1"/>
          <w:color w:val="auto"/>
        </w:rPr>
      </w:pPr>
    </w:p>
    <w:p>
      <w:pPr>
        <w:ind w:left="320" w:hanging="313"/>
        <w:spacing w:after="0"/>
        <w:tabs>
          <w:tab w:leader="none" w:pos="3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4" w:lineRule="exact"/>
        <w:rPr>
          <w:rFonts w:ascii="Arial" w:cs="Arial" w:eastAsia="Arial" w:hAnsi="Arial"/>
          <w:sz w:val="18"/>
          <w:szCs w:val="18"/>
          <w:b w:val="1"/>
          <w:bCs w:val="1"/>
          <w:color w:val="auto"/>
        </w:rPr>
      </w:pPr>
    </w:p>
    <w:p>
      <w:pPr>
        <w:ind w:left="3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On January 30, 2023, we completed the acquisition of all the outstanding membership units of MCT Worldwide, LLC. (“MCT”), pursuant to a membership unit purchase agreement dated January 30, 2023, by and among MCT Worldwide, LLC, Arise Acquisition Co., LLC, The Seaport Group LLC Profit Sharing Plan, and Delta Design, Inc., a wholly owned subsidiary of Cohu (“the Acquisition”). MCT is a U.S. based company with a principal manufacturing site in Penang Malaysia. MCT provides automated solutions for the semiconductor industry and designs, manufactures, markets, services and distributes strip test handlers, film frame handlers and laser mark handlers. On January 30, 2023, we made a cash payment totaling $28.0 million for MCT. The Acquisition is a cash free debt free transaction and is subject to a working capital adjustment for the difference between the actual and estimated net working capital. In connection with the Acquisition, we incurred approximately $0.1 million in acquisition-related costs, which were expensed as selling, general and administrative costs during the year ended December 31, 2022. Additional acquisition-related costs will be incurred during fiscal 2023.</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audited the accompanying consolidated balance sheets of Cohu, Inc. (the Company) as of December 31, 2022 and December 25, 2021, and the related consolidated statements of operations, comprehensive income, stockholders’ equity, and cash flows for each of the three years in the period ended December 31, 2022,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December 31, 2022 and December 25, 2021, and the results of its operations and its cash flows for each of the three years in the period ended December 31, 2022, in conformity with U.S. generally accepted accounting principles.</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17, 2023 expressed an unqualified opinion thereon.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3"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2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i w:val="1"/>
          <w:iCs w:val="1"/>
          <w:color w:val="auto"/>
        </w:rPr>
        <w:t>Description of</w:t>
      </w:r>
      <w:r>
        <w:rPr>
          <w:sz w:val="20"/>
          <w:szCs w:val="20"/>
          <w:color w:val="auto"/>
        </w:rPr>
        <w:tab/>
      </w:r>
      <w:r>
        <w:rPr>
          <w:rFonts w:ascii="Arial" w:cs="Arial" w:eastAsia="Arial" w:hAnsi="Arial"/>
          <w:sz w:val="16"/>
          <w:szCs w:val="16"/>
          <w:color w:val="auto"/>
        </w:rPr>
        <w:t>As of December 31, 2022, the Company’s consolidated inventories balance was $170.1 million. As described in Note 1 to the</w:t>
      </w:r>
    </w:p>
    <w:p>
      <w:pPr>
        <w:spacing w:after="0" w:line="7" w:lineRule="exact"/>
        <w:rPr>
          <w:sz w:val="20"/>
          <w:szCs w:val="20"/>
          <w:color w:val="auto"/>
        </w:rPr>
      </w:pPr>
    </w:p>
    <w:p>
      <w:pPr>
        <w:ind w:left="1480" w:right="280" w:hanging="1470"/>
        <w:spacing w:after="0" w:line="252" w:lineRule="auto"/>
        <w:tabs>
          <w:tab w:leader="none" w:pos="1460" w:val="left"/>
        </w:tabs>
        <w:rPr>
          <w:sz w:val="20"/>
          <w:szCs w:val="20"/>
          <w:color w:val="auto"/>
        </w:rPr>
      </w:pPr>
      <w:r>
        <w:rPr>
          <w:rFonts w:ascii="Arial" w:cs="Arial" w:eastAsia="Arial" w:hAnsi="Arial"/>
          <w:sz w:val="18"/>
          <w:szCs w:val="18"/>
          <w:i w:val="1"/>
          <w:iCs w:val="1"/>
          <w:color w:val="auto"/>
        </w:rPr>
        <w:t>the Matter</w:t>
      </w:r>
      <w:r>
        <w:rPr>
          <w:sz w:val="20"/>
          <w:szCs w:val="20"/>
          <w:color w:val="auto"/>
        </w:rPr>
        <w:tab/>
      </w:r>
      <w:r>
        <w:rPr>
          <w:rFonts w:ascii="Arial" w:cs="Arial" w:eastAsia="Arial" w:hAnsi="Arial"/>
          <w:sz w:val="18"/>
          <w:szCs w:val="18"/>
          <w:color w:val="auto"/>
        </w:rPr>
        <w:t>consolidated financial statements, the Company values its inventories at lower of cost, determined on a first-in, first-out basis, or net realizable value. Obsolete inventory or inventory in excess of management's estimated usage requirement is written down to its estimated net realizable value.</w:t>
      </w:r>
    </w:p>
    <w:p>
      <w:pPr>
        <w:spacing w:after="0" w:line="191" w:lineRule="exact"/>
        <w:rPr>
          <w:sz w:val="20"/>
          <w:szCs w:val="20"/>
          <w:color w:val="auto"/>
        </w:rPr>
      </w:pPr>
    </w:p>
    <w:p>
      <w:pPr>
        <w:ind w:left="1480" w:right="40"/>
        <w:spacing w:after="0" w:line="255" w:lineRule="auto"/>
        <w:rPr>
          <w:sz w:val="20"/>
          <w:szCs w:val="20"/>
          <w:color w:val="auto"/>
        </w:rPr>
      </w:pPr>
      <w:r>
        <w:rPr>
          <w:rFonts w:ascii="Arial" w:cs="Arial" w:eastAsia="Arial" w:hAnsi="Arial"/>
          <w:sz w:val="18"/>
          <w:szCs w:val="18"/>
          <w:color w:val="auto"/>
        </w:rPr>
        <w:t>Auditing management’s estimates for excess and obsolete inventory involved subjective auditor judgment because the estimates rely on a number of factors that are affected by market and economic conditions outside the Company's control. In particular, the excess and obsolete inventory calculations are sensitive to significant assumptions, including product expectations and expected future usage of individual materials.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9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9900" w:type="dxa"/>
            <w:vAlign w:val="bottom"/>
          </w:tcPr>
          <w:p>
            <w:pPr>
              <w:ind w:left="200"/>
              <w:spacing w:after="0"/>
              <w:rPr>
                <w:sz w:val="20"/>
                <w:szCs w:val="20"/>
                <w:color w:val="auto"/>
              </w:rPr>
            </w:pPr>
            <w:r>
              <w:rPr>
                <w:rFonts w:ascii="Arial" w:cs="Arial" w:eastAsia="Arial" w:hAnsi="Arial"/>
                <w:sz w:val="18"/>
                <w:szCs w:val="18"/>
                <w:color w:val="auto"/>
                <w:w w:val="92"/>
              </w:rPr>
              <w:t>We obtained an understanding, evaluated the design and tested the operating effectiveness of internal controls over the Company's</w:t>
            </w:r>
          </w:p>
        </w:tc>
        <w:tc>
          <w:tcPr>
            <w:tcW w:w="0" w:type="dxa"/>
            <w:vAlign w:val="bottom"/>
          </w:tcPr>
          <w:p>
            <w:pPr>
              <w:spacing w:after="0"/>
              <w:rPr>
                <w:sz w:val="1"/>
                <w:szCs w:val="1"/>
                <w:color w:val="auto"/>
              </w:rPr>
            </w:pPr>
          </w:p>
        </w:tc>
      </w:tr>
      <w:tr>
        <w:trPr>
          <w:trHeight w:val="214"/>
        </w:trPr>
        <w:tc>
          <w:tcPr>
            <w:tcW w:w="1280" w:type="dxa"/>
            <w:vAlign w:val="bottom"/>
          </w:tcPr>
          <w:p>
            <w:pPr>
              <w:spacing w:after="0"/>
              <w:rPr>
                <w:sz w:val="20"/>
                <w:szCs w:val="20"/>
                <w:color w:val="auto"/>
              </w:rPr>
            </w:pPr>
            <w:r>
              <w:rPr>
                <w:rFonts w:ascii="Arial" w:cs="Arial" w:eastAsia="Arial" w:hAnsi="Arial"/>
                <w:sz w:val="18"/>
                <w:szCs w:val="18"/>
                <w:i w:val="1"/>
                <w:iCs w:val="1"/>
                <w:color w:val="auto"/>
              </w:rPr>
              <w:t>Addressed the</w:t>
            </w:r>
          </w:p>
        </w:tc>
        <w:tc>
          <w:tcPr>
            <w:tcW w:w="9900" w:type="dxa"/>
            <w:vAlign w:val="bottom"/>
          </w:tcPr>
          <w:p>
            <w:pPr>
              <w:ind w:left="200"/>
              <w:spacing w:after="0"/>
              <w:rPr>
                <w:sz w:val="20"/>
                <w:szCs w:val="20"/>
                <w:color w:val="auto"/>
              </w:rPr>
            </w:pPr>
            <w:r>
              <w:rPr>
                <w:rFonts w:ascii="Arial" w:cs="Arial" w:eastAsia="Arial" w:hAnsi="Arial"/>
                <w:sz w:val="18"/>
                <w:szCs w:val="18"/>
                <w:color w:val="auto"/>
                <w:w w:val="93"/>
              </w:rPr>
              <w:t>excess and obsolete inventory valuation process, including management's assessment of the assumptions stated above and data</w:t>
            </w:r>
          </w:p>
        </w:tc>
        <w:tc>
          <w:tcPr>
            <w:tcW w:w="0" w:type="dxa"/>
            <w:vAlign w:val="bottom"/>
          </w:tcPr>
          <w:p>
            <w:pPr>
              <w:spacing w:after="0"/>
              <w:rPr>
                <w:sz w:val="1"/>
                <w:szCs w:val="1"/>
                <w:color w:val="auto"/>
              </w:rPr>
            </w:pPr>
          </w:p>
        </w:tc>
      </w:tr>
      <w:tr>
        <w:trPr>
          <w:trHeight w:val="214"/>
        </w:trPr>
        <w:tc>
          <w:tcPr>
            <w:tcW w:w="1280" w:type="dxa"/>
            <w:vAlign w:val="bottom"/>
          </w:tcPr>
          <w:p>
            <w:pPr>
              <w:spacing w:after="0"/>
              <w:rPr>
                <w:sz w:val="20"/>
                <w:szCs w:val="20"/>
                <w:color w:val="auto"/>
              </w:rPr>
            </w:pPr>
            <w:r>
              <w:rPr>
                <w:rFonts w:ascii="Arial" w:cs="Arial" w:eastAsia="Arial" w:hAnsi="Arial"/>
                <w:sz w:val="18"/>
                <w:szCs w:val="18"/>
                <w:i w:val="1"/>
                <w:iCs w:val="1"/>
                <w:color w:val="auto"/>
              </w:rPr>
              <w:t>Matter in Our</w:t>
            </w:r>
          </w:p>
        </w:tc>
        <w:tc>
          <w:tcPr>
            <w:tcW w:w="9900" w:type="dxa"/>
            <w:vAlign w:val="bottom"/>
          </w:tcPr>
          <w:p>
            <w:pPr>
              <w:ind w:left="200"/>
              <w:spacing w:after="0"/>
              <w:rPr>
                <w:sz w:val="20"/>
                <w:szCs w:val="20"/>
                <w:color w:val="auto"/>
              </w:rPr>
            </w:pPr>
            <w:r>
              <w:rPr>
                <w:rFonts w:ascii="Arial" w:cs="Arial" w:eastAsia="Arial" w:hAnsi="Arial"/>
                <w:sz w:val="18"/>
                <w:szCs w:val="18"/>
                <w:color w:val="auto"/>
              </w:rPr>
              <w:t>underlying the excess and obsolete inventory valuation.</w:t>
            </w:r>
          </w:p>
        </w:tc>
        <w:tc>
          <w:tcPr>
            <w:tcW w:w="0" w:type="dxa"/>
            <w:vAlign w:val="bottom"/>
          </w:tcPr>
          <w:p>
            <w:pPr>
              <w:spacing w:after="0"/>
              <w:rPr>
                <w:sz w:val="1"/>
                <w:szCs w:val="1"/>
                <w:color w:val="auto"/>
              </w:rPr>
            </w:pPr>
          </w:p>
        </w:tc>
      </w:tr>
      <w:tr>
        <w:trPr>
          <w:trHeight w:val="227"/>
        </w:trPr>
        <w:tc>
          <w:tcPr>
            <w:tcW w:w="128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9900" w:type="dxa"/>
            <w:vAlign w:val="bottom"/>
            <w:vMerge w:val="restart"/>
          </w:tcPr>
          <w:p>
            <w:pPr>
              <w:ind w:left="200"/>
              <w:spacing w:after="0"/>
              <w:rPr>
                <w:sz w:val="20"/>
                <w:szCs w:val="20"/>
                <w:color w:val="auto"/>
              </w:rPr>
            </w:pPr>
            <w:r>
              <w:rPr>
                <w:rFonts w:ascii="Arial" w:cs="Arial" w:eastAsia="Arial" w:hAnsi="Arial"/>
                <w:sz w:val="18"/>
                <w:szCs w:val="18"/>
                <w:color w:val="auto"/>
                <w:w w:val="91"/>
              </w:rPr>
              <w:t>To test the valuation of inventories, our audit procedures included, among others, evaluating the significant assumptions stated above</w:t>
            </w: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9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w w:val="88"/>
              </w:rPr>
              <w:t>and testing the completeness and accuracy of the underlying data used by management in the analysis of excess and obsolete inventory.</w:t>
            </w: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w w:val="88"/>
              </w:rPr>
              <w:t>We evaluated adjustments to inventory reserves for specific product expectations, compared the balance of on-hand inventories to usage</w:t>
            </w: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w w:val="90"/>
              </w:rPr>
              <w:t>forecasts and historical usage, and assessed the historical accuracy of management’s estimates by performing a retrospective analysis</w:t>
            </w: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comparing prior period forecasted demand to actual historical sales.</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106"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gridSpan w:val="2"/>
          </w:tcPr>
          <w:p>
            <w:pPr>
              <w:ind w:left="120"/>
              <w:spacing w:after="0"/>
              <w:rPr>
                <w:sz w:val="20"/>
                <w:szCs w:val="20"/>
                <w:color w:val="auto"/>
              </w:rPr>
            </w:pPr>
            <w:r>
              <w:rPr>
                <w:rFonts w:ascii="Arial" w:cs="Arial" w:eastAsia="Arial" w:hAnsi="Arial"/>
                <w:sz w:val="18"/>
                <w:szCs w:val="18"/>
                <w:color w:val="auto"/>
              </w:rPr>
              <w:t>15. (b)</w:t>
            </w:r>
          </w:p>
        </w:tc>
        <w:tc>
          <w:tcPr>
            <w:tcW w:w="9980" w:type="dxa"/>
            <w:vAlign w:val="bottom"/>
            <w:gridSpan w:val="20"/>
          </w:tcPr>
          <w:p>
            <w:pPr>
              <w:spacing w:after="0"/>
              <w:rPr>
                <w:sz w:val="20"/>
                <w:szCs w:val="20"/>
                <w:color w:val="auto"/>
              </w:rPr>
            </w:pPr>
            <w:r>
              <w:rPr>
                <w:rFonts w:ascii="Arial" w:cs="Arial" w:eastAsia="Arial" w:hAnsi="Arial"/>
                <w:sz w:val="18"/>
                <w:szCs w:val="18"/>
                <w:color w:val="auto"/>
              </w:rPr>
              <w:t>The following exhibits are filed as part of, or incorporated into, the 2022 Cohu, Inc. Annual Report on Form 10-K:</w:t>
            </w:r>
          </w:p>
        </w:tc>
      </w:tr>
      <w:tr>
        <w:trPr>
          <w:trHeight w:val="38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38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9100" w:type="dxa"/>
            <w:vAlign w:val="bottom"/>
            <w:gridSpan w:val="19"/>
          </w:tcPr>
          <w:p>
            <w:pPr>
              <w:spacing w:after="0"/>
              <w:rPr>
                <w:sz w:val="24"/>
                <w:szCs w:val="24"/>
                <w:color w:val="auto"/>
              </w:rPr>
            </w:pPr>
          </w:p>
        </w:tc>
      </w:tr>
      <w:tr>
        <w:trPr>
          <w:trHeight w:val="408"/>
        </w:trPr>
        <w:tc>
          <w:tcPr>
            <w:tcW w:w="880" w:type="dxa"/>
            <w:vAlign w:val="bottom"/>
          </w:tcPr>
          <w:p>
            <w:pPr>
              <w:ind w:left="12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w w:val="95"/>
              </w:rPr>
            </w:pPr>
            <w:hyperlink r:id="rId120">
              <w:r>
                <w:rPr>
                  <w:rFonts w:ascii="Arial" w:cs="Arial" w:eastAsia="Arial" w:hAnsi="Arial"/>
                  <w:sz w:val="18"/>
                  <w:szCs w:val="18"/>
                  <w:color w:val="0000EE"/>
                  <w:w w:val="95"/>
                </w:rPr>
                <w:t>Amended and Restated Certificate of Incorporation of Cohu, Inc. incorporated herein by reference to Exhibit 3.1 from the Cohu, Inc.</w:t>
              </w:r>
            </w:hyperlink>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40" w:type="dxa"/>
            <w:vAlign w:val="bottom"/>
            <w:tcBorders>
              <w:top w:val="single" w:sz="8" w:color="0000EE"/>
              <w:bottom w:val="single" w:sz="8" w:color="0000EE"/>
            </w:tcBorders>
            <w:gridSpan w:val="7"/>
          </w:tcPr>
          <w:p>
            <w:pPr>
              <w:spacing w:after="0" w:line="194"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Current Report on Form 8-K (file no. 001-04298) filed with the Securities and Exchange Commission on May 5, 2022</w:t>
              </w:r>
            </w:hyperlink>
          </w:p>
        </w:tc>
        <w:tc>
          <w:tcPr>
            <w:tcW w:w="1020" w:type="dxa"/>
            <w:vAlign w:val="bottom"/>
            <w:tcBorders>
              <w:top w:val="single" w:sz="8" w:color="0000EE"/>
            </w:tcBorders>
            <w:gridSpan w:val="4"/>
          </w:tcPr>
          <w:p>
            <w:pPr>
              <w:spacing w:after="0"/>
              <w:rPr>
                <w:sz w:val="16"/>
                <w:szCs w:val="16"/>
                <w:color w:val="auto"/>
              </w:rPr>
            </w:pPr>
          </w:p>
        </w:tc>
        <w:tc>
          <w:tcPr>
            <w:tcW w:w="520" w:type="dxa"/>
            <w:vAlign w:val="bottom"/>
            <w:gridSpan w:val="9"/>
          </w:tcPr>
          <w:p>
            <w:pPr>
              <w:spacing w:after="0"/>
              <w:rPr>
                <w:sz w:val="16"/>
                <w:szCs w:val="16"/>
                <w:color w:val="auto"/>
              </w:rPr>
            </w:pPr>
          </w:p>
        </w:tc>
      </w:tr>
      <w:tr>
        <w:trPr>
          <w:trHeight w:val="408"/>
        </w:trPr>
        <w:tc>
          <w:tcPr>
            <w:tcW w:w="880" w:type="dxa"/>
            <w:vAlign w:val="bottom"/>
          </w:tcPr>
          <w:p>
            <w:pPr>
              <w:ind w:left="12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9820" w:type="dxa"/>
            <w:vAlign w:val="bottom"/>
            <w:tcBorders>
              <w:bottom w:val="single" w:sz="8" w:color="0000EE"/>
            </w:tcBorders>
            <w:gridSpan w:val="17"/>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Amended and Restated Bylaws of Cohu, Inc. incorporated herein by reference to Exhibit 3.2 from the Cohu, Inc. Current Report on Form</w:t>
              </w:r>
            </w:hyperlink>
          </w:p>
        </w:tc>
        <w:tc>
          <w:tcPr>
            <w:tcW w:w="160" w:type="dxa"/>
            <w:vAlign w:val="bottom"/>
            <w:gridSpan w:val="3"/>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760" w:type="dxa"/>
            <w:vAlign w:val="bottom"/>
            <w:tcBorders>
              <w:bottom w:val="single" w:sz="8" w:color="0000EE"/>
            </w:tcBorders>
            <w:gridSpan w:val="6"/>
          </w:tcPr>
          <w:p>
            <w:pPr>
              <w:spacing w:after="0" w:line="194"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8-K (file no. 001-04298) filed with the Securities and Exchange Commission on May 17, 2018</w:t>
              </w:r>
            </w:hyperlink>
          </w:p>
        </w:tc>
        <w:tc>
          <w:tcPr>
            <w:tcW w:w="3220" w:type="dxa"/>
            <w:vAlign w:val="bottom"/>
            <w:gridSpan w:val="14"/>
          </w:tcPr>
          <w:p>
            <w:pPr>
              <w:spacing w:after="0"/>
              <w:rPr>
                <w:sz w:val="16"/>
                <w:szCs w:val="16"/>
                <w:color w:val="auto"/>
              </w:rPr>
            </w:pPr>
          </w:p>
        </w:tc>
      </w:tr>
      <w:tr>
        <w:trPr>
          <w:trHeight w:val="408"/>
        </w:trPr>
        <w:tc>
          <w:tcPr>
            <w:tcW w:w="880" w:type="dxa"/>
            <w:vAlign w:val="bottom"/>
          </w:tcPr>
          <w:p>
            <w:pPr>
              <w:ind w:left="12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9980" w:type="dxa"/>
            <w:vAlign w:val="bottom"/>
            <w:gridSpan w:val="20"/>
          </w:tcPr>
          <w:p>
            <w:pPr>
              <w:spacing w:after="0"/>
              <w:rPr>
                <w:sz w:val="20"/>
                <w:szCs w:val="20"/>
                <w:color w:val="auto"/>
              </w:rPr>
            </w:pPr>
            <w:r>
              <w:rPr>
                <w:rFonts w:ascii="Arial" w:cs="Arial" w:eastAsia="Arial" w:hAnsi="Arial"/>
                <w:sz w:val="18"/>
                <w:szCs w:val="18"/>
                <w:color w:val="0000EE"/>
              </w:rPr>
              <w:t>Description of Capital Stock</w:t>
            </w:r>
          </w:p>
        </w:tc>
      </w:tr>
      <w:tr>
        <w:trPr>
          <w:trHeight w:val="20"/>
        </w:trPr>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880" w:type="dxa"/>
            <w:vAlign w:val="bottom"/>
          </w:tcPr>
          <w:p>
            <w:pPr>
              <w:ind w:left="12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9720" w:type="dxa"/>
            <w:vAlign w:val="bottom"/>
            <w:tcBorders>
              <w:bottom w:val="single" w:sz="8" w:color="0000EE"/>
            </w:tcBorders>
            <w:gridSpan w:val="14"/>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Credit and Guaranty Agreement dated as of October 1, 2018, by and among Cohu, Inc., Certain Subsidiaries of Cohu, Inc. and Deutsche</w:t>
              </w:r>
            </w:hyperlink>
          </w:p>
        </w:tc>
        <w:tc>
          <w:tcPr>
            <w:tcW w:w="260" w:type="dxa"/>
            <w:vAlign w:val="bottom"/>
            <w:gridSpan w:val="6"/>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60" w:type="dxa"/>
            <w:vAlign w:val="bottom"/>
            <w:tcBorders>
              <w:bottom w:val="single" w:sz="8" w:color="0000EE"/>
            </w:tcBorders>
            <w:gridSpan w:val="18"/>
          </w:tcPr>
          <w:p>
            <w:pPr>
              <w:spacing w:after="0" w:line="194"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Bank AG New York Branch, incorporated herein by reference to Exhibit 10.1 from the Cohu, Inc. Form 10-Q filed with the Securities and</w:t>
              </w:r>
            </w:hyperlink>
          </w:p>
        </w:tc>
        <w:tc>
          <w:tcPr>
            <w:tcW w:w="120" w:type="dxa"/>
            <w:vAlign w:val="bottom"/>
            <w:gridSpan w:val="2"/>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tcBorders>
              <w:bottom w:val="single" w:sz="8" w:color="0000EE"/>
            </w:tcBorders>
            <w:gridSpan w:val="3"/>
          </w:tcPr>
          <w:p>
            <w:pPr>
              <w:spacing w:after="0" w:line="194" w:lineRule="exact"/>
              <w:rPr>
                <w:rFonts w:ascii="Arial" w:cs="Arial" w:eastAsia="Arial" w:hAnsi="Arial"/>
                <w:sz w:val="18"/>
                <w:szCs w:val="18"/>
                <w:color w:val="0000EE"/>
                <w:w w:val="88"/>
              </w:rPr>
            </w:pPr>
            <w:hyperlink r:id="rId122">
              <w:r>
                <w:rPr>
                  <w:rFonts w:ascii="Arial" w:cs="Arial" w:eastAsia="Arial" w:hAnsi="Arial"/>
                  <w:sz w:val="18"/>
                  <w:szCs w:val="18"/>
                  <w:color w:val="0000EE"/>
                  <w:w w:val="88"/>
                </w:rPr>
                <w:t>Exchange Commission on November 7, 2018</w:t>
              </w:r>
            </w:hyperlink>
          </w:p>
        </w:tc>
        <w:tc>
          <w:tcPr>
            <w:tcW w:w="6740" w:type="dxa"/>
            <w:vAlign w:val="bottom"/>
            <w:gridSpan w:val="17"/>
          </w:tcPr>
          <w:p>
            <w:pPr>
              <w:spacing w:after="0"/>
              <w:rPr>
                <w:sz w:val="16"/>
                <w:szCs w:val="16"/>
                <w:color w:val="auto"/>
              </w:rPr>
            </w:pPr>
          </w:p>
        </w:tc>
      </w:tr>
      <w:tr>
        <w:trPr>
          <w:trHeight w:val="408"/>
        </w:trPr>
        <w:tc>
          <w:tcPr>
            <w:tcW w:w="880" w:type="dxa"/>
            <w:vAlign w:val="bottom"/>
          </w:tcPr>
          <w:p>
            <w:pPr>
              <w:ind w:left="12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9700" w:type="dxa"/>
            <w:vAlign w:val="bottom"/>
            <w:tcBorders>
              <w:bottom w:val="single" w:sz="8" w:color="0000EE"/>
            </w:tcBorders>
            <w:gridSpan w:val="13"/>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Pledge and Security Agreement dated as of October 1, 2018, by and among Cohu, Inc., Certain Subsidiaries of Cohu, Inc. and Deutsche</w:t>
              </w:r>
            </w:hyperlink>
          </w:p>
        </w:tc>
        <w:tc>
          <w:tcPr>
            <w:tcW w:w="280" w:type="dxa"/>
            <w:vAlign w:val="bottom"/>
            <w:gridSpan w:val="7"/>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60" w:type="dxa"/>
            <w:vAlign w:val="bottom"/>
            <w:tcBorders>
              <w:bottom w:val="single" w:sz="8" w:color="0000EE"/>
            </w:tcBorders>
            <w:gridSpan w:val="18"/>
          </w:tcPr>
          <w:p>
            <w:pPr>
              <w:spacing w:after="0" w:line="194"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Bank AG New York Branch, incorporated herein by reference to Exhibit 10.2 from the Cohu, Inc. Form 10-Q filed with the Securities and</w:t>
              </w:r>
            </w:hyperlink>
          </w:p>
        </w:tc>
        <w:tc>
          <w:tcPr>
            <w:tcW w:w="120" w:type="dxa"/>
            <w:vAlign w:val="bottom"/>
            <w:gridSpan w:val="2"/>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tcBorders>
              <w:bottom w:val="single" w:sz="8" w:color="0000EE"/>
            </w:tcBorders>
            <w:gridSpan w:val="3"/>
          </w:tcPr>
          <w:p>
            <w:pPr>
              <w:spacing w:after="0" w:line="194" w:lineRule="exact"/>
              <w:rPr>
                <w:rFonts w:ascii="Arial" w:cs="Arial" w:eastAsia="Arial" w:hAnsi="Arial"/>
                <w:sz w:val="18"/>
                <w:szCs w:val="18"/>
                <w:color w:val="0000EE"/>
                <w:w w:val="88"/>
              </w:rPr>
            </w:pPr>
            <w:hyperlink r:id="rId123">
              <w:r>
                <w:rPr>
                  <w:rFonts w:ascii="Arial" w:cs="Arial" w:eastAsia="Arial" w:hAnsi="Arial"/>
                  <w:sz w:val="18"/>
                  <w:szCs w:val="18"/>
                  <w:color w:val="0000EE"/>
                  <w:w w:val="88"/>
                </w:rPr>
                <w:t>Exchange Commission on November 7, 2018</w:t>
              </w:r>
            </w:hyperlink>
          </w:p>
        </w:tc>
        <w:tc>
          <w:tcPr>
            <w:tcW w:w="6740" w:type="dxa"/>
            <w:vAlign w:val="bottom"/>
            <w:gridSpan w:val="17"/>
          </w:tcPr>
          <w:p>
            <w:pPr>
              <w:spacing w:after="0"/>
              <w:rPr>
                <w:sz w:val="16"/>
                <w:szCs w:val="16"/>
                <w:color w:val="auto"/>
              </w:rPr>
            </w:pPr>
          </w:p>
        </w:tc>
      </w:tr>
      <w:tr>
        <w:trPr>
          <w:trHeight w:val="408"/>
        </w:trPr>
        <w:tc>
          <w:tcPr>
            <w:tcW w:w="880" w:type="dxa"/>
            <w:vAlign w:val="bottom"/>
          </w:tcPr>
          <w:p>
            <w:pPr>
              <w:ind w:left="12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9920" w:type="dxa"/>
            <w:vAlign w:val="bottom"/>
            <w:tcBorders>
              <w:bottom w:val="single" w:sz="8" w:color="0000EE"/>
            </w:tcBorders>
            <w:gridSpan w:val="19"/>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Amended Cohu, Inc. 2005 Equity Incentive Plan incorporated herein by reference to Appendix A from the Cohu, Inc. Form DEF 14A filed</w:t>
              </w:r>
            </w:hyperlink>
          </w:p>
        </w:tc>
        <w:tc>
          <w:tcPr>
            <w:tcW w:w="60" w:type="dxa"/>
            <w:vAlign w:val="bottom"/>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80" w:type="dxa"/>
            <w:vAlign w:val="bottom"/>
            <w:gridSpan w:val="20"/>
          </w:tcPr>
          <w:p>
            <w:pPr>
              <w:spacing w:after="0" w:line="194" w:lineRule="exact"/>
              <w:rPr>
                <w:rFonts w:ascii="Arial" w:cs="Arial" w:eastAsia="Arial" w:hAnsi="Arial"/>
                <w:sz w:val="18"/>
                <w:szCs w:val="18"/>
                <w:color w:val="0000EE"/>
              </w:rPr>
            </w:pPr>
            <w:hyperlink r:id="rId124">
              <w:r>
                <w:rPr>
                  <w:rFonts w:ascii="Arial" w:cs="Arial" w:eastAsia="Arial" w:hAnsi="Arial"/>
                  <w:sz w:val="18"/>
                  <w:szCs w:val="18"/>
                  <w:color w:val="0000EE"/>
                </w:rPr>
                <w:t>with the Securities and Exchange Commission on March 28, 2019*</w:t>
              </w:r>
            </w:hyperlink>
          </w:p>
        </w:tc>
      </w:tr>
      <w:tr>
        <w:trPr>
          <w:trHeight w:val="20"/>
        </w:trPr>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40" w:type="dxa"/>
            <w:vAlign w:val="bottom"/>
            <w:gridSpan w:val="4"/>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08"/>
        </w:trPr>
        <w:tc>
          <w:tcPr>
            <w:tcW w:w="880" w:type="dxa"/>
            <w:vAlign w:val="bottom"/>
          </w:tcPr>
          <w:p>
            <w:pPr>
              <w:ind w:left="12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9700" w:type="dxa"/>
            <w:vAlign w:val="bottom"/>
            <w:tcBorders>
              <w:bottom w:val="single" w:sz="8" w:color="0000EE"/>
            </w:tcBorders>
            <w:gridSpan w:val="13"/>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Amended Cohu, Inc. 1997 Employee Stock Purchase Plan, herein by reference to Appendix B from the Cohu, Inc. Form DEF 14A filed</w:t>
              </w:r>
            </w:hyperlink>
          </w:p>
        </w:tc>
        <w:tc>
          <w:tcPr>
            <w:tcW w:w="280" w:type="dxa"/>
            <w:vAlign w:val="bottom"/>
            <w:gridSpan w:val="7"/>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80" w:type="dxa"/>
            <w:vAlign w:val="bottom"/>
            <w:gridSpan w:val="20"/>
          </w:tcPr>
          <w:p>
            <w:pPr>
              <w:spacing w:after="0" w:line="194" w:lineRule="exact"/>
              <w:rPr>
                <w:rFonts w:ascii="Arial" w:cs="Arial" w:eastAsia="Arial" w:hAnsi="Arial"/>
                <w:sz w:val="18"/>
                <w:szCs w:val="18"/>
                <w:color w:val="0000EE"/>
              </w:rPr>
            </w:pPr>
            <w:hyperlink r:id="rId125">
              <w:r>
                <w:rPr>
                  <w:rFonts w:ascii="Arial" w:cs="Arial" w:eastAsia="Arial" w:hAnsi="Arial"/>
                  <w:sz w:val="18"/>
                  <w:szCs w:val="18"/>
                  <w:color w:val="0000EE"/>
                </w:rPr>
                <w:t>with the Securities and Exchange Commission on March 28, 2019*</w:t>
              </w:r>
            </w:hyperlink>
          </w:p>
        </w:tc>
      </w:tr>
      <w:tr>
        <w:trPr>
          <w:trHeight w:val="20"/>
        </w:trPr>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40" w:type="dxa"/>
            <w:vAlign w:val="bottom"/>
            <w:gridSpan w:val="4"/>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08"/>
        </w:trPr>
        <w:tc>
          <w:tcPr>
            <w:tcW w:w="880" w:type="dxa"/>
            <w:vAlign w:val="bottom"/>
          </w:tcPr>
          <w:p>
            <w:pPr>
              <w:ind w:left="120"/>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4"/>
                <w:szCs w:val="24"/>
                <w:color w:val="auto"/>
              </w:rPr>
            </w:pPr>
          </w:p>
        </w:tc>
        <w:tc>
          <w:tcPr>
            <w:tcW w:w="9680" w:type="dxa"/>
            <w:vAlign w:val="bottom"/>
            <w:tcBorders>
              <w:bottom w:val="single" w:sz="8" w:color="0000EE"/>
            </w:tcBorders>
            <w:gridSpan w:val="12"/>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Cohu, Inc. Deferred Compensation Plan (as amended and restated) incorporated herein by reference to Exhibit 10.1 from the Cohu, Inc.</w:t>
              </w:r>
            </w:hyperlink>
          </w:p>
        </w:tc>
        <w:tc>
          <w:tcPr>
            <w:tcW w:w="300" w:type="dxa"/>
            <w:vAlign w:val="bottom"/>
            <w:gridSpan w:val="8"/>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80" w:type="dxa"/>
            <w:vAlign w:val="bottom"/>
            <w:gridSpan w:val="20"/>
          </w:tcPr>
          <w:p>
            <w:pPr>
              <w:spacing w:after="0" w:line="194" w:lineRule="exact"/>
              <w:rPr>
                <w:rFonts w:ascii="Arial" w:cs="Arial" w:eastAsia="Arial" w:hAnsi="Arial"/>
                <w:sz w:val="18"/>
                <w:szCs w:val="18"/>
                <w:color w:val="0000EE"/>
              </w:rPr>
            </w:pPr>
            <w:hyperlink r:id="rId126">
              <w:r>
                <w:rPr>
                  <w:rFonts w:ascii="Arial" w:cs="Arial" w:eastAsia="Arial" w:hAnsi="Arial"/>
                  <w:sz w:val="18"/>
                  <w:szCs w:val="18"/>
                  <w:color w:val="0000EE"/>
                </w:rPr>
                <w:t>Current Report on Form 8-K (file no. 001-04298) filed with the Securities and Exchange Commission on December 29, 2008*</w:t>
              </w:r>
            </w:hyperlink>
          </w:p>
        </w:tc>
      </w:tr>
      <w:tr>
        <w:trPr>
          <w:trHeight w:val="20"/>
        </w:trPr>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40" w:type="dxa"/>
            <w:vAlign w:val="bottom"/>
            <w:gridSpan w:val="4"/>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08"/>
        </w:trPr>
        <w:tc>
          <w:tcPr>
            <w:tcW w:w="880" w:type="dxa"/>
            <w:vAlign w:val="bottom"/>
          </w:tcPr>
          <w:p>
            <w:pPr>
              <w:ind w:left="12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4"/>
                <w:szCs w:val="24"/>
                <w:color w:val="auto"/>
              </w:rPr>
            </w:pPr>
          </w:p>
        </w:tc>
        <w:tc>
          <w:tcPr>
            <w:tcW w:w="9360" w:type="dxa"/>
            <w:vAlign w:val="bottom"/>
            <w:tcBorders>
              <w:bottom w:val="single" w:sz="8" w:color="0000EE"/>
            </w:tcBorders>
            <w:gridSpan w:val="10"/>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Form of employee restricted stock unit agreement for use with restricted stock units granted pursuant to the Cohu, Inc. 2005 Equity</w:t>
              </w:r>
            </w:hyperlink>
          </w:p>
        </w:tc>
        <w:tc>
          <w:tcPr>
            <w:tcW w:w="620" w:type="dxa"/>
            <w:vAlign w:val="bottom"/>
            <w:gridSpan w:val="10"/>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60" w:type="dxa"/>
            <w:vAlign w:val="bottom"/>
            <w:tcBorders>
              <w:bottom w:val="single" w:sz="8" w:color="0000EE"/>
            </w:tcBorders>
            <w:gridSpan w:val="9"/>
          </w:tcPr>
          <w:p>
            <w:pPr>
              <w:spacing w:after="0" w:line="194"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Incentive Plan incorporated herein by reference to Exhibit 10.1 from the Cohu, Inc. Quarterly Report on Form 10-Q filed with the</w:t>
              </w:r>
            </w:hyperlink>
          </w:p>
        </w:tc>
        <w:tc>
          <w:tcPr>
            <w:tcW w:w="720" w:type="dxa"/>
            <w:vAlign w:val="bottom"/>
            <w:gridSpan w:val="11"/>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Borders>
              <w:bottom w:val="single" w:sz="8" w:color="0000EE"/>
            </w:tcBorders>
            <w:gridSpan w:val="4"/>
          </w:tcPr>
          <w:p>
            <w:pPr>
              <w:spacing w:after="0" w:line="194"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Securities and Exchange Commission on August 4, 2015*</w:t>
              </w:r>
            </w:hyperlink>
          </w:p>
        </w:tc>
        <w:tc>
          <w:tcPr>
            <w:tcW w:w="5840" w:type="dxa"/>
            <w:vAlign w:val="bottom"/>
            <w:gridSpan w:val="16"/>
          </w:tcPr>
          <w:p>
            <w:pPr>
              <w:spacing w:after="0"/>
              <w:rPr>
                <w:sz w:val="16"/>
                <w:szCs w:val="16"/>
                <w:color w:val="auto"/>
              </w:rPr>
            </w:pPr>
          </w:p>
        </w:tc>
      </w:tr>
      <w:tr>
        <w:trPr>
          <w:trHeight w:val="408"/>
        </w:trPr>
        <w:tc>
          <w:tcPr>
            <w:tcW w:w="880" w:type="dxa"/>
            <w:vAlign w:val="bottom"/>
          </w:tcPr>
          <w:p>
            <w:pPr>
              <w:ind w:left="12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Form of non-employee director restricted stock unit agreement for use with restricted stock units granted pursuant to the Cohu, Inc. 2005</w:t>
              </w:r>
            </w:hyperlink>
          </w:p>
        </w:tc>
      </w:tr>
      <w:tr>
        <w:trPr>
          <w:trHeight w:val="20"/>
        </w:trPr>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0" w:type="dxa"/>
            <w:vAlign w:val="bottom"/>
            <w:tcBorders>
              <w:right w:val="single" w:sz="8" w:color="0000EE"/>
            </w:tcBorders>
            <w:gridSpan w:val="5"/>
            <w:shd w:val="clear" w:color="auto" w:fill="0000EE"/>
          </w:tcPr>
          <w:p>
            <w:pPr>
              <w:spacing w:after="0" w:line="20" w:lineRule="exact"/>
              <w:rPr>
                <w:sz w:val="1"/>
                <w:szCs w:val="1"/>
                <w:color w:val="auto"/>
              </w:rPr>
            </w:pPr>
          </w:p>
        </w:tc>
        <w:tc>
          <w:tcPr>
            <w:tcW w:w="4960" w:type="dxa"/>
            <w:vAlign w:val="bottom"/>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780" w:type="dxa"/>
            <w:vAlign w:val="bottom"/>
            <w:tcBorders>
              <w:bottom w:val="single" w:sz="8" w:color="0000EE"/>
            </w:tcBorders>
            <w:gridSpan w:val="16"/>
          </w:tcPr>
          <w:p>
            <w:pPr>
              <w:spacing w:after="0" w:line="194"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Equity Incentive Plan incorporated herein by reference to Exhibit 10.2 from the Cohu, Inc. Quarterly Report on Form 10-Q filed with the</w:t>
              </w:r>
            </w:hyperlink>
          </w:p>
        </w:tc>
        <w:tc>
          <w:tcPr>
            <w:tcW w:w="200" w:type="dxa"/>
            <w:vAlign w:val="bottom"/>
            <w:gridSpan w:val="4"/>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Borders>
              <w:bottom w:val="single" w:sz="8" w:color="0000EE"/>
            </w:tcBorders>
            <w:gridSpan w:val="4"/>
          </w:tcPr>
          <w:p>
            <w:pPr>
              <w:spacing w:after="0" w:line="194"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Securities and Exchange Commission on August 4, 2015*</w:t>
              </w:r>
            </w:hyperlink>
          </w:p>
        </w:tc>
        <w:tc>
          <w:tcPr>
            <w:tcW w:w="5840" w:type="dxa"/>
            <w:vAlign w:val="bottom"/>
            <w:gridSpan w:val="16"/>
          </w:tcPr>
          <w:p>
            <w:pPr>
              <w:spacing w:after="0"/>
              <w:rPr>
                <w:sz w:val="16"/>
                <w:szCs w:val="16"/>
                <w:color w:val="auto"/>
              </w:rPr>
            </w:pPr>
          </w:p>
        </w:tc>
      </w:tr>
      <w:tr>
        <w:trPr>
          <w:trHeight w:val="408"/>
        </w:trPr>
        <w:tc>
          <w:tcPr>
            <w:tcW w:w="880" w:type="dxa"/>
            <w:vAlign w:val="bottom"/>
          </w:tcPr>
          <w:p>
            <w:pPr>
              <w:ind w:left="12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24"/>
                <w:szCs w:val="24"/>
                <w:color w:val="auto"/>
              </w:rPr>
            </w:pPr>
          </w:p>
        </w:tc>
        <w:tc>
          <w:tcPr>
            <w:tcW w:w="9860" w:type="dxa"/>
            <w:vAlign w:val="bottom"/>
            <w:tcBorders>
              <w:bottom w:val="single" w:sz="8" w:color="0000EE"/>
            </w:tcBorders>
            <w:gridSpan w:val="18"/>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Form of non-employee director restricted stock unit deferral election form for use with restricted stock units granted pursuant to the Cohu,</w:t>
              </w:r>
            </w:hyperlink>
          </w:p>
        </w:tc>
        <w:tc>
          <w:tcPr>
            <w:tcW w:w="120" w:type="dxa"/>
            <w:vAlign w:val="bottom"/>
            <w:gridSpan w:val="2"/>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80" w:type="dxa"/>
            <w:vAlign w:val="bottom"/>
            <w:gridSpan w:val="20"/>
          </w:tcPr>
          <w:p>
            <w:pPr>
              <w:spacing w:after="0" w:line="194"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Inc. 2005 Equity Incentive Plan incorporated herein by reference to Exhibit 10.3 from the Cohu, Inc. Quarterly Report on Form 10-Q filed</w:t>
              </w:r>
            </w:hyperlink>
          </w:p>
        </w:tc>
      </w:tr>
      <w:tr>
        <w:trPr>
          <w:trHeight w:val="194"/>
        </w:trPr>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60" w:type="dxa"/>
            <w:vAlign w:val="bottom"/>
            <w:tcBorders>
              <w:top w:val="single" w:sz="8" w:color="0000EE"/>
            </w:tcBorders>
            <w:gridSpan w:val="18"/>
          </w:tcPr>
          <w:p>
            <w:pPr>
              <w:spacing w:after="0" w:line="194" w:lineRule="exact"/>
              <w:rPr>
                <w:rFonts w:ascii="Arial" w:cs="Arial" w:eastAsia="Arial" w:hAnsi="Arial"/>
                <w:sz w:val="18"/>
                <w:szCs w:val="18"/>
                <w:color w:val="0000EE"/>
              </w:rPr>
            </w:pPr>
            <w:hyperlink r:id="rId129">
              <w:r>
                <w:rPr>
                  <w:rFonts w:ascii="Arial" w:cs="Arial" w:eastAsia="Arial" w:hAnsi="Arial"/>
                  <w:sz w:val="18"/>
                  <w:szCs w:val="18"/>
                  <w:color w:val="0000EE"/>
                </w:rPr>
                <w:t>with the Securities and Exchange Commission on August 4, 2015*</w:t>
              </w:r>
            </w:hyperlink>
          </w:p>
        </w:tc>
        <w:tc>
          <w:tcPr>
            <w:tcW w:w="120" w:type="dxa"/>
            <w:vAlign w:val="bottom"/>
            <w:gridSpan w:val="2"/>
          </w:tcPr>
          <w:p>
            <w:pPr>
              <w:spacing w:after="0"/>
              <w:rPr>
                <w:sz w:val="16"/>
                <w:szCs w:val="16"/>
                <w:color w:val="auto"/>
              </w:rPr>
            </w:pPr>
          </w:p>
        </w:tc>
      </w:tr>
      <w:tr>
        <w:trPr>
          <w:trHeight w:val="447"/>
        </w:trPr>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tcBorders>
              <w:top w:val="single" w:sz="8" w:color="0000EE"/>
            </w:tcBorders>
            <w:gridSpan w:val="5"/>
          </w:tcPr>
          <w:p>
            <w:pPr>
              <w:ind w:left="4280"/>
              <w:spacing w:after="0"/>
              <w:rPr>
                <w:sz w:val="20"/>
                <w:szCs w:val="20"/>
                <w:color w:val="auto"/>
              </w:rPr>
            </w:pPr>
            <w:r>
              <w:rPr>
                <w:rFonts w:ascii="Arial" w:cs="Arial" w:eastAsia="Arial" w:hAnsi="Arial"/>
                <w:sz w:val="18"/>
                <w:szCs w:val="18"/>
                <w:color w:val="auto"/>
              </w:rPr>
              <w:t>80</w:t>
            </w:r>
          </w:p>
        </w:tc>
        <w:tc>
          <w:tcPr>
            <w:tcW w:w="1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120"/>
              <w:spacing w:after="0"/>
              <w:rPr>
                <w:sz w:val="20"/>
                <w:szCs w:val="20"/>
                <w:color w:val="auto"/>
              </w:rPr>
            </w:pPr>
            <w:r>
              <w:rPr>
                <w:rFonts w:ascii="Arial" w:cs="Arial" w:eastAsia="Arial" w:hAnsi="Arial"/>
                <w:sz w:val="18"/>
                <w:szCs w:val="18"/>
                <w:color w:val="auto"/>
              </w:rPr>
              <w:t>10.9</w:t>
            </w:r>
          </w:p>
        </w:tc>
        <w:tc>
          <w:tcPr>
            <w:tcW w:w="9920" w:type="dxa"/>
            <w:vAlign w:val="bottom"/>
            <w:tcBorders>
              <w:bottom w:val="single" w:sz="8" w:color="0000EE"/>
            </w:tcBorders>
            <w:gridSpan w:val="25"/>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Non-employee director fee deferral election form incorporated herein by reference to Exhibit 10.4 from the Cohu, Inc. Quarterly Report on</w:t>
              </w:r>
            </w:hyperlink>
          </w:p>
        </w:tc>
        <w:tc>
          <w:tcPr>
            <w:tcW w:w="60" w:type="dxa"/>
            <w:vAlign w:val="bottom"/>
          </w:tcPr>
          <w:p>
            <w:pPr>
              <w:spacing w:after="0"/>
              <w:rPr>
                <w:sz w:val="17"/>
                <w:szCs w:val="17"/>
                <w:color w:val="auto"/>
              </w:rPr>
            </w:pPr>
          </w:p>
        </w:tc>
      </w:tr>
      <w:tr>
        <w:trPr>
          <w:trHeight w:val="194"/>
        </w:trPr>
        <w:tc>
          <w:tcPr>
            <w:tcW w:w="1260" w:type="dxa"/>
            <w:vAlign w:val="bottom"/>
          </w:tcPr>
          <w:p>
            <w:pPr>
              <w:spacing w:after="0"/>
              <w:rPr>
                <w:sz w:val="16"/>
                <w:szCs w:val="16"/>
                <w:color w:val="auto"/>
              </w:rPr>
            </w:pPr>
          </w:p>
        </w:tc>
        <w:tc>
          <w:tcPr>
            <w:tcW w:w="5980" w:type="dxa"/>
            <w:vAlign w:val="bottom"/>
            <w:tcBorders>
              <w:bottom w:val="single" w:sz="8" w:color="0000EE"/>
            </w:tcBorders>
            <w:gridSpan w:val="7"/>
          </w:tcPr>
          <w:p>
            <w:pPr>
              <w:spacing w:after="0" w:line="194"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Form 10-Q filed with the Securities and Exchange Commission on August 4, 2015*</w:t>
              </w:r>
            </w:hyperlink>
          </w:p>
        </w:tc>
        <w:tc>
          <w:tcPr>
            <w:tcW w:w="4000" w:type="dxa"/>
            <w:vAlign w:val="bottom"/>
            <w:gridSpan w:val="19"/>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10.10</w:t>
            </w:r>
          </w:p>
        </w:tc>
        <w:tc>
          <w:tcPr>
            <w:tcW w:w="9980" w:type="dxa"/>
            <w:vAlign w:val="bottom"/>
            <w:gridSpan w:val="26"/>
          </w:tcPr>
          <w:p>
            <w:pPr>
              <w:spacing w:after="0"/>
              <w:rPr>
                <w:rFonts w:ascii="Arial" w:cs="Arial" w:eastAsia="Arial" w:hAnsi="Arial"/>
                <w:sz w:val="18"/>
                <w:szCs w:val="18"/>
                <w:color w:val="0000EE"/>
                <w:w w:val="95"/>
              </w:rPr>
            </w:pPr>
            <w:hyperlink r:id="rId131">
              <w:r>
                <w:rPr>
                  <w:rFonts w:ascii="Arial" w:cs="Arial" w:eastAsia="Arial" w:hAnsi="Arial"/>
                  <w:sz w:val="18"/>
                  <w:szCs w:val="18"/>
                  <w:color w:val="0000EE"/>
                  <w:w w:val="95"/>
                </w:rPr>
                <w:t>Form of deferred stock agreement for shares granted pursuant to the Cohu, Inc. 2005 Equity Incentive Plan incorporated herein by</w:t>
              </w:r>
            </w:hyperlink>
          </w:p>
        </w:tc>
      </w:tr>
      <w:tr>
        <w:trPr>
          <w:trHeight w:val="20"/>
        </w:trPr>
        <w:tc>
          <w:tcPr>
            <w:tcW w:w="1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51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9500" w:type="dxa"/>
            <w:vAlign w:val="bottom"/>
            <w:tcBorders>
              <w:bottom w:val="single" w:sz="8" w:color="0000EE"/>
            </w:tcBorders>
            <w:gridSpan w:val="12"/>
          </w:tcPr>
          <w:p>
            <w:pPr>
              <w:spacing w:after="0" w:line="194"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reference to Exhibit 10.5 from the Cohu, Inc. Quarterly Report on Form 10-Q filed with the Securities and Exchange Commission on</w:t>
              </w:r>
            </w:hyperlink>
          </w:p>
        </w:tc>
        <w:tc>
          <w:tcPr>
            <w:tcW w:w="480" w:type="dxa"/>
            <w:vAlign w:val="bottom"/>
            <w:gridSpan w:val="14"/>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1180" w:type="dxa"/>
            <w:vAlign w:val="bottom"/>
            <w:tcBorders>
              <w:bottom w:val="single" w:sz="8" w:color="0000EE"/>
            </w:tcBorders>
            <w:gridSpan w:val="3"/>
          </w:tcPr>
          <w:p>
            <w:pPr>
              <w:spacing w:after="0" w:line="194"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August 4, 2015*</w:t>
              </w:r>
            </w:hyperlink>
          </w:p>
        </w:tc>
        <w:tc>
          <w:tcPr>
            <w:tcW w:w="8800" w:type="dxa"/>
            <w:vAlign w:val="bottom"/>
            <w:gridSpan w:val="23"/>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10.11</w:t>
            </w:r>
          </w:p>
        </w:tc>
        <w:tc>
          <w:tcPr>
            <w:tcW w:w="9580" w:type="dxa"/>
            <w:vAlign w:val="bottom"/>
            <w:tcBorders>
              <w:bottom w:val="single" w:sz="8" w:color="0000EE"/>
            </w:tcBorders>
            <w:gridSpan w:val="15"/>
          </w:tcPr>
          <w:p>
            <w:pPr>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Form of stock option agreement for use with stock options granted pursuant to the Cohu, Inc. 2005 Equity Incentive Plan incorporated</w:t>
              </w:r>
            </w:hyperlink>
          </w:p>
        </w:tc>
        <w:tc>
          <w:tcPr>
            <w:tcW w:w="400" w:type="dxa"/>
            <w:vAlign w:val="bottom"/>
            <w:gridSpan w:val="11"/>
          </w:tcPr>
          <w:p>
            <w:pPr>
              <w:spacing w:after="0"/>
              <w:rPr>
                <w:sz w:val="24"/>
                <w:szCs w:val="24"/>
                <w:color w:val="auto"/>
              </w:rPr>
            </w:pPr>
          </w:p>
        </w:tc>
      </w:tr>
      <w:tr>
        <w:trPr>
          <w:trHeight w:val="194"/>
        </w:trPr>
        <w:tc>
          <w:tcPr>
            <w:tcW w:w="1260" w:type="dxa"/>
            <w:vAlign w:val="bottom"/>
          </w:tcPr>
          <w:p>
            <w:pPr>
              <w:spacing w:after="0"/>
              <w:rPr>
                <w:sz w:val="16"/>
                <w:szCs w:val="16"/>
                <w:color w:val="auto"/>
              </w:rPr>
            </w:pPr>
          </w:p>
        </w:tc>
        <w:tc>
          <w:tcPr>
            <w:tcW w:w="9980" w:type="dxa"/>
            <w:vAlign w:val="bottom"/>
            <w:tcBorders>
              <w:bottom w:val="single" w:sz="8" w:color="0000EE"/>
            </w:tcBorders>
            <w:gridSpan w:val="26"/>
          </w:tcPr>
          <w:p>
            <w:pPr>
              <w:spacing w:after="0" w:line="194"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herein by reference to Exhibit 10.6 from the Cohu, Inc. Quarterly Report on Form 10-Q filed with the Securities and Exchange Commission</w:t>
              </w:r>
            </w:hyperlink>
          </w:p>
        </w:tc>
      </w:tr>
      <w:tr>
        <w:trPr>
          <w:trHeight w:val="194"/>
        </w:trPr>
        <w:tc>
          <w:tcPr>
            <w:tcW w:w="1260" w:type="dxa"/>
            <w:vAlign w:val="bottom"/>
          </w:tcPr>
          <w:p>
            <w:pPr>
              <w:spacing w:after="0"/>
              <w:rPr>
                <w:sz w:val="16"/>
                <w:szCs w:val="16"/>
                <w:color w:val="auto"/>
              </w:rPr>
            </w:pPr>
          </w:p>
        </w:tc>
        <w:tc>
          <w:tcPr>
            <w:tcW w:w="1400" w:type="dxa"/>
            <w:vAlign w:val="bottom"/>
            <w:tcBorders>
              <w:bottom w:val="single" w:sz="8" w:color="0000EE"/>
            </w:tcBorders>
            <w:gridSpan w:val="4"/>
          </w:tcPr>
          <w:p>
            <w:pPr>
              <w:spacing w:after="0" w:line="194"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on August 4, 2015*</w:t>
              </w:r>
            </w:hyperlink>
          </w:p>
        </w:tc>
        <w:tc>
          <w:tcPr>
            <w:tcW w:w="8580" w:type="dxa"/>
            <w:vAlign w:val="bottom"/>
            <w:gridSpan w:val="22"/>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10.12</w:t>
            </w:r>
          </w:p>
        </w:tc>
        <w:tc>
          <w:tcPr>
            <w:tcW w:w="9660" w:type="dxa"/>
            <w:vAlign w:val="bottom"/>
            <w:tcBorders>
              <w:bottom w:val="single" w:sz="8" w:color="0000EE"/>
            </w:tcBorders>
            <w:gridSpan w:val="17"/>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Form of Indemnification Agreement, incorporated herein by reference to Exhibit 10.1 from the Cohu, Inc. Current Report on Form 8-K</w:t>
              </w:r>
            </w:hyperlink>
          </w:p>
        </w:tc>
        <w:tc>
          <w:tcPr>
            <w:tcW w:w="320" w:type="dxa"/>
            <w:vAlign w:val="bottom"/>
            <w:gridSpan w:val="9"/>
          </w:tcPr>
          <w:p>
            <w:pPr>
              <w:spacing w:after="0"/>
              <w:rPr>
                <w:sz w:val="24"/>
                <w:szCs w:val="24"/>
                <w:color w:val="auto"/>
              </w:rPr>
            </w:pPr>
          </w:p>
        </w:tc>
      </w:tr>
      <w:tr>
        <w:trPr>
          <w:trHeight w:val="194"/>
        </w:trPr>
        <w:tc>
          <w:tcPr>
            <w:tcW w:w="1260" w:type="dxa"/>
            <w:vAlign w:val="bottom"/>
          </w:tcPr>
          <w:p>
            <w:pPr>
              <w:spacing w:after="0"/>
              <w:rPr>
                <w:sz w:val="16"/>
                <w:szCs w:val="16"/>
                <w:color w:val="auto"/>
              </w:rPr>
            </w:pPr>
          </w:p>
        </w:tc>
        <w:tc>
          <w:tcPr>
            <w:tcW w:w="3340" w:type="dxa"/>
            <w:vAlign w:val="bottom"/>
            <w:tcBorders>
              <w:bottom w:val="single" w:sz="8" w:color="0000EE"/>
            </w:tcBorders>
            <w:gridSpan w:val="6"/>
          </w:tcPr>
          <w:p>
            <w:pPr>
              <w:spacing w:after="0" w:line="194"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(file no. 001-04298) filed December 13, 2018*</w:t>
              </w:r>
            </w:hyperlink>
          </w:p>
        </w:tc>
        <w:tc>
          <w:tcPr>
            <w:tcW w:w="6640" w:type="dxa"/>
            <w:vAlign w:val="bottom"/>
            <w:gridSpan w:val="20"/>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10.13</w:t>
            </w:r>
          </w:p>
        </w:tc>
        <w:tc>
          <w:tcPr>
            <w:tcW w:w="9980" w:type="dxa"/>
            <w:vAlign w:val="bottom"/>
            <w:gridSpan w:val="26"/>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Cohu, Inc. Retiree Health Benefits Agreement (as amended) incorporated herein by reference to Exhibit 10.2 from the Cohu, Inc. Current</w:t>
              </w:r>
            </w:hyperlink>
          </w:p>
        </w:tc>
      </w:tr>
      <w:tr>
        <w:trPr>
          <w:trHeight w:val="194"/>
        </w:trPr>
        <w:tc>
          <w:tcPr>
            <w:tcW w:w="1260" w:type="dxa"/>
            <w:vAlign w:val="bottom"/>
          </w:tcPr>
          <w:p>
            <w:pPr>
              <w:spacing w:after="0"/>
              <w:rPr>
                <w:sz w:val="16"/>
                <w:szCs w:val="16"/>
                <w:color w:val="auto"/>
              </w:rPr>
            </w:pPr>
          </w:p>
        </w:tc>
        <w:tc>
          <w:tcPr>
            <w:tcW w:w="8440" w:type="dxa"/>
            <w:vAlign w:val="bottom"/>
            <w:tcBorders>
              <w:top w:val="single" w:sz="8" w:color="0000EE"/>
              <w:bottom w:val="single" w:sz="8" w:color="0000EE"/>
            </w:tcBorders>
            <w:gridSpan w:val="8"/>
          </w:tcPr>
          <w:p>
            <w:pPr>
              <w:spacing w:after="0" w:line="194"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Report on Form 8-K (file no. 001-04298) filed with the Securities and Exchange Commission on December 29, 2008*</w:t>
              </w:r>
            </w:hyperlink>
          </w:p>
        </w:tc>
        <w:tc>
          <w:tcPr>
            <w:tcW w:w="1360" w:type="dxa"/>
            <w:vAlign w:val="bottom"/>
            <w:tcBorders>
              <w:top w:val="single" w:sz="8" w:color="0000EE"/>
            </w:tcBorders>
            <w:gridSpan w:val="14"/>
          </w:tcPr>
          <w:p>
            <w:pPr>
              <w:spacing w:after="0"/>
              <w:rPr>
                <w:sz w:val="16"/>
                <w:szCs w:val="16"/>
                <w:color w:val="auto"/>
              </w:rPr>
            </w:pPr>
          </w:p>
        </w:tc>
        <w:tc>
          <w:tcPr>
            <w:tcW w:w="180" w:type="dxa"/>
            <w:vAlign w:val="bottom"/>
            <w:gridSpan w:val="4"/>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10.14</w:t>
            </w:r>
          </w:p>
        </w:tc>
        <w:tc>
          <w:tcPr>
            <w:tcW w:w="9520" w:type="dxa"/>
            <w:vAlign w:val="bottom"/>
            <w:tcBorders>
              <w:bottom w:val="single" w:sz="8" w:color="0000EE"/>
            </w:tcBorders>
            <w:gridSpan w:val="13"/>
          </w:tcPr>
          <w:p>
            <w:pPr>
              <w:spacing w:after="0"/>
              <w:rPr>
                <w:rFonts w:ascii="Arial" w:cs="Arial" w:eastAsia="Arial" w:hAnsi="Arial"/>
                <w:sz w:val="18"/>
                <w:szCs w:val="18"/>
                <w:color w:val="0000EE"/>
                <w:w w:val="89"/>
              </w:rPr>
            </w:pPr>
            <w:hyperlink r:id="rId135">
              <w:r>
                <w:rPr>
                  <w:rFonts w:ascii="Arial" w:cs="Arial" w:eastAsia="Arial" w:hAnsi="Arial"/>
                  <w:sz w:val="18"/>
                  <w:szCs w:val="18"/>
                  <w:color w:val="0000EE"/>
                  <w:w w:val="89"/>
                </w:rPr>
                <w:t>Lease agreement dated December 4, 2015 by and between CT Crosthwaite I, LLC and Cohu, Inc. incorporated herein by reference to</w:t>
              </w:r>
            </w:hyperlink>
          </w:p>
        </w:tc>
        <w:tc>
          <w:tcPr>
            <w:tcW w:w="460" w:type="dxa"/>
            <w:vAlign w:val="bottom"/>
            <w:gridSpan w:val="13"/>
          </w:tcPr>
          <w:p>
            <w:pPr>
              <w:spacing w:after="0"/>
              <w:rPr>
                <w:sz w:val="24"/>
                <w:szCs w:val="24"/>
                <w:color w:val="auto"/>
              </w:rPr>
            </w:pPr>
          </w:p>
        </w:tc>
      </w:tr>
      <w:tr>
        <w:trPr>
          <w:trHeight w:val="194"/>
        </w:trPr>
        <w:tc>
          <w:tcPr>
            <w:tcW w:w="1260" w:type="dxa"/>
            <w:vAlign w:val="bottom"/>
          </w:tcPr>
          <w:p>
            <w:pPr>
              <w:spacing w:after="0"/>
              <w:rPr>
                <w:sz w:val="16"/>
                <w:szCs w:val="16"/>
                <w:color w:val="auto"/>
              </w:rPr>
            </w:pPr>
          </w:p>
        </w:tc>
        <w:tc>
          <w:tcPr>
            <w:tcW w:w="9900" w:type="dxa"/>
            <w:vAlign w:val="bottom"/>
            <w:tcBorders>
              <w:bottom w:val="single" w:sz="8" w:color="0000EE"/>
            </w:tcBorders>
            <w:gridSpan w:val="24"/>
          </w:tcPr>
          <w:p>
            <w:pPr>
              <w:spacing w:after="0" w:line="194"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Exhibit 10.14 from the Cohu, Inc. Annual Report on Form 10-K filed with the Securities and Exchange Commission on February 23, 2016</w:t>
              </w:r>
            </w:hyperlink>
          </w:p>
        </w:tc>
        <w:tc>
          <w:tcPr>
            <w:tcW w:w="80" w:type="dxa"/>
            <w:vAlign w:val="bottom"/>
            <w:gridSpan w:val="2"/>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10.15</w:t>
            </w:r>
          </w:p>
        </w:tc>
        <w:tc>
          <w:tcPr>
            <w:tcW w:w="9980" w:type="dxa"/>
            <w:vAlign w:val="bottom"/>
            <w:gridSpan w:val="26"/>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Severance Agreement, dated September 8, 2020, between the Company and Christopher G. Bohrson incorporated herein by reference to</w:t>
              </w:r>
            </w:hyperlink>
          </w:p>
        </w:tc>
      </w:tr>
      <w:tr>
        <w:trPr>
          <w:trHeight w:val="20"/>
        </w:trPr>
        <w:tc>
          <w:tcPr>
            <w:tcW w:w="1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44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9980" w:type="dxa"/>
            <w:vAlign w:val="bottom"/>
            <w:tcBorders>
              <w:bottom w:val="single" w:sz="8" w:color="0000EE"/>
            </w:tcBorders>
            <w:gridSpan w:val="26"/>
          </w:tcPr>
          <w:p>
            <w:pPr>
              <w:spacing w:after="0" w:line="194"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Exhibit 10.1 from the Cohu, Inc. Quarterly Report on Form 10-Q filed with the Securities and Exchange Commission on November 4, 2020</w:t>
              </w:r>
            </w:hyperlink>
          </w:p>
        </w:tc>
      </w:tr>
      <w:tr>
        <w:trPr>
          <w:trHeight w:val="194"/>
        </w:trPr>
        <w:tc>
          <w:tcPr>
            <w:tcW w:w="1260" w:type="dxa"/>
            <w:vAlign w:val="bottom"/>
          </w:tcPr>
          <w:p>
            <w:pPr>
              <w:spacing w:after="0"/>
              <w:rPr>
                <w:sz w:val="16"/>
                <w:szCs w:val="16"/>
                <w:color w:val="auto"/>
              </w:rPr>
            </w:pPr>
          </w:p>
        </w:tc>
        <w:tc>
          <w:tcPr>
            <w:tcW w:w="80" w:type="dxa"/>
            <w:vAlign w:val="bottom"/>
            <w:tcBorders>
              <w:bottom w:val="single" w:sz="8" w:color="0000EE"/>
            </w:tcBorders>
          </w:tcPr>
          <w:p>
            <w:pPr>
              <w:spacing w:after="0" w:line="194" w:lineRule="exact"/>
              <w:rPr>
                <w:rFonts w:ascii="Arial" w:cs="Arial" w:eastAsia="Arial" w:hAnsi="Arial"/>
                <w:sz w:val="18"/>
                <w:szCs w:val="18"/>
                <w:color w:val="0000EE"/>
                <w:w w:val="84"/>
              </w:rPr>
            </w:pPr>
            <w:hyperlink r:id="rId136">
              <w:r>
                <w:rPr>
                  <w:rFonts w:ascii="Arial" w:cs="Arial" w:eastAsia="Arial" w:hAnsi="Arial"/>
                  <w:sz w:val="18"/>
                  <w:szCs w:val="18"/>
                  <w:color w:val="0000EE"/>
                  <w:w w:val="84"/>
                </w:rPr>
                <w:t>*</w:t>
              </w:r>
            </w:hyperlink>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10.16</w:t>
            </w:r>
          </w:p>
        </w:tc>
        <w:tc>
          <w:tcPr>
            <w:tcW w:w="9720" w:type="dxa"/>
            <w:vAlign w:val="bottom"/>
            <w:tcBorders>
              <w:bottom w:val="single" w:sz="8" w:color="0000EE"/>
            </w:tcBorders>
            <w:gridSpan w:val="19"/>
          </w:tcPr>
          <w:p>
            <w:pPr>
              <w:spacing w:after="0"/>
              <w:rPr>
                <w:rFonts w:ascii="Arial" w:cs="Arial" w:eastAsia="Arial" w:hAnsi="Arial"/>
                <w:sz w:val="18"/>
                <w:szCs w:val="18"/>
                <w:color w:val="0000EE"/>
                <w:w w:val="88"/>
              </w:rPr>
            </w:pPr>
            <w:hyperlink r:id="rId137">
              <w:r>
                <w:rPr>
                  <w:rFonts w:ascii="Arial" w:cs="Arial" w:eastAsia="Arial" w:hAnsi="Arial"/>
                  <w:sz w:val="18"/>
                  <w:szCs w:val="18"/>
                  <w:color w:val="0000EE"/>
                  <w:w w:val="88"/>
                </w:rPr>
                <w:t>Severance Agreement, dated September 8, 2020, between the Company and Jeffrey D. Jones incorporated herein by reference to Exhibit</w:t>
              </w:r>
            </w:hyperlink>
          </w:p>
        </w:tc>
        <w:tc>
          <w:tcPr>
            <w:tcW w:w="260" w:type="dxa"/>
            <w:vAlign w:val="bottom"/>
            <w:gridSpan w:val="7"/>
          </w:tcPr>
          <w:p>
            <w:pPr>
              <w:spacing w:after="0"/>
              <w:rPr>
                <w:sz w:val="24"/>
                <w:szCs w:val="24"/>
                <w:color w:val="auto"/>
              </w:rPr>
            </w:pPr>
          </w:p>
        </w:tc>
      </w:tr>
      <w:tr>
        <w:trPr>
          <w:trHeight w:val="194"/>
        </w:trPr>
        <w:tc>
          <w:tcPr>
            <w:tcW w:w="1260" w:type="dxa"/>
            <w:vAlign w:val="bottom"/>
          </w:tcPr>
          <w:p>
            <w:pPr>
              <w:spacing w:after="0"/>
              <w:rPr>
                <w:sz w:val="16"/>
                <w:szCs w:val="16"/>
                <w:color w:val="auto"/>
              </w:rPr>
            </w:pPr>
          </w:p>
        </w:tc>
        <w:tc>
          <w:tcPr>
            <w:tcW w:w="9980" w:type="dxa"/>
            <w:vAlign w:val="bottom"/>
            <w:gridSpan w:val="26"/>
          </w:tcPr>
          <w:p>
            <w:pPr>
              <w:spacing w:after="0" w:line="194"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2</w:t>
              </w:r>
              <w:r>
                <w:rPr>
                  <w:rFonts w:ascii="Arial" w:cs="Arial" w:eastAsia="Arial" w:hAnsi="Arial"/>
                  <w:sz w:val="18"/>
                  <w:szCs w:val="18"/>
                  <w:color w:val="0000EE"/>
                  <w:w w:val="94"/>
                </w:rPr>
                <w:t xml:space="preserve"> from the Cohu, Inc. Quarterly Report on Form 10-Q filed with the Securities and Exchange Commission on November 4, 2020 *</w:t>
              </w:r>
            </w:hyperlink>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10.17</w:t>
            </w:r>
          </w:p>
        </w:tc>
        <w:tc>
          <w:tcPr>
            <w:tcW w:w="9540" w:type="dxa"/>
            <w:vAlign w:val="bottom"/>
            <w:tcBorders>
              <w:top w:val="single" w:sz="8" w:color="0000EE"/>
            </w:tcBorders>
            <w:gridSpan w:val="14"/>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Severance Agreement, dated September 8, 2020, between the Company and Thomas D. Kampfer incorporated herein by reference to</w:t>
              </w:r>
            </w:hyperlink>
          </w:p>
        </w:tc>
        <w:tc>
          <w:tcPr>
            <w:tcW w:w="440" w:type="dxa"/>
            <w:vAlign w:val="bottom"/>
            <w:gridSpan w:val="12"/>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44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9980" w:type="dxa"/>
            <w:vAlign w:val="bottom"/>
            <w:tcBorders>
              <w:bottom w:val="single" w:sz="8" w:color="0000EE"/>
            </w:tcBorders>
            <w:gridSpan w:val="26"/>
          </w:tcPr>
          <w:p>
            <w:pPr>
              <w:spacing w:after="0" w:line="194"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Exhibit 10.3 from the Cohu, Inc. Quarterly Report on Form 10-Q filed with the Securities and Exchange Commission on November 4, 2020</w:t>
              </w:r>
            </w:hyperlink>
          </w:p>
        </w:tc>
      </w:tr>
      <w:tr>
        <w:trPr>
          <w:trHeight w:val="194"/>
        </w:trPr>
        <w:tc>
          <w:tcPr>
            <w:tcW w:w="1260" w:type="dxa"/>
            <w:vAlign w:val="bottom"/>
          </w:tcPr>
          <w:p>
            <w:pPr>
              <w:spacing w:after="0"/>
              <w:rPr>
                <w:sz w:val="16"/>
                <w:szCs w:val="16"/>
                <w:color w:val="auto"/>
              </w:rPr>
            </w:pPr>
          </w:p>
        </w:tc>
        <w:tc>
          <w:tcPr>
            <w:tcW w:w="80" w:type="dxa"/>
            <w:vAlign w:val="bottom"/>
            <w:tcBorders>
              <w:bottom w:val="single" w:sz="8" w:color="0000EE"/>
            </w:tcBorders>
          </w:tcPr>
          <w:p>
            <w:pPr>
              <w:spacing w:after="0" w:line="194" w:lineRule="exact"/>
              <w:rPr>
                <w:rFonts w:ascii="Arial" w:cs="Arial" w:eastAsia="Arial" w:hAnsi="Arial"/>
                <w:sz w:val="18"/>
                <w:szCs w:val="18"/>
                <w:color w:val="0000EE"/>
                <w:w w:val="84"/>
              </w:rPr>
            </w:pPr>
            <w:hyperlink r:id="rId138">
              <w:r>
                <w:rPr>
                  <w:rFonts w:ascii="Arial" w:cs="Arial" w:eastAsia="Arial" w:hAnsi="Arial"/>
                  <w:sz w:val="18"/>
                  <w:szCs w:val="18"/>
                  <w:color w:val="0000EE"/>
                  <w:w w:val="84"/>
                </w:rPr>
                <w:t>*</w:t>
              </w:r>
            </w:hyperlink>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10.18</w:t>
            </w:r>
          </w:p>
        </w:tc>
        <w:tc>
          <w:tcPr>
            <w:tcW w:w="9640" w:type="dxa"/>
            <w:vAlign w:val="bottom"/>
            <w:tcBorders>
              <w:bottom w:val="single" w:sz="8" w:color="0000EE"/>
            </w:tcBorders>
            <w:gridSpan w:val="16"/>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Severance Agreement, dated September 8, 2020, between the Company and Luis A. Müller incorporated herein by reference to Exhibit</w:t>
              </w:r>
            </w:hyperlink>
          </w:p>
        </w:tc>
        <w:tc>
          <w:tcPr>
            <w:tcW w:w="340" w:type="dxa"/>
            <w:vAlign w:val="bottom"/>
            <w:gridSpan w:val="10"/>
          </w:tcPr>
          <w:p>
            <w:pPr>
              <w:spacing w:after="0"/>
              <w:rPr>
                <w:sz w:val="24"/>
                <w:szCs w:val="24"/>
                <w:color w:val="auto"/>
              </w:rPr>
            </w:pPr>
          </w:p>
        </w:tc>
      </w:tr>
      <w:tr>
        <w:trPr>
          <w:trHeight w:val="194"/>
        </w:trPr>
        <w:tc>
          <w:tcPr>
            <w:tcW w:w="1260" w:type="dxa"/>
            <w:vAlign w:val="bottom"/>
          </w:tcPr>
          <w:p>
            <w:pPr>
              <w:spacing w:after="0"/>
              <w:rPr>
                <w:sz w:val="16"/>
                <w:szCs w:val="16"/>
                <w:color w:val="auto"/>
              </w:rPr>
            </w:pPr>
          </w:p>
        </w:tc>
        <w:tc>
          <w:tcPr>
            <w:tcW w:w="9980" w:type="dxa"/>
            <w:vAlign w:val="bottom"/>
            <w:gridSpan w:val="26"/>
          </w:tcPr>
          <w:p>
            <w:pPr>
              <w:spacing w:after="0" w:line="194"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4</w:t>
              </w:r>
              <w:r>
                <w:rPr>
                  <w:rFonts w:ascii="Arial" w:cs="Arial" w:eastAsia="Arial" w:hAnsi="Arial"/>
                  <w:sz w:val="18"/>
                  <w:szCs w:val="18"/>
                  <w:color w:val="0000EE"/>
                  <w:w w:val="94"/>
                </w:rPr>
                <w:t xml:space="preserve"> from the Cohu, Inc. Quarterly Report on Form 10-Q filed with the Securities and Exchange Commission on November 4, 2020 *</w:t>
              </w:r>
            </w:hyperlink>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10.19</w:t>
            </w:r>
          </w:p>
        </w:tc>
        <w:tc>
          <w:tcPr>
            <w:tcW w:w="9540" w:type="dxa"/>
            <w:vAlign w:val="bottom"/>
            <w:tcBorders>
              <w:top w:val="single" w:sz="8" w:color="0000EE"/>
            </w:tcBorders>
            <w:gridSpan w:val="14"/>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Change in Control Agreement, dated September 8, 2020, between the Company and Christopher G. Bohrson incorporated herein by</w:t>
              </w:r>
            </w:hyperlink>
          </w:p>
        </w:tc>
        <w:tc>
          <w:tcPr>
            <w:tcW w:w="440" w:type="dxa"/>
            <w:vAlign w:val="bottom"/>
            <w:gridSpan w:val="12"/>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44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9500" w:type="dxa"/>
            <w:vAlign w:val="bottom"/>
            <w:tcBorders>
              <w:bottom w:val="single" w:sz="8" w:color="0000EE"/>
            </w:tcBorders>
            <w:gridSpan w:val="12"/>
          </w:tcPr>
          <w:p>
            <w:pPr>
              <w:spacing w:after="0" w:line="194"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reference to Exhibit 10.5 from the Cohu, Inc. Quarterly Report on Form 10-Q filed with the Securities and Exchange Commission on</w:t>
              </w:r>
            </w:hyperlink>
          </w:p>
        </w:tc>
        <w:tc>
          <w:tcPr>
            <w:tcW w:w="480" w:type="dxa"/>
            <w:vAlign w:val="bottom"/>
            <w:gridSpan w:val="14"/>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1460" w:type="dxa"/>
            <w:vAlign w:val="bottom"/>
            <w:tcBorders>
              <w:bottom w:val="single" w:sz="8" w:color="0000EE"/>
            </w:tcBorders>
            <w:gridSpan w:val="5"/>
          </w:tcPr>
          <w:p>
            <w:pPr>
              <w:spacing w:after="0" w:line="194"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November 4, 2020 *</w:t>
              </w:r>
            </w:hyperlink>
          </w:p>
        </w:tc>
        <w:tc>
          <w:tcPr>
            <w:tcW w:w="8520" w:type="dxa"/>
            <w:vAlign w:val="bottom"/>
            <w:gridSpan w:val="21"/>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10.20</w:t>
            </w:r>
          </w:p>
        </w:tc>
        <w:tc>
          <w:tcPr>
            <w:tcW w:w="9740" w:type="dxa"/>
            <w:vAlign w:val="bottom"/>
            <w:tcBorders>
              <w:bottom w:val="single" w:sz="8" w:color="0000EE"/>
            </w:tcBorders>
            <w:gridSpan w:val="20"/>
          </w:tcPr>
          <w:p>
            <w:pPr>
              <w:spacing w:after="0"/>
              <w:rPr>
                <w:rFonts w:ascii="Arial" w:cs="Arial" w:eastAsia="Arial" w:hAnsi="Arial"/>
                <w:sz w:val="18"/>
                <w:szCs w:val="18"/>
                <w:color w:val="0000EE"/>
                <w:w w:val="88"/>
              </w:rPr>
            </w:pPr>
            <w:hyperlink r:id="rId141">
              <w:r>
                <w:rPr>
                  <w:rFonts w:ascii="Arial" w:cs="Arial" w:eastAsia="Arial" w:hAnsi="Arial"/>
                  <w:sz w:val="18"/>
                  <w:szCs w:val="18"/>
                  <w:color w:val="0000EE"/>
                  <w:w w:val="88"/>
                </w:rPr>
                <w:t>Change in Control Agreement, dated September 8, 2020, between the Company and Jeffrey D. Jones incorporated herein by reference to</w:t>
              </w:r>
            </w:hyperlink>
          </w:p>
        </w:tc>
        <w:tc>
          <w:tcPr>
            <w:tcW w:w="240" w:type="dxa"/>
            <w:vAlign w:val="bottom"/>
            <w:gridSpan w:val="6"/>
          </w:tcPr>
          <w:p>
            <w:pPr>
              <w:spacing w:after="0"/>
              <w:rPr>
                <w:sz w:val="24"/>
                <w:szCs w:val="24"/>
                <w:color w:val="auto"/>
              </w:rPr>
            </w:pPr>
          </w:p>
        </w:tc>
      </w:tr>
      <w:tr>
        <w:trPr>
          <w:trHeight w:val="194"/>
        </w:trPr>
        <w:tc>
          <w:tcPr>
            <w:tcW w:w="1260" w:type="dxa"/>
            <w:vAlign w:val="bottom"/>
          </w:tcPr>
          <w:p>
            <w:pPr>
              <w:spacing w:after="0"/>
              <w:rPr>
                <w:sz w:val="16"/>
                <w:szCs w:val="16"/>
                <w:color w:val="auto"/>
              </w:rPr>
            </w:pPr>
          </w:p>
        </w:tc>
        <w:tc>
          <w:tcPr>
            <w:tcW w:w="9980" w:type="dxa"/>
            <w:vAlign w:val="bottom"/>
            <w:tcBorders>
              <w:bottom w:val="single" w:sz="8" w:color="0000EE"/>
            </w:tcBorders>
            <w:gridSpan w:val="26"/>
          </w:tcPr>
          <w:p>
            <w:pPr>
              <w:spacing w:after="0" w:line="194"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Exhibit 10.6 from the Cohu, Inc. Quarterly Report on Form 10-Q filed with the Securities and Exchange Commission on November 4, 2020</w:t>
              </w:r>
            </w:hyperlink>
          </w:p>
        </w:tc>
      </w:tr>
      <w:tr>
        <w:trPr>
          <w:trHeight w:val="194"/>
        </w:trPr>
        <w:tc>
          <w:tcPr>
            <w:tcW w:w="1260" w:type="dxa"/>
            <w:vAlign w:val="bottom"/>
          </w:tcPr>
          <w:p>
            <w:pPr>
              <w:spacing w:after="0"/>
              <w:rPr>
                <w:sz w:val="16"/>
                <w:szCs w:val="16"/>
                <w:color w:val="auto"/>
              </w:rPr>
            </w:pPr>
          </w:p>
        </w:tc>
        <w:tc>
          <w:tcPr>
            <w:tcW w:w="80" w:type="dxa"/>
            <w:vAlign w:val="bottom"/>
            <w:tcBorders>
              <w:bottom w:val="single" w:sz="8" w:color="0000EE"/>
            </w:tcBorders>
          </w:tcPr>
          <w:p>
            <w:pPr>
              <w:spacing w:after="0" w:line="194" w:lineRule="exact"/>
              <w:rPr>
                <w:rFonts w:ascii="Arial" w:cs="Arial" w:eastAsia="Arial" w:hAnsi="Arial"/>
                <w:sz w:val="18"/>
                <w:szCs w:val="18"/>
                <w:color w:val="0000EE"/>
                <w:w w:val="84"/>
              </w:rPr>
            </w:pPr>
            <w:hyperlink r:id="rId141">
              <w:r>
                <w:rPr>
                  <w:rFonts w:ascii="Arial" w:cs="Arial" w:eastAsia="Arial" w:hAnsi="Arial"/>
                  <w:sz w:val="18"/>
                  <w:szCs w:val="18"/>
                  <w:color w:val="0000EE"/>
                  <w:w w:val="84"/>
                </w:rPr>
                <w:t>*</w:t>
              </w:r>
            </w:hyperlink>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10.21</w:t>
            </w:r>
          </w:p>
        </w:tc>
        <w:tc>
          <w:tcPr>
            <w:tcW w:w="9880" w:type="dxa"/>
            <w:vAlign w:val="bottom"/>
            <w:tcBorders>
              <w:bottom w:val="single" w:sz="8" w:color="0000EE"/>
            </w:tcBorders>
            <w:gridSpan w:val="23"/>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Change in Control Agreement, dated September 8, 2020, between the Company and Thomas D. Kampfer incorporated herein by reference</w:t>
              </w:r>
            </w:hyperlink>
          </w:p>
        </w:tc>
        <w:tc>
          <w:tcPr>
            <w:tcW w:w="100" w:type="dxa"/>
            <w:vAlign w:val="bottom"/>
            <w:gridSpan w:val="3"/>
          </w:tcPr>
          <w:p>
            <w:pPr>
              <w:spacing w:after="0"/>
              <w:rPr>
                <w:sz w:val="24"/>
                <w:szCs w:val="24"/>
                <w:color w:val="auto"/>
              </w:rPr>
            </w:pPr>
          </w:p>
        </w:tc>
      </w:tr>
      <w:tr>
        <w:trPr>
          <w:trHeight w:val="194"/>
        </w:trPr>
        <w:tc>
          <w:tcPr>
            <w:tcW w:w="1260" w:type="dxa"/>
            <w:vAlign w:val="bottom"/>
          </w:tcPr>
          <w:p>
            <w:pPr>
              <w:spacing w:after="0"/>
              <w:rPr>
                <w:sz w:val="16"/>
                <w:szCs w:val="16"/>
                <w:color w:val="auto"/>
              </w:rPr>
            </w:pPr>
          </w:p>
        </w:tc>
        <w:tc>
          <w:tcPr>
            <w:tcW w:w="9980" w:type="dxa"/>
            <w:vAlign w:val="bottom"/>
            <w:gridSpan w:val="26"/>
          </w:tcPr>
          <w:p>
            <w:pPr>
              <w:spacing w:after="0" w:line="194"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to Exhibit 10.7 from the Cohu, Inc. Quarterly Report on Form 10-Q filed with the Securities and Exchange Commission on November 4,</w:t>
              </w:r>
            </w:hyperlink>
          </w:p>
        </w:tc>
      </w:tr>
      <w:tr>
        <w:trPr>
          <w:trHeight w:val="194"/>
        </w:trPr>
        <w:tc>
          <w:tcPr>
            <w:tcW w:w="1260" w:type="dxa"/>
            <w:vAlign w:val="bottom"/>
          </w:tcPr>
          <w:p>
            <w:pPr>
              <w:spacing w:after="0"/>
              <w:rPr>
                <w:sz w:val="16"/>
                <w:szCs w:val="16"/>
                <w:color w:val="auto"/>
              </w:rPr>
            </w:pPr>
          </w:p>
        </w:tc>
        <w:tc>
          <w:tcPr>
            <w:tcW w:w="48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88"/>
              </w:rPr>
            </w:pPr>
            <w:hyperlink r:id="rId142">
              <w:r>
                <w:rPr>
                  <w:rFonts w:ascii="Arial" w:cs="Arial" w:eastAsia="Arial" w:hAnsi="Arial"/>
                  <w:sz w:val="18"/>
                  <w:szCs w:val="18"/>
                  <w:color w:val="0000EE"/>
                  <w:w w:val="88"/>
                </w:rPr>
                <w:t>2020 *</w:t>
              </w:r>
            </w:hyperlink>
          </w:p>
        </w:tc>
        <w:tc>
          <w:tcPr>
            <w:tcW w:w="7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80" w:type="dxa"/>
            <w:vAlign w:val="bottom"/>
            <w:tcBorders>
              <w:top w:val="single" w:sz="8" w:color="0000EE"/>
            </w:tcBorders>
          </w:tcPr>
          <w:p>
            <w:pPr>
              <w:spacing w:after="0"/>
              <w:rPr>
                <w:sz w:val="16"/>
                <w:szCs w:val="16"/>
                <w:color w:val="auto"/>
              </w:rPr>
            </w:pPr>
          </w:p>
        </w:tc>
        <w:tc>
          <w:tcPr>
            <w:tcW w:w="2640" w:type="dxa"/>
            <w:vAlign w:val="bottom"/>
            <w:tcBorders>
              <w:top w:val="single" w:sz="8" w:color="0000EE"/>
            </w:tcBorders>
          </w:tcPr>
          <w:p>
            <w:pPr>
              <w:spacing w:after="0"/>
              <w:rPr>
                <w:sz w:val="16"/>
                <w:szCs w:val="16"/>
                <w:color w:val="auto"/>
              </w:rPr>
            </w:pPr>
          </w:p>
        </w:tc>
        <w:tc>
          <w:tcPr>
            <w:tcW w:w="24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10.22</w:t>
            </w:r>
          </w:p>
        </w:tc>
        <w:tc>
          <w:tcPr>
            <w:tcW w:w="9980" w:type="dxa"/>
            <w:vAlign w:val="bottom"/>
            <w:gridSpan w:val="26"/>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Change in Control Agreement, dated September 8, 2020, between the Company and Luis A. Müller incorporated herein by reference to</w:t>
              </w:r>
            </w:hyperlink>
          </w:p>
        </w:tc>
      </w:tr>
      <w:tr>
        <w:trPr>
          <w:trHeight w:val="20"/>
        </w:trPr>
        <w:tc>
          <w:tcPr>
            <w:tcW w:w="1260" w:type="dxa"/>
            <w:vAlign w:val="bottom"/>
          </w:tcPr>
          <w:p>
            <w:pPr>
              <w:spacing w:after="0" w:line="20" w:lineRule="exact"/>
              <w:rPr>
                <w:sz w:val="1"/>
                <w:szCs w:val="1"/>
                <w:color w:val="auto"/>
              </w:rPr>
            </w:pPr>
          </w:p>
        </w:tc>
        <w:tc>
          <w:tcPr>
            <w:tcW w:w="8900" w:type="dxa"/>
            <w:vAlign w:val="bottom"/>
            <w:gridSpan w:val="9"/>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9980" w:type="dxa"/>
            <w:vAlign w:val="bottom"/>
            <w:tcBorders>
              <w:bottom w:val="single" w:sz="8" w:color="0000EE"/>
            </w:tcBorders>
            <w:gridSpan w:val="26"/>
          </w:tcPr>
          <w:p>
            <w:pPr>
              <w:spacing w:after="0" w:line="194"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Exhibit 10.8 from the Cohu, Inc. Quarterly Report on Form 10-Q filed with the Securities and Exchange Commission on November 4, 2020</w:t>
              </w:r>
            </w:hyperlink>
          </w:p>
        </w:tc>
      </w:tr>
      <w:tr>
        <w:trPr>
          <w:trHeight w:val="194"/>
        </w:trPr>
        <w:tc>
          <w:tcPr>
            <w:tcW w:w="1260" w:type="dxa"/>
            <w:vAlign w:val="bottom"/>
          </w:tcPr>
          <w:p>
            <w:pPr>
              <w:spacing w:after="0"/>
              <w:rPr>
                <w:sz w:val="16"/>
                <w:szCs w:val="16"/>
                <w:color w:val="auto"/>
              </w:rPr>
            </w:pPr>
          </w:p>
        </w:tc>
        <w:tc>
          <w:tcPr>
            <w:tcW w:w="80" w:type="dxa"/>
            <w:vAlign w:val="bottom"/>
            <w:tcBorders>
              <w:bottom w:val="single" w:sz="8" w:color="0000EE"/>
            </w:tcBorders>
          </w:tcPr>
          <w:p>
            <w:pPr>
              <w:spacing w:after="0" w:line="194" w:lineRule="exact"/>
              <w:rPr>
                <w:rFonts w:ascii="Arial" w:cs="Arial" w:eastAsia="Arial" w:hAnsi="Arial"/>
                <w:sz w:val="18"/>
                <w:szCs w:val="18"/>
                <w:color w:val="0000EE"/>
                <w:w w:val="84"/>
              </w:rPr>
            </w:pPr>
            <w:hyperlink r:id="rId143">
              <w:r>
                <w:rPr>
                  <w:rFonts w:ascii="Arial" w:cs="Arial" w:eastAsia="Arial" w:hAnsi="Arial"/>
                  <w:sz w:val="18"/>
                  <w:szCs w:val="18"/>
                  <w:color w:val="0000EE"/>
                  <w:w w:val="84"/>
                </w:rPr>
                <w:t>*</w:t>
              </w:r>
            </w:hyperlink>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08"/>
        </w:trPr>
        <w:tc>
          <w:tcPr>
            <w:tcW w:w="1260" w:type="dxa"/>
            <w:vAlign w:val="bottom"/>
          </w:tcPr>
          <w:p>
            <w:pPr>
              <w:ind w:left="120"/>
              <w:spacing w:after="0"/>
              <w:rPr>
                <w:sz w:val="20"/>
                <w:szCs w:val="20"/>
                <w:color w:val="auto"/>
              </w:rPr>
            </w:pPr>
            <w:r>
              <w:rPr>
                <w:rFonts w:ascii="Arial" w:cs="Arial" w:eastAsia="Arial" w:hAnsi="Arial"/>
                <w:sz w:val="18"/>
                <w:szCs w:val="18"/>
                <w:color w:val="auto"/>
              </w:rPr>
              <w:t>10.23</w:t>
            </w:r>
          </w:p>
        </w:tc>
        <w:tc>
          <w:tcPr>
            <w:tcW w:w="9700" w:type="dxa"/>
            <w:vAlign w:val="bottom"/>
            <w:tcBorders>
              <w:bottom w:val="single" w:sz="8" w:color="0000EE"/>
            </w:tcBorders>
            <w:gridSpan w:val="18"/>
          </w:tcPr>
          <w:p>
            <w:pPr>
              <w:spacing w:after="0"/>
              <w:rPr>
                <w:rFonts w:ascii="Arial" w:cs="Arial" w:eastAsia="Arial" w:hAnsi="Arial"/>
                <w:sz w:val="18"/>
                <w:szCs w:val="18"/>
                <w:color w:val="0000EE"/>
                <w:w w:val="88"/>
              </w:rPr>
            </w:pPr>
            <w:hyperlink r:id="rId144">
              <w:r>
                <w:rPr>
                  <w:rFonts w:ascii="Arial" w:cs="Arial" w:eastAsia="Arial" w:hAnsi="Arial"/>
                  <w:sz w:val="18"/>
                  <w:szCs w:val="18"/>
                  <w:color w:val="0000EE"/>
                  <w:w w:val="88"/>
                </w:rPr>
                <w:t>Severance Agreement, dated September 8, 2020, between the Company and Ian Lawee incorporated herein by reference to Exhibit 10.1</w:t>
              </w:r>
            </w:hyperlink>
          </w:p>
        </w:tc>
        <w:tc>
          <w:tcPr>
            <w:tcW w:w="280" w:type="dxa"/>
            <w:vAlign w:val="bottom"/>
            <w:gridSpan w:val="8"/>
          </w:tcPr>
          <w:p>
            <w:pPr>
              <w:spacing w:after="0"/>
              <w:rPr>
                <w:sz w:val="24"/>
                <w:szCs w:val="24"/>
                <w:color w:val="auto"/>
              </w:rPr>
            </w:pPr>
          </w:p>
        </w:tc>
      </w:tr>
      <w:tr>
        <w:trPr>
          <w:trHeight w:val="194"/>
        </w:trPr>
        <w:tc>
          <w:tcPr>
            <w:tcW w:w="1260" w:type="dxa"/>
            <w:vAlign w:val="bottom"/>
          </w:tcPr>
          <w:p>
            <w:pPr>
              <w:spacing w:after="0"/>
              <w:rPr>
                <w:sz w:val="16"/>
                <w:szCs w:val="16"/>
                <w:color w:val="auto"/>
              </w:rPr>
            </w:pPr>
          </w:p>
        </w:tc>
        <w:tc>
          <w:tcPr>
            <w:tcW w:w="9980" w:type="dxa"/>
            <w:vAlign w:val="bottom"/>
            <w:gridSpan w:val="26"/>
          </w:tcPr>
          <w:p>
            <w:pPr>
              <w:spacing w:after="0" w:line="194" w:lineRule="exact"/>
              <w:rPr>
                <w:rFonts w:ascii="Arial" w:cs="Arial" w:eastAsia="Arial" w:hAnsi="Arial"/>
                <w:sz w:val="18"/>
                <w:szCs w:val="18"/>
                <w:color w:val="0000EE"/>
              </w:rPr>
            </w:pPr>
            <w:hyperlink r:id="rId144">
              <w:r>
                <w:rPr>
                  <w:rFonts w:ascii="Arial" w:cs="Arial" w:eastAsia="Arial" w:hAnsi="Arial"/>
                  <w:sz w:val="18"/>
                  <w:szCs w:val="18"/>
                  <w:color w:val="0000EE"/>
                </w:rPr>
                <w:t>from the Cohu, Inc. Quarterly Report on Form 10-Q filed with the Securities and Exchange Commission on April 29, 2022 *</w:t>
              </w:r>
            </w:hyperlink>
          </w:p>
        </w:tc>
      </w:tr>
      <w:tr>
        <w:trPr>
          <w:trHeight w:val="447"/>
        </w:trPr>
        <w:tc>
          <w:tcPr>
            <w:tcW w:w="1260" w:type="dxa"/>
            <w:vAlign w:val="bottom"/>
          </w:tcPr>
          <w:p>
            <w:pPr>
              <w:spacing w:after="0"/>
              <w:rPr>
                <w:sz w:val="24"/>
                <w:szCs w:val="24"/>
                <w:color w:val="auto"/>
              </w:rPr>
            </w:pPr>
          </w:p>
        </w:tc>
        <w:tc>
          <w:tcPr>
            <w:tcW w:w="5980" w:type="dxa"/>
            <w:vAlign w:val="bottom"/>
            <w:tcBorders>
              <w:top w:val="single" w:sz="8" w:color="0000EE"/>
            </w:tcBorders>
            <w:gridSpan w:val="7"/>
          </w:tcPr>
          <w:p>
            <w:pPr>
              <w:ind w:left="4280"/>
              <w:spacing w:after="0"/>
              <w:rPr>
                <w:sz w:val="20"/>
                <w:szCs w:val="20"/>
                <w:color w:val="auto"/>
              </w:rPr>
            </w:pPr>
            <w:r>
              <w:rPr>
                <w:rFonts w:ascii="Arial" w:cs="Arial" w:eastAsia="Arial" w:hAnsi="Arial"/>
                <w:sz w:val="18"/>
                <w:szCs w:val="18"/>
                <w:color w:val="auto"/>
              </w:rPr>
              <w:t>81</w:t>
            </w:r>
          </w:p>
        </w:tc>
        <w:tc>
          <w:tcPr>
            <w:tcW w:w="24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920" w:right="160" w:hanging="855"/>
        <w:spacing w:after="0" w:line="301"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10.24</w:t>
      </w:r>
      <w:r>
        <w:rPr>
          <w:sz w:val="20"/>
          <w:szCs w:val="20"/>
          <w:color w:val="auto"/>
        </w:rPr>
        <w:tab/>
      </w:r>
      <w:hyperlink r:id="rId145">
        <w:r>
          <w:rPr>
            <w:rFonts w:ascii="Arial" w:cs="Arial" w:eastAsia="Arial" w:hAnsi="Arial"/>
            <w:sz w:val="17"/>
            <w:szCs w:val="17"/>
            <w:u w:val="single" w:color="auto"/>
            <w:color w:val="0000EE"/>
          </w:rPr>
          <w:t>Change in Control Agreement, dated September 8, 2020, between the Company and Ian Lawee incorporated herein by reference to Exhibit 10.2</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from the Cohu, Inc. Quarterly Report on Form 10-Q filed with the Securities and Exchange Commission on April 29, 2022 *</w:t>
        </w:r>
      </w:hyperlink>
    </w:p>
    <w:p>
      <w:pPr>
        <w:spacing w:after="0" w:line="152" w:lineRule="exact"/>
        <w:rPr>
          <w:sz w:val="20"/>
          <w:szCs w:val="20"/>
          <w:color w:val="auto"/>
        </w:rPr>
      </w:pPr>
    </w:p>
    <w:p>
      <w:pPr>
        <w:ind w:left="920" w:right="160" w:hanging="855"/>
        <w:spacing w:after="0" w:line="255"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46">
        <w:r>
          <w:rPr>
            <w:rFonts w:ascii="Arial" w:cs="Arial" w:eastAsia="Arial" w:hAnsi="Arial"/>
            <w:sz w:val="18"/>
            <w:szCs w:val="18"/>
            <w:u w:val="single" w:color="auto"/>
            <w:color w:val="0000EE"/>
          </w:rPr>
          <w:t>Share and Asset Purchase Agreement, dated May 10, 2021, by and among Cohu, Inc., Cohu Semiconductor Test GmbH, Credence International</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Ltd. (BVI), Xcerra Corporation, Everett Charles Tech, Inc., KOGNITEC Vertrieb &amp; Service GmbH, Mycronic AB and Mycronic, Inc.</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incorporated herein by reference to Exhibit 10.1 from the Cohu, Inc. Current Report on Form 8-K filed with the Securities and Exchange</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Commission on May 13, 2021</w:t>
        </w:r>
      </w:hyperlink>
    </w:p>
    <w:p>
      <w:pPr>
        <w:spacing w:after="0" w:line="190" w:lineRule="exact"/>
        <w:rPr>
          <w:rFonts w:ascii="Arial" w:cs="Arial" w:eastAsia="Arial" w:hAnsi="Arial"/>
          <w:sz w:val="18"/>
          <w:szCs w:val="18"/>
          <w:u w:val="single" w:color="auto"/>
          <w:color w:val="0000EE"/>
        </w:rPr>
      </w:pPr>
    </w:p>
    <w:p>
      <w:pPr>
        <w:ind w:left="920" w:hanging="860"/>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0000EE"/>
        </w:rPr>
        <w:t>Subsidiaries of Cohu, Inc.</w:t>
      </w:r>
    </w:p>
    <w:p>
      <w:pPr>
        <w:spacing w:after="0" w:line="221" w:lineRule="exact"/>
        <w:rPr>
          <w:rFonts w:ascii="Arial" w:cs="Arial" w:eastAsia="Arial" w:hAnsi="Arial"/>
          <w:sz w:val="18"/>
          <w:szCs w:val="18"/>
          <w:u w:val="single" w:color="auto"/>
          <w:color w:val="0000EE"/>
        </w:rPr>
      </w:pPr>
    </w:p>
    <w:p>
      <w:pPr>
        <w:ind w:left="920" w:hanging="860"/>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0000EE"/>
        </w:rPr>
        <w:t>Consent of Independent Registered Public Accounting Firm</w:t>
      </w:r>
    </w:p>
    <w:p>
      <w:pPr>
        <w:spacing w:after="0" w:line="202" w:lineRule="exact"/>
        <w:rPr>
          <w:rFonts w:ascii="Arial" w:cs="Arial" w:eastAsia="Arial" w:hAnsi="Arial"/>
          <w:sz w:val="18"/>
          <w:szCs w:val="18"/>
          <w:u w:val="single" w:color="auto"/>
          <w:color w:val="0000EE"/>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gridSpan w:val="5"/>
          </w:tcPr>
          <w:p>
            <w:pPr>
              <w:spacing w:after="0"/>
              <w:rPr>
                <w:sz w:val="20"/>
                <w:szCs w:val="20"/>
                <w:color w:val="auto"/>
              </w:rPr>
            </w:pPr>
            <w:r>
              <w:rPr>
                <w:rFonts w:ascii="Arial" w:cs="Arial" w:eastAsia="Arial" w:hAnsi="Arial"/>
                <w:sz w:val="18"/>
                <w:szCs w:val="18"/>
                <w:color w:val="0000EE"/>
              </w:rPr>
              <w:t>Certification pursuant to Section 302(a) of the Sarbanes-Oxley Act of 2002 for Luis A. Müller</w:t>
            </w:r>
          </w:p>
        </w:tc>
      </w:tr>
      <w:tr>
        <w:trPr>
          <w:trHeight w:val="20"/>
        </w:trPr>
        <w:tc>
          <w:tcPr>
            <w:tcW w:w="860" w:type="dxa"/>
            <w:vAlign w:val="bottom"/>
          </w:tcPr>
          <w:p>
            <w:pPr>
              <w:spacing w:after="0" w:line="20" w:lineRule="exact"/>
              <w:rPr>
                <w:sz w:val="1"/>
                <w:szCs w:val="1"/>
                <w:color w:val="auto"/>
              </w:rPr>
            </w:pPr>
          </w:p>
        </w:tc>
        <w:tc>
          <w:tcPr>
            <w:tcW w:w="6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Arial" w:cs="Arial" w:eastAsia="Arial" w:hAnsi="Arial"/>
                <w:sz w:val="18"/>
                <w:szCs w:val="18"/>
                <w:color w:val="auto"/>
              </w:rPr>
              <w:t>31.2</w:t>
            </w:r>
          </w:p>
        </w:tc>
        <w:tc>
          <w:tcPr>
            <w:tcW w:w="10420" w:type="dxa"/>
            <w:vAlign w:val="bottom"/>
            <w:gridSpan w:val="5"/>
          </w:tcPr>
          <w:p>
            <w:pPr>
              <w:spacing w:after="0" w:line="194" w:lineRule="exact"/>
              <w:rPr>
                <w:sz w:val="20"/>
                <w:szCs w:val="20"/>
                <w:color w:val="auto"/>
              </w:rPr>
            </w:pPr>
            <w:r>
              <w:rPr>
                <w:rFonts w:ascii="Arial" w:cs="Arial" w:eastAsia="Arial" w:hAnsi="Arial"/>
                <w:sz w:val="18"/>
                <w:szCs w:val="18"/>
                <w:color w:val="0000EE"/>
              </w:rPr>
              <w:t>Certification pursuant to Section 302(a) of the Sarbanes-Oxley Act of 2002 for Jeffrey D. Jones</w:t>
            </w:r>
          </w:p>
        </w:tc>
      </w:tr>
      <w:tr>
        <w:trPr>
          <w:trHeight w:val="20"/>
        </w:trPr>
        <w:tc>
          <w:tcPr>
            <w:tcW w:w="860" w:type="dxa"/>
            <w:vAlign w:val="bottom"/>
          </w:tcPr>
          <w:p>
            <w:pPr>
              <w:spacing w:after="0" w:line="20" w:lineRule="exact"/>
              <w:rPr>
                <w:sz w:val="1"/>
                <w:szCs w:val="1"/>
                <w:color w:val="auto"/>
              </w:rPr>
            </w:pPr>
          </w:p>
        </w:tc>
        <w:tc>
          <w:tcPr>
            <w:tcW w:w="6800" w:type="dxa"/>
            <w:vAlign w:val="bottom"/>
            <w:gridSpan w:val="2"/>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Arial" w:cs="Arial" w:eastAsia="Arial" w:hAnsi="Arial"/>
                <w:sz w:val="18"/>
                <w:szCs w:val="18"/>
                <w:color w:val="auto"/>
              </w:rPr>
              <w:t>32.1</w:t>
            </w:r>
          </w:p>
        </w:tc>
        <w:tc>
          <w:tcPr>
            <w:tcW w:w="10420" w:type="dxa"/>
            <w:vAlign w:val="bottom"/>
            <w:gridSpan w:val="5"/>
          </w:tcPr>
          <w:p>
            <w:pPr>
              <w:spacing w:after="0" w:line="194" w:lineRule="exact"/>
              <w:rPr>
                <w:sz w:val="20"/>
                <w:szCs w:val="20"/>
                <w:color w:val="auto"/>
              </w:rPr>
            </w:pPr>
            <w:r>
              <w:rPr>
                <w:rFonts w:ascii="Arial" w:cs="Arial" w:eastAsia="Arial" w:hAnsi="Arial"/>
                <w:sz w:val="18"/>
                <w:szCs w:val="18"/>
                <w:color w:val="0000EE"/>
                <w:w w:val="94"/>
              </w:rPr>
              <w:t>Certification pursuant to 18 U.S.C. Section 1350, as adopted pursuant to Section 906 of the Sarbanes-Oxley Act of 2002 for Luis A. Müller</w:t>
            </w:r>
          </w:p>
        </w:tc>
      </w:tr>
      <w:tr>
        <w:trPr>
          <w:trHeight w:val="20"/>
        </w:trPr>
        <w:tc>
          <w:tcPr>
            <w:tcW w:w="860" w:type="dxa"/>
            <w:vAlign w:val="bottom"/>
          </w:tcPr>
          <w:p>
            <w:pPr>
              <w:spacing w:after="0" w:line="20" w:lineRule="exact"/>
              <w:rPr>
                <w:sz w:val="1"/>
                <w:szCs w:val="1"/>
                <w:color w:val="auto"/>
              </w:rPr>
            </w:pPr>
          </w:p>
        </w:tc>
        <w:tc>
          <w:tcPr>
            <w:tcW w:w="99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860" w:type="dxa"/>
            <w:vAlign w:val="bottom"/>
          </w:tcPr>
          <w:p>
            <w:pPr>
              <w:spacing w:after="0" w:line="194" w:lineRule="exact"/>
              <w:rPr>
                <w:sz w:val="20"/>
                <w:szCs w:val="20"/>
                <w:color w:val="auto"/>
              </w:rPr>
            </w:pPr>
            <w:r>
              <w:rPr>
                <w:rFonts w:ascii="Arial" w:cs="Arial" w:eastAsia="Arial" w:hAnsi="Arial"/>
                <w:sz w:val="18"/>
                <w:szCs w:val="18"/>
                <w:color w:val="auto"/>
              </w:rPr>
              <w:t>32.2</w:t>
            </w:r>
          </w:p>
        </w:tc>
        <w:tc>
          <w:tcPr>
            <w:tcW w:w="10420" w:type="dxa"/>
            <w:vAlign w:val="bottom"/>
            <w:gridSpan w:val="5"/>
          </w:tcPr>
          <w:p>
            <w:pPr>
              <w:spacing w:after="0" w:line="194" w:lineRule="exact"/>
              <w:rPr>
                <w:sz w:val="20"/>
                <w:szCs w:val="20"/>
                <w:color w:val="auto"/>
              </w:rPr>
            </w:pPr>
            <w:r>
              <w:rPr>
                <w:rFonts w:ascii="Arial" w:cs="Arial" w:eastAsia="Arial" w:hAnsi="Arial"/>
                <w:sz w:val="18"/>
                <w:szCs w:val="18"/>
                <w:color w:val="0000EE"/>
                <w:w w:val="92"/>
              </w:rPr>
              <w:t>Certification pursuant to 18 U.S.C. Section 1350, as adopted pursuant to Section 906 of the Sarbanes-Oxley Act of 2002 for Jeffrey D. Jones</w:t>
            </w:r>
          </w:p>
        </w:tc>
      </w:tr>
      <w:tr>
        <w:trPr>
          <w:trHeight w:val="20"/>
        </w:trPr>
        <w:tc>
          <w:tcPr>
            <w:tcW w:w="860" w:type="dxa"/>
            <w:vAlign w:val="bottom"/>
          </w:tcPr>
          <w:p>
            <w:pPr>
              <w:spacing w:after="0" w:line="20" w:lineRule="exact"/>
              <w:rPr>
                <w:sz w:val="1"/>
                <w:szCs w:val="1"/>
                <w:color w:val="auto"/>
              </w:rPr>
            </w:pPr>
          </w:p>
        </w:tc>
        <w:tc>
          <w:tcPr>
            <w:tcW w:w="1002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3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gridSpan w:val="5"/>
          </w:tcPr>
          <w:p>
            <w:pPr>
              <w:spacing w:after="0"/>
              <w:rPr>
                <w:sz w:val="20"/>
                <w:szCs w:val="20"/>
                <w:color w:val="auto"/>
              </w:rPr>
            </w:pPr>
            <w:r>
              <w:rPr>
                <w:rFonts w:ascii="Arial" w:cs="Arial" w:eastAsia="Arial" w:hAnsi="Arial"/>
                <w:sz w:val="18"/>
                <w:szCs w:val="18"/>
                <w:color w:val="auto"/>
                <w:w w:val="89"/>
              </w:rPr>
              <w:t>Inline XBRL Instance Document (the Instance Document does not appear in the Interactive Data File because its XBRL tags are embedded within</w:t>
            </w:r>
          </w:p>
        </w:tc>
      </w:tr>
      <w:tr>
        <w:trPr>
          <w:trHeight w:val="227"/>
        </w:trPr>
        <w:tc>
          <w:tcPr>
            <w:tcW w:w="860" w:type="dxa"/>
            <w:vAlign w:val="bottom"/>
          </w:tcPr>
          <w:p>
            <w:pPr>
              <w:spacing w:after="0"/>
              <w:rPr>
                <w:sz w:val="19"/>
                <w:szCs w:val="19"/>
                <w:color w:val="auto"/>
              </w:rPr>
            </w:pPr>
          </w:p>
        </w:tc>
        <w:tc>
          <w:tcPr>
            <w:tcW w:w="10420" w:type="dxa"/>
            <w:vAlign w:val="bottom"/>
            <w:gridSpan w:val="5"/>
          </w:tcPr>
          <w:p>
            <w:pPr>
              <w:spacing w:after="0"/>
              <w:rPr>
                <w:sz w:val="20"/>
                <w:szCs w:val="20"/>
                <w:color w:val="auto"/>
              </w:rPr>
            </w:pPr>
            <w:r>
              <w:rPr>
                <w:rFonts w:ascii="Arial" w:cs="Arial" w:eastAsia="Arial" w:hAnsi="Arial"/>
                <w:sz w:val="18"/>
                <w:szCs w:val="18"/>
                <w:color w:val="auto"/>
              </w:rPr>
              <w:t>the Inline XBRL document)</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1" w:lineRule="exact"/>
        <w:rPr>
          <w:rFonts w:ascii="Arial" w:cs="Arial" w:eastAsia="Arial" w:hAnsi="Arial"/>
          <w:sz w:val="18"/>
          <w:szCs w:val="18"/>
          <w:u w:val="single" w:color="auto"/>
          <w:color w:val="0000EE"/>
        </w:rPr>
      </w:pPr>
    </w:p>
    <w:p>
      <w:pPr>
        <w:ind w:left="1180" w:right="3960" w:hanging="1120"/>
        <w:spacing w:after="0" w:line="270" w:lineRule="auto"/>
        <w:tabs>
          <w:tab w:leader="none" w:pos="9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as Inline XBRL and contained in Exhibit 101) </w:t>
      </w:r>
      <w:r>
        <w:rPr>
          <w:rFonts w:ascii="Arial" w:cs="Arial" w:eastAsia="Arial" w:hAnsi="Arial"/>
          <w:sz w:val="21"/>
          <w:szCs w:val="21"/>
          <w:color w:val="auto"/>
        </w:rPr>
        <w:t xml:space="preserve">* </w:t>
      </w:r>
      <w:r>
        <w:rPr>
          <w:rFonts w:ascii="Arial" w:cs="Arial" w:eastAsia="Arial" w:hAnsi="Arial"/>
          <w:sz w:val="17"/>
          <w:szCs w:val="17"/>
          <w:color w:val="auto"/>
        </w:rPr>
        <w:t>Management contract or compensatory plan or arrangement</w:t>
      </w:r>
    </w:p>
    <w:p>
      <w:pPr>
        <w:spacing w:after="0" w:line="164" w:lineRule="exact"/>
        <w:rPr>
          <w:rFonts w:ascii="Arial" w:cs="Arial" w:eastAsia="Arial" w:hAnsi="Arial"/>
          <w:sz w:val="18"/>
          <w:szCs w:val="18"/>
          <w:u w:val="single" w:color="auto"/>
          <w:color w:val="0000EE"/>
        </w:rPr>
      </w:pPr>
    </w:p>
    <w:p>
      <w:pPr>
        <w:jc w:val="center"/>
        <w:ind w:right="100"/>
        <w:spacing w:after="0"/>
        <w:rPr>
          <w:sz w:val="20"/>
          <w:szCs w:val="20"/>
          <w:color w:val="auto"/>
        </w:rPr>
      </w:pPr>
      <w:r>
        <w:rPr>
          <w:rFonts w:ascii="Arial" w:cs="Arial" w:eastAsia="Arial" w:hAnsi="Arial"/>
          <w:sz w:val="18"/>
          <w:szCs w:val="18"/>
          <w:color w:val="auto"/>
        </w:rPr>
        <w:t>82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240" w:firstLine="8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COHU, INC.</w:t>
            </w:r>
          </w:p>
        </w:tc>
      </w:tr>
      <w:tr>
        <w:trPr>
          <w:trHeight w:val="429"/>
        </w:trPr>
        <w:tc>
          <w:tcPr>
            <w:tcW w:w="3720" w:type="dxa"/>
            <w:vAlign w:val="bottom"/>
          </w:tcPr>
          <w:p>
            <w:pPr>
              <w:spacing w:after="0"/>
              <w:rPr>
                <w:sz w:val="20"/>
                <w:szCs w:val="20"/>
                <w:color w:val="auto"/>
              </w:rPr>
            </w:pPr>
            <w:r>
              <w:rPr>
                <w:rFonts w:ascii="Arial" w:cs="Arial" w:eastAsia="Arial" w:hAnsi="Arial"/>
                <w:sz w:val="18"/>
                <w:szCs w:val="18"/>
                <w:color w:val="auto"/>
              </w:rPr>
              <w:t>Date: February 17, 2023</w:t>
            </w:r>
          </w:p>
        </w:tc>
        <w:tc>
          <w:tcPr>
            <w:tcW w:w="5040" w:type="dxa"/>
            <w:vAlign w:val="bottom"/>
            <w:gridSpan w:val="2"/>
          </w:tcPr>
          <w:p>
            <w:pPr>
              <w:ind w:left="1960"/>
              <w:spacing w:after="0"/>
              <w:rPr>
                <w:sz w:val="20"/>
                <w:szCs w:val="20"/>
                <w:color w:val="auto"/>
              </w:rPr>
            </w:pPr>
            <w:r>
              <w:rPr>
                <w:rFonts w:ascii="Arial" w:cs="Arial" w:eastAsia="Arial" w:hAnsi="Arial"/>
                <w:sz w:val="18"/>
                <w:szCs w:val="18"/>
                <w:color w:val="auto"/>
              </w:rPr>
              <w:t>By: /s/ Luis A. Müller</w:t>
            </w:r>
          </w:p>
        </w:tc>
      </w:tr>
      <w:tr>
        <w:trPr>
          <w:trHeight w:val="193"/>
        </w:trPr>
        <w:tc>
          <w:tcPr>
            <w:tcW w:w="37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8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Luis A. Müller</w:t>
            </w:r>
          </w:p>
        </w:tc>
      </w:tr>
      <w:tr>
        <w:trPr>
          <w:trHeight w:val="227"/>
        </w:trPr>
        <w:tc>
          <w:tcPr>
            <w:tcW w:w="37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3"/>
              </w:rPr>
              <w:t>President and Chief Executive Officer</w:t>
            </w:r>
          </w:p>
        </w:tc>
      </w:tr>
    </w:tbl>
    <w:p>
      <w:pPr>
        <w:spacing w:after="0" w:line="200" w:lineRule="exact"/>
        <w:rPr>
          <w:sz w:val="20"/>
          <w:szCs w:val="20"/>
          <w:color w:val="auto"/>
        </w:rPr>
      </w:pPr>
    </w:p>
    <w:p>
      <w:pPr>
        <w:spacing w:after="0" w:line="215" w:lineRule="exact"/>
        <w:rPr>
          <w:sz w:val="20"/>
          <w:szCs w:val="20"/>
          <w:color w:val="auto"/>
        </w:rPr>
      </w:pPr>
    </w:p>
    <w:p>
      <w:pPr>
        <w:ind w:firstLine="89"/>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60"/>
          </w:cols>
          <w:pgMar w:left="320" w:top="125" w:right="419" w:bottom="1440" w:gutter="0" w:footer="0" w:header="0"/>
        </w:sect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James A. Donahue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8256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Luis A. Müller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8256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8256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William E. Bendush</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8256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Steven J. Bilodeau</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8256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Andrew M. Caggia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Andrew M. Caggia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8256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Yon Y. Jorden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Yon Y. Jorden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8256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Andreas W. Mattes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Andreas W. Mattes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8256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Nina L. Richardson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Nina L.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8256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416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Date</w:t>
            </w:r>
          </w:p>
        </w:tc>
        <w:tc>
          <w:tcPr>
            <w:tcW w:w="960" w:type="dxa"/>
            <w:vAlign w:val="bottom"/>
          </w:tcPr>
          <w:p>
            <w:pPr>
              <w:spacing w:after="0"/>
              <w:rPr>
                <w:sz w:val="17"/>
                <w:szCs w:val="17"/>
                <w:color w:val="auto"/>
              </w:rPr>
            </w:pPr>
          </w:p>
        </w:tc>
      </w:tr>
      <w:tr>
        <w:trPr>
          <w:trHeight w:val="447"/>
        </w:trPr>
        <w:tc>
          <w:tcPr>
            <w:tcW w:w="5480" w:type="dxa"/>
            <w:vAlign w:val="bottom"/>
            <w:gridSpan w:val="3"/>
          </w:tcPr>
          <w:p>
            <w:pPr>
              <w:spacing w:after="0"/>
              <w:rPr>
                <w:sz w:val="20"/>
                <w:szCs w:val="20"/>
                <w:color w:val="auto"/>
              </w:rPr>
            </w:pPr>
            <w:r>
              <w:rPr>
                <w:rFonts w:ascii="Arial" w:cs="Arial" w:eastAsia="Arial" w:hAnsi="Arial"/>
                <w:sz w:val="18"/>
                <w:szCs w:val="18"/>
                <w:color w:val="auto"/>
              </w:rPr>
              <w:t>Chairperson of the Board,</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17, 2023</w:t>
            </w:r>
          </w:p>
        </w:tc>
      </w:tr>
      <w:tr>
        <w:trPr>
          <w:trHeight w:val="227"/>
        </w:trPr>
        <w:tc>
          <w:tcPr>
            <w:tcW w:w="54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8"/>
        </w:trPr>
        <w:tc>
          <w:tcPr>
            <w:tcW w:w="548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 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17, 2023</w:t>
            </w:r>
          </w:p>
        </w:tc>
      </w:tr>
      <w:tr>
        <w:trPr>
          <w:trHeight w:val="227"/>
        </w:trPr>
        <w:tc>
          <w:tcPr>
            <w:tcW w:w="548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8"/>
        </w:trPr>
        <w:tc>
          <w:tcPr>
            <w:tcW w:w="5480" w:type="dxa"/>
            <w:vAlign w:val="bottom"/>
            <w:gridSpan w:val="3"/>
          </w:tcPr>
          <w:p>
            <w:pPr>
              <w:spacing w:after="0"/>
              <w:rPr>
                <w:sz w:val="20"/>
                <w:szCs w:val="20"/>
                <w:color w:val="auto"/>
              </w:rPr>
            </w:pPr>
            <w:r>
              <w:rPr>
                <w:rFonts w:ascii="Arial" w:cs="Arial" w:eastAsia="Arial" w:hAnsi="Arial"/>
                <w:sz w:val="18"/>
                <w:szCs w:val="18"/>
                <w:color w:val="auto"/>
              </w:rPr>
              <w:t>Vice President, Finance and CFO</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17, 2023</w:t>
            </w:r>
          </w:p>
        </w:tc>
      </w:tr>
      <w:tr>
        <w:trPr>
          <w:trHeight w:val="227"/>
        </w:trPr>
        <w:tc>
          <w:tcPr>
            <w:tcW w:w="548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41"/>
        </w:trPr>
        <w:tc>
          <w:tcPr>
            <w:tcW w:w="54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17, 2023</w:t>
            </w:r>
          </w:p>
        </w:tc>
      </w:tr>
      <w:tr>
        <w:trPr>
          <w:trHeight w:val="655"/>
        </w:trPr>
        <w:tc>
          <w:tcPr>
            <w:tcW w:w="54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17, 2023</w:t>
            </w:r>
          </w:p>
        </w:tc>
      </w:tr>
      <w:tr>
        <w:trPr>
          <w:trHeight w:val="655"/>
        </w:trPr>
        <w:tc>
          <w:tcPr>
            <w:tcW w:w="54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17, 2023</w:t>
            </w:r>
          </w:p>
        </w:tc>
      </w:tr>
      <w:tr>
        <w:trPr>
          <w:trHeight w:val="655"/>
        </w:trPr>
        <w:tc>
          <w:tcPr>
            <w:tcW w:w="54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17, 2023</w:t>
            </w:r>
          </w:p>
        </w:tc>
      </w:tr>
      <w:tr>
        <w:trPr>
          <w:trHeight w:val="655"/>
        </w:trPr>
        <w:tc>
          <w:tcPr>
            <w:tcW w:w="54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17, 2023</w:t>
            </w:r>
          </w:p>
        </w:tc>
      </w:tr>
      <w:tr>
        <w:trPr>
          <w:trHeight w:val="655"/>
        </w:trPr>
        <w:tc>
          <w:tcPr>
            <w:tcW w:w="54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17, 2023</w:t>
            </w:r>
          </w:p>
        </w:tc>
      </w:tr>
      <w:tr>
        <w:trPr>
          <w:trHeight w:val="642"/>
        </w:trPr>
        <w:tc>
          <w:tcPr>
            <w:tcW w:w="5480" w:type="dxa"/>
            <w:vAlign w:val="bottom"/>
            <w:gridSpan w:val="3"/>
          </w:tcPr>
          <w:p>
            <w:pPr>
              <w:ind w:left="1880"/>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68580</wp:posOffset>
            </wp:positionV>
            <wp:extent cx="71335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2">
            <w:col w:w="2940" w:space="720"/>
            <w:col w:w="7500"/>
          </w:cols>
          <w:pgMar w:left="320" w:top="125" w:right="41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2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70"/>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COHU, INC.</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VALUATION AND QUALIFYING ACCOUNTS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7"/>
        </w:trPr>
        <w:tc>
          <w:tcPr>
            <w:tcW w:w="3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5"/>
        </w:trPr>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231"/>
              <w:spacing w:after="0"/>
              <w:rPr>
                <w:sz w:val="20"/>
                <w:szCs w:val="20"/>
                <w:color w:val="auto"/>
              </w:rPr>
            </w:pPr>
            <w:r>
              <w:rPr>
                <w:rFonts w:ascii="Arial" w:cs="Arial" w:eastAsia="Arial" w:hAnsi="Arial"/>
                <w:sz w:val="18"/>
                <w:szCs w:val="18"/>
                <w:color w:val="auto"/>
                <w:w w:val="94"/>
              </w:rPr>
              <w:t>Additions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4"/>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11"/>
              <w:spacing w:after="0"/>
              <w:rPr>
                <w:sz w:val="20"/>
                <w:szCs w:val="20"/>
                <w:color w:val="auto"/>
              </w:rPr>
            </w:pPr>
            <w:r>
              <w:rPr>
                <w:rFonts w:ascii="Arial" w:cs="Arial" w:eastAsia="Arial" w:hAnsi="Arial"/>
                <w:sz w:val="18"/>
                <w:szCs w:val="18"/>
                <w:color w:val="auto"/>
                <w:w w:val="90"/>
              </w:rPr>
              <w:t>(Reductions)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center"/>
              <w:ind w:right="211"/>
              <w:spacing w:after="0"/>
              <w:rPr>
                <w:sz w:val="20"/>
                <w:szCs w:val="20"/>
                <w:color w:val="auto"/>
              </w:rPr>
            </w:pPr>
            <w:r>
              <w:rPr>
                <w:rFonts w:ascii="Arial" w:cs="Arial" w:eastAsia="Arial" w:hAnsi="Arial"/>
                <w:sz w:val="18"/>
                <w:szCs w:val="18"/>
                <w:color w:val="auto"/>
                <w:w w:val="86"/>
              </w:rPr>
              <w:t>Balance at</w:t>
            </w:r>
          </w:p>
        </w:tc>
        <w:tc>
          <w:tcPr>
            <w:tcW w:w="260" w:type="dxa"/>
            <w:vAlign w:val="bottom"/>
          </w:tcPr>
          <w:p>
            <w:pPr>
              <w:spacing w:after="0"/>
              <w:rPr>
                <w:sz w:val="18"/>
                <w:szCs w:val="18"/>
                <w:color w:val="auto"/>
              </w:rPr>
            </w:pPr>
          </w:p>
        </w:tc>
        <w:tc>
          <w:tcPr>
            <w:tcW w:w="1300" w:type="dxa"/>
            <w:vAlign w:val="bottom"/>
          </w:tcPr>
          <w:p>
            <w:pPr>
              <w:jc w:val="center"/>
              <w:ind w:right="231"/>
              <w:spacing w:after="0"/>
              <w:rPr>
                <w:sz w:val="20"/>
                <w:szCs w:val="20"/>
                <w:color w:val="auto"/>
              </w:rPr>
            </w:pPr>
            <w:r>
              <w:rPr>
                <w:rFonts w:ascii="Arial" w:cs="Arial" w:eastAsia="Arial" w:hAnsi="Arial"/>
                <w:sz w:val="18"/>
                <w:szCs w:val="18"/>
                <w:color w:val="auto"/>
                <w:w w:val="92"/>
              </w:rPr>
              <w:t>Not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191"/>
              <w:spacing w:after="0"/>
              <w:rPr>
                <w:sz w:val="20"/>
                <w:szCs w:val="20"/>
                <w:color w:val="auto"/>
              </w:rPr>
            </w:pPr>
            <w:r>
              <w:rPr>
                <w:rFonts w:ascii="Arial" w:cs="Arial" w:eastAsia="Arial" w:hAnsi="Arial"/>
                <w:sz w:val="18"/>
                <w:szCs w:val="18"/>
                <w:color w:val="auto"/>
                <w:w w:val="94"/>
              </w:rPr>
              <w:t>Additions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51"/>
              <w:spacing w:after="0"/>
              <w:rPr>
                <w:sz w:val="20"/>
                <w:szCs w:val="20"/>
                <w:color w:val="auto"/>
              </w:rPr>
            </w:pPr>
            <w:r>
              <w:rPr>
                <w:rFonts w:ascii="Arial" w:cs="Arial" w:eastAsia="Arial" w:hAnsi="Arial"/>
                <w:sz w:val="18"/>
                <w:szCs w:val="18"/>
                <w:color w:val="auto"/>
                <w:w w:val="89"/>
              </w:rPr>
              <w:t>Balance</w:t>
            </w:r>
          </w:p>
        </w:tc>
      </w:tr>
      <w:tr>
        <w:trPr>
          <w:trHeight w:val="218"/>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center"/>
              <w:ind w:right="211"/>
              <w:spacing w:after="0"/>
              <w:rPr>
                <w:sz w:val="20"/>
                <w:szCs w:val="20"/>
                <w:color w:val="auto"/>
              </w:rPr>
            </w:pPr>
            <w:r>
              <w:rPr>
                <w:rFonts w:ascii="Arial" w:cs="Arial" w:eastAsia="Arial" w:hAnsi="Arial"/>
                <w:sz w:val="18"/>
                <w:szCs w:val="18"/>
                <w:color w:val="auto"/>
                <w:w w:val="92"/>
              </w:rPr>
              <w:t>Beginning</w:t>
            </w:r>
          </w:p>
        </w:tc>
        <w:tc>
          <w:tcPr>
            <w:tcW w:w="260" w:type="dxa"/>
            <w:vAlign w:val="bottom"/>
          </w:tcPr>
          <w:p>
            <w:pPr>
              <w:spacing w:after="0"/>
              <w:rPr>
                <w:sz w:val="18"/>
                <w:szCs w:val="18"/>
                <w:color w:val="auto"/>
              </w:rPr>
            </w:pPr>
          </w:p>
        </w:tc>
        <w:tc>
          <w:tcPr>
            <w:tcW w:w="1300" w:type="dxa"/>
            <w:vAlign w:val="bottom"/>
          </w:tcPr>
          <w:p>
            <w:pPr>
              <w:jc w:val="center"/>
              <w:ind w:right="211"/>
              <w:spacing w:after="0"/>
              <w:rPr>
                <w:sz w:val="20"/>
                <w:szCs w:val="20"/>
                <w:color w:val="auto"/>
              </w:rPr>
            </w:pPr>
            <w:r>
              <w:rPr>
                <w:rFonts w:ascii="Arial" w:cs="Arial" w:eastAsia="Arial" w:hAnsi="Arial"/>
                <w:sz w:val="18"/>
                <w:szCs w:val="18"/>
                <w:color w:val="auto"/>
                <w:w w:val="86"/>
              </w:rPr>
              <w:t>Charged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211"/>
              <w:spacing w:after="0"/>
              <w:rPr>
                <w:sz w:val="20"/>
                <w:szCs w:val="20"/>
                <w:color w:val="auto"/>
              </w:rPr>
            </w:pPr>
            <w:r>
              <w:rPr>
                <w:rFonts w:ascii="Arial" w:cs="Arial" w:eastAsia="Arial" w:hAnsi="Arial"/>
                <w:sz w:val="18"/>
                <w:szCs w:val="18"/>
                <w:color w:val="auto"/>
                <w:w w:val="86"/>
              </w:rPr>
              <w:t>Charged</w:t>
            </w:r>
          </w:p>
        </w:tc>
        <w:tc>
          <w:tcPr>
            <w:tcW w:w="260" w:type="dxa"/>
            <w:vAlign w:val="bottom"/>
          </w:tcPr>
          <w:p>
            <w:pPr>
              <w:spacing w:after="0"/>
              <w:rPr>
                <w:sz w:val="18"/>
                <w:szCs w:val="18"/>
                <w:color w:val="auto"/>
              </w:rPr>
            </w:pPr>
          </w:p>
        </w:tc>
        <w:tc>
          <w:tcPr>
            <w:tcW w:w="1280" w:type="dxa"/>
            <w:vAlign w:val="bottom"/>
          </w:tcPr>
          <w:p>
            <w:pPr>
              <w:jc w:val="right"/>
              <w:ind w:right="271"/>
              <w:spacing w:after="0"/>
              <w:rPr>
                <w:sz w:val="20"/>
                <w:szCs w:val="20"/>
                <w:color w:val="auto"/>
              </w:rPr>
            </w:pPr>
            <w:r>
              <w:rPr>
                <w:rFonts w:ascii="Arial" w:cs="Arial" w:eastAsia="Arial" w:hAnsi="Arial"/>
                <w:sz w:val="18"/>
                <w:szCs w:val="18"/>
                <w:color w:val="auto"/>
                <w:w w:val="94"/>
              </w:rPr>
              <w:t>Deductions/</w:t>
            </w:r>
          </w:p>
        </w:tc>
        <w:tc>
          <w:tcPr>
            <w:tcW w:w="300" w:type="dxa"/>
            <w:vAlign w:val="bottom"/>
          </w:tcPr>
          <w:p>
            <w:pPr>
              <w:spacing w:after="0"/>
              <w:rPr>
                <w:sz w:val="18"/>
                <w:szCs w:val="18"/>
                <w:color w:val="auto"/>
              </w:rPr>
            </w:pPr>
          </w:p>
        </w:tc>
        <w:tc>
          <w:tcPr>
            <w:tcW w:w="1200" w:type="dxa"/>
            <w:vAlign w:val="bottom"/>
          </w:tcPr>
          <w:p>
            <w:pPr>
              <w:jc w:val="center"/>
              <w:ind w:right="251"/>
              <w:spacing w:after="0"/>
              <w:rPr>
                <w:sz w:val="20"/>
                <w:szCs w:val="20"/>
                <w:color w:val="auto"/>
              </w:rPr>
            </w:pPr>
            <w:r>
              <w:rPr>
                <w:rFonts w:ascii="Arial" w:cs="Arial" w:eastAsia="Arial" w:hAnsi="Arial"/>
                <w:sz w:val="18"/>
                <w:szCs w:val="18"/>
                <w:color w:val="auto"/>
                <w:w w:val="88"/>
              </w:rPr>
              <w:t>at End</w:t>
            </w:r>
          </w:p>
        </w:tc>
      </w:tr>
      <w:tr>
        <w:trPr>
          <w:trHeight w:val="238"/>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color w:val="auto"/>
                <w:w w:val="89"/>
              </w:rPr>
              <w:t>of Year</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17"/>
                <w:szCs w:val="17"/>
                <w:color w:val="auto"/>
              </w:rPr>
              <w:t xml:space="preserve">to Expense   </w:t>
            </w:r>
            <w:r>
              <w:rPr>
                <w:rFonts w:ascii="Arial" w:cs="Arial" w:eastAsia="Arial" w:hAnsi="Arial"/>
                <w:sz w:val="27"/>
                <w:szCs w:val="27"/>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color w:val="auto"/>
                <w:w w:val="88"/>
              </w:rPr>
              <w:t>to Expense</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Write-offs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89"/>
              </w:rPr>
              <w:t>of Year</w:t>
            </w:r>
          </w:p>
        </w:tc>
      </w:tr>
      <w:tr>
        <w:trPr>
          <w:trHeight w:val="207"/>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26, 2020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128</w:t>
            </w:r>
          </w:p>
        </w:tc>
      </w:tr>
      <w:tr>
        <w:trPr>
          <w:trHeight w:val="214"/>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25, 2021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290</w:t>
            </w:r>
          </w:p>
        </w:tc>
      </w:tr>
      <w:tr>
        <w:trPr>
          <w:trHeight w:val="214"/>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205</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199</w:t>
            </w:r>
          </w:p>
        </w:tc>
      </w:tr>
      <w:tr>
        <w:trPr>
          <w:trHeight w:val="214"/>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12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w w:val="94"/>
              </w:rPr>
              <w:t>Reserve for excess and obsolete inventories: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12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rPr>
              <w:t>Year ended December 26, 2020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20,958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4,611</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6,749</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26,937</w:t>
            </w:r>
          </w:p>
        </w:tc>
      </w:tr>
      <w:tr>
        <w:trPr>
          <w:trHeight w:val="214"/>
        </w:trPr>
        <w:tc>
          <w:tcPr>
            <w:tcW w:w="12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rPr>
              <w:t>Year ended December 25, 2021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26,937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(2,926)</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7,102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8,101</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23,012</w:t>
            </w:r>
          </w:p>
        </w:tc>
      </w:tr>
      <w:tr>
        <w:trPr>
          <w:trHeight w:val="214"/>
        </w:trPr>
        <w:tc>
          <w:tcPr>
            <w:tcW w:w="12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7"/>
        </w:trPr>
        <w:tc>
          <w:tcPr>
            <w:tcW w:w="3420" w:type="dxa"/>
            <w:vAlign w:val="bottom"/>
            <w:gridSpan w:val="2"/>
          </w:tcPr>
          <w:p>
            <w:pPr>
              <w:spacing w:after="0"/>
              <w:rPr>
                <w:sz w:val="20"/>
                <w:szCs w:val="20"/>
                <w:color w:val="auto"/>
              </w:rPr>
            </w:pPr>
            <w:r>
              <w:rPr>
                <w:rFonts w:ascii="Arial" w:cs="Arial" w:eastAsia="Arial" w:hAnsi="Arial"/>
                <w:sz w:val="18"/>
                <w:szCs w:val="18"/>
                <w:color w:val="auto"/>
              </w:rPr>
              <w:t>Year ended December 31, 2022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23,012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7,179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4,018</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26,871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All amounts presented above have been restated to exclude the impact of our discontinued operations.</w:t>
      </w:r>
    </w:p>
    <w:p>
      <w:pPr>
        <w:spacing w:after="0" w:line="221" w:lineRule="exact"/>
        <w:rPr>
          <w:sz w:val="20"/>
          <w:szCs w:val="20"/>
          <w:color w:val="auto"/>
        </w:rPr>
      </w:pPr>
    </w:p>
    <w:p>
      <w:pPr>
        <w:ind w:left="260" w:hanging="253"/>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 and reclassifications from other reserves.</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Reductions not charged to expense includes $2.2 million transferred as part of the sale of our PCB Test business.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06"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EXHIBIT 4.1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firstLine="428"/>
        <w:spacing w:after="0" w:line="293" w:lineRule="auto"/>
        <w:rPr>
          <w:sz w:val="20"/>
          <w:szCs w:val="20"/>
          <w:color w:val="auto"/>
        </w:rPr>
      </w:pPr>
      <w:r>
        <w:rPr>
          <w:rFonts w:ascii="Arial" w:cs="Arial" w:eastAsia="Arial" w:hAnsi="Arial"/>
          <w:sz w:val="16"/>
          <w:szCs w:val="16"/>
          <w:color w:val="auto"/>
        </w:rPr>
        <w:t>The following description of the capital stock of Cohu, Inc. (“us,” “our,” “we” or the “Company”) is a summary of the rights of our common stock and certain provisions of our certificate of incorporation and bylaws currently in effect. This summary does not purport to be complete and for the complete terms of our capital stock, please refer to our amended and restated certificate of incorporation, as amended (our “certificate of incorporation”) and our amended and restated bylaws, as amended (our “bylaws”). The terms of these securities may also be affected by the Delaware General Corporation Law (the “DGCL”). The summary below is qualified in its entirety by reference to our certificate of incorporation and our bylaws.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ind w:right="200" w:firstLine="428"/>
        <w:spacing w:after="0" w:line="255" w:lineRule="auto"/>
        <w:rPr>
          <w:sz w:val="20"/>
          <w:szCs w:val="20"/>
          <w:color w:val="auto"/>
        </w:rPr>
      </w:pPr>
      <w:r>
        <w:rPr>
          <w:rFonts w:ascii="Arial" w:cs="Arial" w:eastAsia="Arial" w:hAnsi="Arial"/>
          <w:sz w:val="18"/>
          <w:szCs w:val="18"/>
          <w:color w:val="auto"/>
        </w:rPr>
        <w:t>We are authorized to issue 90,000,000 shares of common stock. The holders of Common Stock possess exclusive voting rights in us, except to the extent our board of directors specifies voting power with respect to any other class of securities issued in the future. Each holder of our common stock is entitled to one vote for each share held of record on each matter submitted to a vote of stockholders, including the election of directors. Stockholders have the right to cumulate votes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198120</wp:posOffset>
            </wp:positionV>
            <wp:extent cx="71335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90" w:name="page91"/>
    <w:bookmarkEnd w:id="90"/>
    <w:p>
      <w:pPr>
        <w:ind w:right="40" w:firstLine="428"/>
        <w:spacing w:after="0" w:line="270" w:lineRule="auto"/>
        <w:rPr>
          <w:sz w:val="20"/>
          <w:szCs w:val="20"/>
          <w:color w:val="auto"/>
        </w:rPr>
      </w:pPr>
      <w:r>
        <w:rPr>
          <w:rFonts w:ascii="Arial" w:cs="Arial" w:eastAsia="Arial" w:hAnsi="Arial"/>
          <w:sz w:val="17"/>
          <w:szCs w:val="17"/>
          <w:color w:val="auto"/>
        </w:rPr>
        <w:t>Subject to preferences that may be granted to the holders of preferred stock, each holder of our common stock is entitled to share ratably in distributions to stockholders and to receive ratably such dividends as may be declared by our board of directors out of funds legally available therefor. In the event of our liquidation, dissolution or winding up, the holders of our common stock will be entitled to receive, after payment of all of our debts and liabilities and of all sums to which holders of any preferred stock may be entitled, the distribution of any of our remaining assets. Holders of our common stock have no conversion, exchange, sinking fund, redemption or appraisal rights (other than such as may be determined by our board of directors in its sole discretion) and have no preemptive rights to subscribe for any of our securities.</w:t>
      </w:r>
    </w:p>
    <w:p>
      <w:pPr>
        <w:spacing w:after="0" w:line="178" w:lineRule="exact"/>
        <w:rPr>
          <w:sz w:val="20"/>
          <w:szCs w:val="20"/>
          <w:color w:val="auto"/>
        </w:rPr>
      </w:pPr>
    </w:p>
    <w:p>
      <w:pPr>
        <w:ind w:right="140" w:firstLine="428"/>
        <w:spacing w:after="0" w:line="335" w:lineRule="auto"/>
        <w:rPr>
          <w:sz w:val="20"/>
          <w:szCs w:val="20"/>
          <w:color w:val="auto"/>
        </w:rPr>
      </w:pPr>
      <w:r>
        <w:rPr>
          <w:rFonts w:ascii="Arial" w:cs="Arial" w:eastAsia="Arial" w:hAnsi="Arial"/>
          <w:sz w:val="16"/>
          <w:szCs w:val="16"/>
          <w:color w:val="auto"/>
        </w:rPr>
        <w:t>All of the outstanding shares of our common stock are, and the shares of common stock issued upon the conversion of any securities convertible into our common stock will be, fully paid and non-assessable. Our common stock is listed on the Nasdaq Global Select Market under the symbol “COHU”.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5" w:lineRule="exact"/>
        <w:rPr>
          <w:sz w:val="20"/>
          <w:szCs w:val="20"/>
          <w:color w:val="auto"/>
        </w:rPr>
      </w:pPr>
    </w:p>
    <w:p>
      <w:pPr>
        <w:ind w:firstLine="428"/>
        <w:spacing w:after="0" w:line="268" w:lineRule="auto"/>
        <w:rPr>
          <w:sz w:val="20"/>
          <w:szCs w:val="20"/>
          <w:color w:val="auto"/>
        </w:rPr>
      </w:pPr>
      <w:r>
        <w:rPr>
          <w:rFonts w:ascii="Arial" w:cs="Arial" w:eastAsia="Arial" w:hAnsi="Arial"/>
          <w:sz w:val="17"/>
          <w:szCs w:val="17"/>
          <w:color w:val="auto"/>
        </w:rPr>
        <w:t>We are authorized to issue 1,000,000 shares of preferred stock, none of which were issued and outstanding. Our board is authorized, without action by our stockholders, to classify or reclassify any unissued portion of our authorized shares of preferred stock to provide for the issuance of shares of other classes or series, including preferred stock in one or more series. Our board may fix or alter the dividend rights, dividend rate, conversion rights, voting rights, rights and terms of redemption (including sinking fund provisions), the redemption price or prices, the liquidation preferences of any wholly unissued series of Preferred Stock, and the number of shares constituting any such series and the designation thereof, or any of them; and to increase or decrease the number of shares of any series subsequent to the issue of shares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Delaware Law and our 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w:t>
      </w:r>
    </w:p>
    <w:p>
      <w:pPr>
        <w:spacing w:after="0" w:line="221" w:lineRule="exact"/>
        <w:rPr>
          <w:sz w:val="20"/>
          <w:szCs w:val="20"/>
          <w:color w:val="auto"/>
        </w:rPr>
      </w:pPr>
    </w:p>
    <w:p>
      <w:pPr>
        <w:ind w:firstLine="410"/>
        <w:spacing w:after="0" w:line="283"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 In addition, our certificate of incorporation provides that any business combination involving any stockholder who, together with affiliates and associates, owns 5% or more of our outstanding common stock, must be approved by affirmative vote of the holders of not less than 80% of the total voting power of all outstanding shares of stock, provided, however, that the foregoing shall not apply to any business combination which was approved by resolution of our Board of Directors prior to the acquisition of the ownership or control of ten (10%) percent of our outstanding shares by such related party, nor shall it apply to any business combination between Cohu and another corporation, fifty (50%) percent or more of the voting stock of which is owned by Cohu, and none of which is owned or controlled by a related party, provided that each Cohu stockholder receives the same type of consideration in such transaction in proportion to his stockholding.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Vacancies</w:t>
      </w:r>
    </w:p>
    <w:p>
      <w:pPr>
        <w:spacing w:after="0" w:line="221" w:lineRule="exact"/>
        <w:rPr>
          <w:sz w:val="20"/>
          <w:szCs w:val="20"/>
          <w:color w:val="auto"/>
        </w:rPr>
      </w:pPr>
    </w:p>
    <w:p>
      <w:pPr>
        <w:ind w:right="200" w:firstLine="410"/>
        <w:spacing w:after="0" w:line="271" w:lineRule="auto"/>
        <w:rPr>
          <w:sz w:val="20"/>
          <w:szCs w:val="20"/>
          <w:color w:val="auto"/>
        </w:rPr>
      </w:pPr>
      <w:r>
        <w:rPr>
          <w:rFonts w:ascii="Arial" w:cs="Arial" w:eastAsia="Arial" w:hAnsi="Arial"/>
          <w:sz w:val="18"/>
          <w:szCs w:val="18"/>
          <w:color w:val="auto"/>
        </w:rPr>
        <w:t>Our bylaws provide that any vacancy or vacancies in the Board resulting from the death, resignation or removal of any director, or an increase in the authorized number of directors, may be filled by a majority of the remaining directors, though less than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335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Undesignated Preferred Stock</w:t>
      </w:r>
    </w:p>
    <w:p>
      <w:pPr>
        <w:spacing w:after="0" w:line="221" w:lineRule="exact"/>
        <w:rPr>
          <w:sz w:val="20"/>
          <w:szCs w:val="20"/>
          <w:color w:val="auto"/>
        </w:rPr>
      </w:pPr>
    </w:p>
    <w:p>
      <w:pPr>
        <w:ind w:right="140" w:firstLine="410"/>
        <w:spacing w:after="0" w:line="255" w:lineRule="auto"/>
        <w:rPr>
          <w:sz w:val="20"/>
          <w:szCs w:val="20"/>
          <w:color w:val="auto"/>
        </w:rPr>
      </w:pPr>
      <w:r>
        <w:rPr>
          <w:rFonts w:ascii="Arial" w:cs="Arial" w:eastAsia="Arial" w:hAnsi="Arial"/>
          <w:sz w:val="18"/>
          <w:szCs w:val="18"/>
          <w:color w:val="auto"/>
        </w:rPr>
        <w:t>The authority that will be possessed by our board of directors to issue preferred stock could potentially be used to discourage attempts by third parties to obtain control of our company through a merger, tender offer, proxy contest or otherwise by making such attempts more difficult or more costly. Our board of directors may issue preferred stock with voting rights or conversion rights that, if exercised, could adversely affect the voting power of the holders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 Requirements</w:t>
      </w:r>
    </w:p>
    <w:p>
      <w:pPr>
        <w:spacing w:after="0" w:line="221" w:lineRule="exact"/>
        <w:rPr>
          <w:sz w:val="20"/>
          <w:szCs w:val="20"/>
          <w:color w:val="auto"/>
        </w:rPr>
      </w:pPr>
    </w:p>
    <w:p>
      <w:pPr>
        <w:ind w:firstLine="410"/>
        <w:spacing w:after="0" w:line="253" w:lineRule="auto"/>
        <w:rPr>
          <w:sz w:val="20"/>
          <w:szCs w:val="20"/>
          <w:color w:val="auto"/>
        </w:rPr>
      </w:pPr>
      <w:r>
        <w:rPr>
          <w:rFonts w:ascii="Arial" w:cs="Arial" w:eastAsia="Arial" w:hAnsi="Arial"/>
          <w:sz w:val="18"/>
          <w:szCs w:val="18"/>
          <w:color w:val="auto"/>
        </w:rPr>
        <w:t>Our bylaws provide that special meetings of our stockholders may only be called at the request of a majority of our Board of Directors or at the request, in writing, of stockholders owning a majority of our then issued and outstanding capital stock provided such meeting is for the sole purpose of considering the removal from office of a director who has been convicted of a felony by a court of competent jurisdiction and such conviction is no longer subject to a direct repeal, or a director who has been adjudged to be liable for negligence or misconduct in the performance of his duty to the Company by a court of competent jurisdiction and such adjudication is no longer subject to direct appeal.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w:t>
      </w:r>
    </w:p>
    <w:p>
      <w:pPr>
        <w:spacing w:after="0" w:line="221" w:lineRule="exact"/>
        <w:rPr>
          <w:sz w:val="20"/>
          <w:szCs w:val="20"/>
          <w:color w:val="auto"/>
        </w:rPr>
      </w:pPr>
    </w:p>
    <w:p>
      <w:pPr>
        <w:ind w:right="80" w:firstLine="410"/>
        <w:spacing w:after="0" w:line="267" w:lineRule="auto"/>
        <w:rPr>
          <w:sz w:val="20"/>
          <w:szCs w:val="20"/>
          <w:color w:val="auto"/>
        </w:rPr>
      </w:pPr>
      <w:r>
        <w:rPr>
          <w:rFonts w:ascii="Arial" w:cs="Arial" w:eastAsia="Arial" w:hAnsi="Arial"/>
          <w:sz w:val="17"/>
          <w:szCs w:val="17"/>
          <w:color w:val="auto"/>
        </w:rPr>
        <w:t>Our certificate of incorporation provides that our board of directors is divided into three classes, each comprised of three directors. The directors designated as Class 1 directors have a term expiring at our annual meeting of stockholders in 2023. The directors designated as Class 2 directors have a term expiring at our annual meeting of stockholders in 2024, and the directors designated as Class 3 directors have a term expiring at our annual meeting of stockholders in 2025.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majority of the votes cast in an uncontested election by the stockholders entitled to vote at the election. A contested election will be determined by a plurality of the votes cast. Under the classified board provisions, it will take at least two elections of directors for any individual or group to gain control of our board. Accordingly, these provisions could discourage a third party from initiating a proxy contest, making a tender offer or otherwise attempting to gain control of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221" w:lineRule="exact"/>
        <w:rPr>
          <w:sz w:val="20"/>
          <w:szCs w:val="20"/>
          <w:color w:val="auto"/>
        </w:rPr>
      </w:pPr>
    </w:p>
    <w:p>
      <w:pPr>
        <w:ind w:right="240" w:firstLine="410"/>
        <w:spacing w:after="0" w:line="271" w:lineRule="auto"/>
        <w:rPr>
          <w:sz w:val="20"/>
          <w:szCs w:val="20"/>
          <w:color w:val="auto"/>
        </w:rPr>
      </w:pPr>
      <w:r>
        <w:rPr>
          <w:rFonts w:ascii="Arial" w:cs="Arial" w:eastAsia="Arial" w:hAnsi="Arial"/>
          <w:sz w:val="18"/>
          <w:szCs w:val="18"/>
          <w:color w:val="auto"/>
        </w:rPr>
        <w:t>Our bylaws expressly eliminates the right of our stockholders to act by written consent. Stockholder action must take place at the annual or a special meeting of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but Unissued Shares</w:t>
      </w:r>
    </w:p>
    <w:p>
      <w:pPr>
        <w:spacing w:after="0" w:line="221" w:lineRule="exact"/>
        <w:rPr>
          <w:sz w:val="20"/>
          <w:szCs w:val="20"/>
          <w:color w:val="auto"/>
        </w:rPr>
      </w:pPr>
    </w:p>
    <w:p>
      <w:pPr>
        <w:ind w:right="100" w:firstLine="410"/>
        <w:spacing w:after="0" w:line="255"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us by means of a proxy contest, tender offer, merger or otherwise.</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above provisions may deter a hostile takeover or delay a change in control or management of us.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our capital stock is ComputerShare Investor Services, LLC.</w:t>
      </w:r>
    </w:p>
    <w:p>
      <w:pPr>
        <w:sectPr>
          <w:pgSz w:w="11900" w:h="16838" w:orient="portrait"/>
          <w:cols w:equalWidth="0" w:num="1">
            <w:col w:w="11240"/>
          </w:cols>
          <w:pgMar w:left="320" w:top="366"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500" w:type="dxa"/>
            <w:vAlign w:val="bottom"/>
          </w:tcPr>
          <w:p>
            <w:pPr>
              <w:ind w:left="1500"/>
              <w:spacing w:after="0"/>
              <w:rPr>
                <w:sz w:val="20"/>
                <w:szCs w:val="20"/>
                <w:color w:val="auto"/>
              </w:rPr>
            </w:pPr>
            <w:r>
              <w:rPr>
                <w:rFonts w:ascii="Arial" w:cs="Arial" w:eastAsia="Arial" w:hAnsi="Arial"/>
                <w:sz w:val="18"/>
                <w:szCs w:val="18"/>
                <w:b w:val="1"/>
                <w:bCs w:val="1"/>
                <w:color w:val="auto"/>
              </w:rPr>
              <w:t>SUBSIDIARIES OF COHU, INC.</w:t>
            </w:r>
          </w:p>
        </w:tc>
        <w:tc>
          <w:tcPr>
            <w:tcW w:w="2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5"/>
        </w:trPr>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PLACE OF</w:t>
            </w:r>
          </w:p>
        </w:tc>
        <w:tc>
          <w:tcPr>
            <w:tcW w:w="340" w:type="dxa"/>
            <w:vAlign w:val="bottom"/>
          </w:tcPr>
          <w:p>
            <w:pPr>
              <w:spacing w:after="0"/>
              <w:rPr>
                <w:sz w:val="24"/>
                <w:szCs w:val="24"/>
                <w:color w:val="auto"/>
              </w:rPr>
            </w:pPr>
          </w:p>
        </w:tc>
      </w:tr>
      <w:tr>
        <w:trPr>
          <w:trHeight w:val="227"/>
        </w:trPr>
        <w:tc>
          <w:tcPr>
            <w:tcW w:w="8320" w:type="dxa"/>
            <w:vAlign w:val="bottom"/>
            <w:gridSpan w:val="3"/>
          </w:tcPr>
          <w:p>
            <w:pPr>
              <w:spacing w:after="0"/>
              <w:rPr>
                <w:sz w:val="20"/>
                <w:szCs w:val="20"/>
                <w:color w:val="auto"/>
              </w:rPr>
            </w:pPr>
            <w:r>
              <w:rPr>
                <w:rFonts w:ascii="Arial" w:cs="Arial" w:eastAsia="Arial" w:hAnsi="Arial"/>
                <w:sz w:val="18"/>
                <w:szCs w:val="18"/>
                <w:color w:val="auto"/>
              </w:rPr>
              <w:t>LEGAL ENTITY NAME</w:t>
            </w:r>
          </w:p>
        </w:tc>
        <w:tc>
          <w:tcPr>
            <w:tcW w:w="2580" w:type="dxa"/>
            <w:vAlign w:val="bottom"/>
          </w:tcPr>
          <w:p>
            <w:pPr>
              <w:spacing w:after="0"/>
              <w:rPr>
                <w:sz w:val="20"/>
                <w:szCs w:val="20"/>
                <w:color w:val="auto"/>
              </w:rPr>
            </w:pPr>
            <w:r>
              <w:rPr>
                <w:rFonts w:ascii="Arial" w:cs="Arial" w:eastAsia="Arial" w:hAnsi="Arial"/>
                <w:sz w:val="18"/>
                <w:szCs w:val="18"/>
                <w:color w:val="auto"/>
              </w:rPr>
              <w:t>INCORPORATION</w:t>
            </w:r>
          </w:p>
        </w:tc>
        <w:tc>
          <w:tcPr>
            <w:tcW w:w="340" w:type="dxa"/>
            <w:vAlign w:val="bottom"/>
          </w:tcPr>
          <w:p>
            <w:pPr>
              <w:spacing w:after="0"/>
              <w:rPr>
                <w:sz w:val="19"/>
                <w:szCs w:val="19"/>
                <w:color w:val="auto"/>
              </w:rPr>
            </w:pPr>
          </w:p>
        </w:tc>
      </w:tr>
      <w:tr>
        <w:trPr>
          <w:trHeight w:val="215"/>
        </w:trPr>
        <w:tc>
          <w:tcPr>
            <w:tcW w:w="8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5500" w:type="dxa"/>
            <w:vAlign w:val="bottom"/>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r>
      <w:tr>
        <w:trPr>
          <w:trHeight w:val="407"/>
        </w:trPr>
        <w:tc>
          <w:tcPr>
            <w:tcW w:w="8320" w:type="dxa"/>
            <w:vAlign w:val="bottom"/>
            <w:gridSpan w:val="3"/>
          </w:tcPr>
          <w:p>
            <w:pPr>
              <w:spacing w:after="0"/>
              <w:rPr>
                <w:sz w:val="20"/>
                <w:szCs w:val="20"/>
                <w:color w:val="auto"/>
              </w:rPr>
            </w:pPr>
            <w:r>
              <w:rPr>
                <w:rFonts w:ascii="Arial" w:cs="Arial" w:eastAsia="Arial" w:hAnsi="Arial"/>
                <w:sz w:val="18"/>
                <w:szCs w:val="18"/>
                <w:color w:val="auto"/>
              </w:rPr>
              <w:t>Delta Design, Inc. (1)</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24"/>
                <w:szCs w:val="24"/>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FRL, Incorporated</w:t>
            </w:r>
          </w:p>
        </w:tc>
        <w:tc>
          <w:tcPr>
            <w:tcW w:w="25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340" w:type="dxa"/>
            <w:vAlign w:val="bottom"/>
          </w:tcPr>
          <w:p>
            <w:pPr>
              <w:spacing w:after="0"/>
              <w:rPr>
                <w:sz w:val="18"/>
                <w:szCs w:val="18"/>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Cohu Foreign Sales Corp</w:t>
            </w:r>
          </w:p>
        </w:tc>
        <w:tc>
          <w:tcPr>
            <w:tcW w:w="2580" w:type="dxa"/>
            <w:vAlign w:val="bottom"/>
          </w:tcPr>
          <w:p>
            <w:pPr>
              <w:ind w:left="20"/>
              <w:spacing w:after="0"/>
              <w:rPr>
                <w:sz w:val="20"/>
                <w:szCs w:val="20"/>
                <w:color w:val="auto"/>
              </w:rPr>
            </w:pPr>
            <w:r>
              <w:rPr>
                <w:rFonts w:ascii="Arial" w:cs="Arial" w:eastAsia="Arial" w:hAnsi="Arial"/>
                <w:sz w:val="18"/>
                <w:szCs w:val="18"/>
                <w:color w:val="auto"/>
              </w:rPr>
              <w:t>Barbados</w:t>
            </w:r>
          </w:p>
        </w:tc>
        <w:tc>
          <w:tcPr>
            <w:tcW w:w="340" w:type="dxa"/>
            <w:vAlign w:val="bottom"/>
          </w:tcPr>
          <w:p>
            <w:pPr>
              <w:spacing w:after="0"/>
              <w:rPr>
                <w:sz w:val="18"/>
                <w:szCs w:val="18"/>
                <w:color w:val="auto"/>
              </w:rPr>
            </w:pPr>
          </w:p>
        </w:tc>
      </w:tr>
      <w:tr>
        <w:trPr>
          <w:trHeight w:val="227"/>
        </w:trPr>
        <w:tc>
          <w:tcPr>
            <w:tcW w:w="8320" w:type="dxa"/>
            <w:vAlign w:val="bottom"/>
            <w:gridSpan w:val="3"/>
          </w:tcPr>
          <w:p>
            <w:pPr>
              <w:spacing w:after="0"/>
              <w:rPr>
                <w:sz w:val="20"/>
                <w:szCs w:val="20"/>
                <w:color w:val="auto"/>
              </w:rPr>
            </w:pPr>
            <w:r>
              <w:rPr>
                <w:rFonts w:ascii="Arial" w:cs="Arial" w:eastAsia="Arial" w:hAnsi="Arial"/>
                <w:sz w:val="18"/>
                <w:szCs w:val="18"/>
                <w:color w:val="auto"/>
              </w:rPr>
              <w:t>Xcerra Corporation (4)</w:t>
            </w:r>
          </w:p>
        </w:tc>
        <w:tc>
          <w:tcPr>
            <w:tcW w:w="2580" w:type="dxa"/>
            <w:vAlign w:val="bottom"/>
          </w:tcPr>
          <w:p>
            <w:pPr>
              <w:ind w:left="20"/>
              <w:spacing w:after="0"/>
              <w:rPr>
                <w:sz w:val="20"/>
                <w:szCs w:val="20"/>
                <w:color w:val="auto"/>
              </w:rPr>
            </w:pPr>
            <w:r>
              <w:rPr>
                <w:rFonts w:ascii="Arial" w:cs="Arial" w:eastAsia="Arial" w:hAnsi="Arial"/>
                <w:sz w:val="18"/>
                <w:szCs w:val="18"/>
                <w:color w:val="auto"/>
              </w:rPr>
              <w:t>Massachusetts</w:t>
            </w:r>
          </w:p>
        </w:tc>
        <w:tc>
          <w:tcPr>
            <w:tcW w:w="340" w:type="dxa"/>
            <w:vAlign w:val="bottom"/>
          </w:tcPr>
          <w:p>
            <w:pPr>
              <w:spacing w:after="0"/>
              <w:rPr>
                <w:sz w:val="19"/>
                <w:szCs w:val="19"/>
                <w:color w:val="auto"/>
              </w:rPr>
            </w:pPr>
          </w:p>
        </w:tc>
      </w:tr>
      <w:tr>
        <w:trPr>
          <w:trHeight w:val="149"/>
        </w:trPr>
        <w:tc>
          <w:tcPr>
            <w:tcW w:w="840" w:type="dxa"/>
            <w:vAlign w:val="bottom"/>
            <w:tcBorders>
              <w:bottom w:val="single" w:sz="8" w:color="auto"/>
            </w:tcBorders>
          </w:tcPr>
          <w:p>
            <w:pPr>
              <w:spacing w:after="0"/>
              <w:rPr>
                <w:sz w:val="12"/>
                <w:szCs w:val="12"/>
                <w:color w:val="auto"/>
              </w:rPr>
            </w:pPr>
          </w:p>
        </w:tc>
        <w:tc>
          <w:tcPr>
            <w:tcW w:w="7480" w:type="dxa"/>
            <w:vAlign w:val="bottom"/>
            <w:gridSpan w:val="2"/>
          </w:tcPr>
          <w:p>
            <w:pPr>
              <w:spacing w:after="0"/>
              <w:rPr>
                <w:sz w:val="12"/>
                <w:szCs w:val="12"/>
                <w:color w:val="auto"/>
              </w:rPr>
            </w:pPr>
          </w:p>
        </w:tc>
        <w:tc>
          <w:tcPr>
            <w:tcW w:w="25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46"/>
        </w:trPr>
        <w:tc>
          <w:tcPr>
            <w:tcW w:w="8320" w:type="dxa"/>
            <w:vAlign w:val="bottom"/>
            <w:gridSpan w:val="3"/>
          </w:tcPr>
          <w:p>
            <w:pPr>
              <w:spacing w:after="0"/>
              <w:rPr>
                <w:sz w:val="20"/>
                <w:szCs w:val="20"/>
                <w:color w:val="auto"/>
              </w:rPr>
            </w:pPr>
            <w:r>
              <w:rPr>
                <w:rFonts w:ascii="Arial" w:cs="Arial" w:eastAsia="Arial" w:hAnsi="Arial"/>
                <w:sz w:val="18"/>
                <w:szCs w:val="18"/>
                <w:color w:val="auto"/>
              </w:rPr>
              <w:t>(1) Delta Design, Inc. owns the following subsidiaries:</w:t>
            </w:r>
          </w:p>
        </w:tc>
        <w:tc>
          <w:tcPr>
            <w:tcW w:w="25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Delta Design Singapore PTE LTD (2)</w:t>
            </w:r>
          </w:p>
        </w:tc>
        <w:tc>
          <w:tcPr>
            <w:tcW w:w="2580" w:type="dxa"/>
            <w:vAlign w:val="bottom"/>
          </w:tcPr>
          <w:p>
            <w:pPr>
              <w:ind w:left="20"/>
              <w:spacing w:after="0"/>
              <w:rPr>
                <w:sz w:val="20"/>
                <w:szCs w:val="20"/>
                <w:color w:val="auto"/>
              </w:rPr>
            </w:pPr>
            <w:r>
              <w:rPr>
                <w:rFonts w:ascii="Arial" w:cs="Arial" w:eastAsia="Arial" w:hAnsi="Arial"/>
                <w:sz w:val="18"/>
                <w:szCs w:val="18"/>
                <w:color w:val="auto"/>
              </w:rPr>
              <w:t>Singapore</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Cohu S.A.</w:t>
            </w:r>
          </w:p>
        </w:tc>
        <w:tc>
          <w:tcPr>
            <w:tcW w:w="2580" w:type="dxa"/>
            <w:vAlign w:val="bottom"/>
          </w:tcPr>
          <w:p>
            <w:pPr>
              <w:ind w:left="20"/>
              <w:spacing w:after="0"/>
              <w:rPr>
                <w:sz w:val="20"/>
                <w:szCs w:val="20"/>
                <w:color w:val="auto"/>
              </w:rPr>
            </w:pPr>
            <w:r>
              <w:rPr>
                <w:rFonts w:ascii="Arial" w:cs="Arial" w:eastAsia="Arial" w:hAnsi="Arial"/>
                <w:sz w:val="18"/>
                <w:szCs w:val="18"/>
                <w:color w:val="auto"/>
              </w:rPr>
              <w:t>Costa Rica</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Xcerra Corporation (Partial ownership 14.46%) (4)</w:t>
            </w:r>
          </w:p>
        </w:tc>
        <w:tc>
          <w:tcPr>
            <w:tcW w:w="2580" w:type="dxa"/>
            <w:vAlign w:val="bottom"/>
          </w:tcPr>
          <w:p>
            <w:pPr>
              <w:ind w:left="2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Rosenheim Automation Systems Corporation</w:t>
            </w:r>
          </w:p>
        </w:tc>
        <w:tc>
          <w:tcPr>
            <w:tcW w:w="25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Ismeca Semiconductor Holding SA (5)</w:t>
            </w:r>
          </w:p>
        </w:tc>
        <w:tc>
          <w:tcPr>
            <w:tcW w:w="258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MCT Worldwide, LLC (18)</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(2) Delta Design Singapore PTE LTD owns the following subsidiaries:</w:t>
            </w: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Delta Design Philippines LLC (14)</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Delta Design Singapore PTE LTD, Taiwan Branch</w:t>
            </w:r>
          </w:p>
        </w:tc>
        <w:tc>
          <w:tcPr>
            <w:tcW w:w="2580" w:type="dxa"/>
            <w:vAlign w:val="bottom"/>
          </w:tcPr>
          <w:p>
            <w:pPr>
              <w:ind w:left="20"/>
              <w:spacing w:after="0"/>
              <w:rPr>
                <w:sz w:val="20"/>
                <w:szCs w:val="20"/>
                <w:color w:val="auto"/>
              </w:rPr>
            </w:pPr>
            <w:r>
              <w:rPr>
                <w:rFonts w:ascii="Arial" w:cs="Arial" w:eastAsia="Arial" w:hAnsi="Arial"/>
                <w:sz w:val="18"/>
                <w:szCs w:val="18"/>
                <w:color w:val="auto"/>
              </w:rPr>
              <w:t>Taiwan</w:t>
            </w:r>
          </w:p>
        </w:tc>
        <w:tc>
          <w:tcPr>
            <w:tcW w:w="340" w:type="dxa"/>
            <w:vAlign w:val="bottom"/>
          </w:tcPr>
          <w:p>
            <w:pPr>
              <w:spacing w:after="0"/>
              <w:rPr>
                <w:sz w:val="18"/>
                <w:szCs w:val="18"/>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(3) Ismeca Semiconductor Holding SA owns the following subsidiaries:</w:t>
            </w: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Ismeca Europe Semiconductor SA (6)</w:t>
            </w:r>
          </w:p>
        </w:tc>
        <w:tc>
          <w:tcPr>
            <w:tcW w:w="258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Cohu Malaysia Sdn. Bhd.</w:t>
            </w:r>
          </w:p>
        </w:tc>
        <w:tc>
          <w:tcPr>
            <w:tcW w:w="2580" w:type="dxa"/>
            <w:vAlign w:val="bottom"/>
          </w:tcPr>
          <w:p>
            <w:pPr>
              <w:ind w:left="20"/>
              <w:spacing w:after="0"/>
              <w:rPr>
                <w:sz w:val="20"/>
                <w:szCs w:val="20"/>
                <w:color w:val="auto"/>
              </w:rPr>
            </w:pPr>
            <w:r>
              <w:rPr>
                <w:rFonts w:ascii="Arial" w:cs="Arial" w:eastAsia="Arial" w:hAnsi="Arial"/>
                <w:sz w:val="18"/>
                <w:szCs w:val="18"/>
                <w:color w:val="auto"/>
              </w:rPr>
              <w:t>Malaysia</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Ismeca Semiconductor (Suzhou) Co Ltd</w:t>
            </w:r>
          </w:p>
        </w:tc>
        <w:tc>
          <w:tcPr>
            <w:tcW w:w="2580" w:type="dxa"/>
            <w:vAlign w:val="bottom"/>
          </w:tcPr>
          <w:p>
            <w:pPr>
              <w:ind w:left="20"/>
              <w:spacing w:after="0"/>
              <w:rPr>
                <w:sz w:val="20"/>
                <w:szCs w:val="20"/>
                <w:color w:val="auto"/>
              </w:rPr>
            </w:pPr>
            <w:r>
              <w:rPr>
                <w:rFonts w:ascii="Arial" w:cs="Arial" w:eastAsia="Arial" w:hAnsi="Arial"/>
                <w:sz w:val="18"/>
                <w:szCs w:val="18"/>
                <w:color w:val="auto"/>
              </w:rPr>
              <w:t>China</w:t>
            </w:r>
          </w:p>
        </w:tc>
        <w:tc>
          <w:tcPr>
            <w:tcW w:w="340" w:type="dxa"/>
            <w:vAlign w:val="bottom"/>
          </w:tcPr>
          <w:p>
            <w:pPr>
              <w:spacing w:after="0"/>
              <w:rPr>
                <w:sz w:val="18"/>
                <w:szCs w:val="18"/>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(4) Xcerra Corporation owns the following subsidiaries:</w:t>
            </w: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LTX-Credence France S.A.S.</w:t>
            </w:r>
          </w:p>
        </w:tc>
        <w:tc>
          <w:tcPr>
            <w:tcW w:w="2580" w:type="dxa"/>
            <w:vAlign w:val="bottom"/>
          </w:tcPr>
          <w:p>
            <w:pPr>
              <w:ind w:left="20"/>
              <w:spacing w:after="0"/>
              <w:rPr>
                <w:sz w:val="20"/>
                <w:szCs w:val="20"/>
                <w:color w:val="auto"/>
              </w:rPr>
            </w:pPr>
            <w:r>
              <w:rPr>
                <w:rFonts w:ascii="Arial" w:cs="Arial" w:eastAsia="Arial" w:hAnsi="Arial"/>
                <w:sz w:val="18"/>
                <w:szCs w:val="18"/>
                <w:color w:val="auto"/>
              </w:rPr>
              <w:t>France</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LTX-Credence Italia S.r.l.</w:t>
            </w:r>
          </w:p>
        </w:tc>
        <w:tc>
          <w:tcPr>
            <w:tcW w:w="2580" w:type="dxa"/>
            <w:vAlign w:val="bottom"/>
          </w:tcPr>
          <w:p>
            <w:pPr>
              <w:ind w:left="20"/>
              <w:spacing w:after="0"/>
              <w:rPr>
                <w:sz w:val="20"/>
                <w:szCs w:val="20"/>
                <w:color w:val="auto"/>
              </w:rPr>
            </w:pPr>
            <w:r>
              <w:rPr>
                <w:rFonts w:ascii="Arial" w:cs="Arial" w:eastAsia="Arial" w:hAnsi="Arial"/>
                <w:sz w:val="18"/>
                <w:szCs w:val="18"/>
                <w:color w:val="auto"/>
              </w:rPr>
              <w:t>Italy</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LTX Asia International, Inc. (15)</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LTX-Credence Sdn BhD. (10)</w:t>
            </w:r>
          </w:p>
        </w:tc>
        <w:tc>
          <w:tcPr>
            <w:tcW w:w="2580" w:type="dxa"/>
            <w:vAlign w:val="bottom"/>
          </w:tcPr>
          <w:p>
            <w:pPr>
              <w:ind w:left="20"/>
              <w:spacing w:after="0"/>
              <w:rPr>
                <w:sz w:val="20"/>
                <w:szCs w:val="20"/>
                <w:color w:val="auto"/>
              </w:rPr>
            </w:pPr>
            <w:r>
              <w:rPr>
                <w:rFonts w:ascii="Arial" w:cs="Arial" w:eastAsia="Arial" w:hAnsi="Arial"/>
                <w:sz w:val="18"/>
                <w:szCs w:val="18"/>
                <w:color w:val="auto"/>
              </w:rPr>
              <w:t>Malaysia</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LTX LLC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Multitest Electronic Systems Inc.</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Cohu Interface Solutions LLC (FKA: Everett Charles Technologies LLC) (9)</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Credence Capital Corporation</w:t>
            </w:r>
          </w:p>
        </w:tc>
        <w:tc>
          <w:tcPr>
            <w:tcW w:w="25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340" w:type="dxa"/>
            <w:vAlign w:val="bottom"/>
          </w:tcPr>
          <w:p>
            <w:pPr>
              <w:spacing w:after="0"/>
              <w:rPr>
                <w:sz w:val="18"/>
                <w:szCs w:val="18"/>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Xcerra International Inc. (12)</w:t>
            </w:r>
          </w:p>
        </w:tc>
        <w:tc>
          <w:tcPr>
            <w:tcW w:w="25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18"/>
                <w:szCs w:val="18"/>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Credence International Ltd. (13)</w:t>
            </w:r>
          </w:p>
        </w:tc>
        <w:tc>
          <w:tcPr>
            <w:tcW w:w="2580" w:type="dxa"/>
            <w:vAlign w:val="bottom"/>
          </w:tcPr>
          <w:p>
            <w:pPr>
              <w:ind w:left="20"/>
              <w:spacing w:after="0"/>
              <w:rPr>
                <w:sz w:val="20"/>
                <w:szCs w:val="20"/>
                <w:color w:val="auto"/>
              </w:rPr>
            </w:pPr>
            <w:r>
              <w:rPr>
                <w:rFonts w:ascii="Arial" w:cs="Arial" w:eastAsia="Arial" w:hAnsi="Arial"/>
                <w:sz w:val="18"/>
                <w:szCs w:val="18"/>
                <w:color w:val="auto"/>
              </w:rPr>
              <w:t>British Virgin Islands</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LTX-Credence KK</w:t>
            </w:r>
          </w:p>
        </w:tc>
        <w:tc>
          <w:tcPr>
            <w:tcW w:w="2580" w:type="dxa"/>
            <w:vAlign w:val="bottom"/>
          </w:tcPr>
          <w:p>
            <w:pPr>
              <w:ind w:left="2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Xcerra (Thailand) Company Limited</w:t>
            </w:r>
          </w:p>
        </w:tc>
        <w:tc>
          <w:tcPr>
            <w:tcW w:w="2580" w:type="dxa"/>
            <w:vAlign w:val="bottom"/>
          </w:tcPr>
          <w:p>
            <w:pPr>
              <w:ind w:left="20"/>
              <w:spacing w:after="0"/>
              <w:rPr>
                <w:sz w:val="20"/>
                <w:szCs w:val="20"/>
                <w:color w:val="auto"/>
              </w:rPr>
            </w:pPr>
            <w:r>
              <w:rPr>
                <w:rFonts w:ascii="Arial" w:cs="Arial" w:eastAsia="Arial" w:hAnsi="Arial"/>
                <w:sz w:val="18"/>
                <w:szCs w:val="18"/>
                <w:color w:val="auto"/>
              </w:rPr>
              <w:t>Thailand</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Credence Systems (UK) Limited (16)</w:t>
            </w:r>
          </w:p>
        </w:tc>
        <w:tc>
          <w:tcPr>
            <w:tcW w:w="25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Cohu Semiconductor Test GmbH (FKA: Delta Design Europe GmbH) (6)</w:t>
            </w:r>
          </w:p>
        </w:tc>
        <w:tc>
          <w:tcPr>
            <w:tcW w:w="2580" w:type="dxa"/>
            <w:vAlign w:val="bottom"/>
          </w:tcPr>
          <w:p>
            <w:pPr>
              <w:ind w:left="2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8"/>
                <w:szCs w:val="18"/>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(5) Ismeca Europe Semiconductor SA owns the following subsidiaries:</w:t>
            </w: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Ismeca Europe Semiconductor SA, Korean Branch</w:t>
            </w:r>
          </w:p>
        </w:tc>
        <w:tc>
          <w:tcPr>
            <w:tcW w:w="2580" w:type="dxa"/>
            <w:vAlign w:val="bottom"/>
          </w:tcPr>
          <w:p>
            <w:pPr>
              <w:ind w:left="20"/>
              <w:spacing w:after="0"/>
              <w:rPr>
                <w:sz w:val="20"/>
                <w:szCs w:val="20"/>
                <w:color w:val="auto"/>
              </w:rPr>
            </w:pPr>
            <w:r>
              <w:rPr>
                <w:rFonts w:ascii="Arial" w:cs="Arial" w:eastAsia="Arial" w:hAnsi="Arial"/>
                <w:sz w:val="18"/>
                <w:szCs w:val="18"/>
                <w:color w:val="auto"/>
              </w:rPr>
              <w:t>South Korea</w:t>
            </w:r>
          </w:p>
        </w:tc>
        <w:tc>
          <w:tcPr>
            <w:tcW w:w="340" w:type="dxa"/>
            <w:vAlign w:val="bottom"/>
          </w:tcPr>
          <w:p>
            <w:pPr>
              <w:spacing w:after="0"/>
              <w:rPr>
                <w:sz w:val="18"/>
                <w:szCs w:val="18"/>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(6) Cohu Semiconductor Test GmbH owns the following subsidiaries:</w:t>
            </w: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Multitest GmbH (7)</w:t>
            </w:r>
          </w:p>
        </w:tc>
        <w:tc>
          <w:tcPr>
            <w:tcW w:w="2580" w:type="dxa"/>
            <w:vAlign w:val="bottom"/>
          </w:tcPr>
          <w:p>
            <w:pPr>
              <w:ind w:left="2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8"/>
                <w:szCs w:val="18"/>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(7) Multitest GmbH owns the following subsidiaries:</w:t>
            </w: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Cohu GmbH (FKA: Rasco GmbH) (8)</w:t>
            </w:r>
          </w:p>
        </w:tc>
        <w:tc>
          <w:tcPr>
            <w:tcW w:w="2580" w:type="dxa"/>
            <w:vAlign w:val="bottom"/>
          </w:tcPr>
          <w:p>
            <w:pPr>
              <w:ind w:left="2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8"/>
                <w:szCs w:val="18"/>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(8) Cohu GmbH owns the following subsidiaries:</w:t>
            </w: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Kita Manufacturing Co., LTD</w:t>
            </w:r>
          </w:p>
        </w:tc>
        <w:tc>
          <w:tcPr>
            <w:tcW w:w="2580" w:type="dxa"/>
            <w:vAlign w:val="bottom"/>
          </w:tcPr>
          <w:p>
            <w:pPr>
              <w:ind w:left="2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18"/>
                <w:szCs w:val="18"/>
                <w:color w:val="auto"/>
              </w:rPr>
            </w:pPr>
          </w:p>
        </w:tc>
      </w:tr>
      <w:tr>
        <w:trPr>
          <w:trHeight w:val="214"/>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FTZ Fraes-und Techologiezentrum GmbH Frasdorf (39% Ownership)</w:t>
            </w:r>
          </w:p>
        </w:tc>
        <w:tc>
          <w:tcPr>
            <w:tcW w:w="2580" w:type="dxa"/>
            <w:vAlign w:val="bottom"/>
          </w:tcPr>
          <w:p>
            <w:pPr>
              <w:ind w:left="2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8"/>
                <w:szCs w:val="18"/>
                <w:color w:val="auto"/>
              </w:rPr>
            </w:pPr>
          </w:p>
        </w:tc>
      </w:tr>
      <w:tr>
        <w:trPr>
          <w:trHeight w:val="214"/>
        </w:trPr>
        <w:tc>
          <w:tcPr>
            <w:tcW w:w="8320" w:type="dxa"/>
            <w:vAlign w:val="bottom"/>
            <w:gridSpan w:val="3"/>
          </w:tcPr>
          <w:p>
            <w:pPr>
              <w:spacing w:after="0"/>
              <w:rPr>
                <w:sz w:val="20"/>
                <w:szCs w:val="20"/>
                <w:color w:val="auto"/>
              </w:rPr>
            </w:pPr>
            <w:r>
              <w:rPr>
                <w:rFonts w:ascii="Arial" w:cs="Arial" w:eastAsia="Arial" w:hAnsi="Arial"/>
                <w:sz w:val="18"/>
                <w:szCs w:val="18"/>
                <w:color w:val="auto"/>
              </w:rPr>
              <w:t>(9) Cohu Interface Solutions LLC owns the following subsidiaries:</w:t>
            </w: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7"/>
        </w:trPr>
        <w:tc>
          <w:tcPr>
            <w:tcW w:w="8320" w:type="dxa"/>
            <w:vAlign w:val="bottom"/>
            <w:gridSpan w:val="3"/>
          </w:tcPr>
          <w:p>
            <w:pPr>
              <w:ind w:left="480"/>
              <w:spacing w:after="0"/>
              <w:rPr>
                <w:sz w:val="20"/>
                <w:szCs w:val="20"/>
                <w:color w:val="auto"/>
              </w:rPr>
            </w:pPr>
            <w:r>
              <w:rPr>
                <w:rFonts w:ascii="Arial" w:cs="Arial" w:eastAsia="Arial" w:hAnsi="Arial"/>
                <w:sz w:val="18"/>
                <w:szCs w:val="18"/>
                <w:color w:val="auto"/>
              </w:rPr>
              <w:t>Everett Charles Tech, Inc. (FKA: Kita USA, Inc.)</w:t>
            </w:r>
          </w:p>
        </w:tc>
        <w:tc>
          <w:tcPr>
            <w:tcW w:w="2580" w:type="dxa"/>
            <w:vAlign w:val="bottom"/>
          </w:tcPr>
          <w:p>
            <w:pPr>
              <w:ind w:left="20"/>
              <w:spacing w:after="0"/>
              <w:rPr>
                <w:sz w:val="20"/>
                <w:szCs w:val="20"/>
                <w:color w:val="auto"/>
              </w:rPr>
            </w:pPr>
            <w:r>
              <w:rPr>
                <w:rFonts w:ascii="Arial" w:cs="Arial" w:eastAsia="Arial" w:hAnsi="Arial"/>
                <w:sz w:val="18"/>
                <w:szCs w:val="18"/>
                <w:color w:val="auto"/>
              </w:rPr>
              <w:t>Massachusetts</w:t>
            </w:r>
          </w:p>
        </w:tc>
        <w:tc>
          <w:tcPr>
            <w:tcW w:w="340" w:type="dxa"/>
            <w:vAlign w:val="bottom"/>
          </w:tcPr>
          <w:p>
            <w:pPr>
              <w:spacing w:after="0"/>
              <w:rPr>
                <w:sz w:val="19"/>
                <w:szCs w:val="19"/>
                <w:color w:val="auto"/>
              </w:rPr>
            </w:pPr>
          </w:p>
        </w:tc>
      </w:tr>
      <w:tr>
        <w:trPr>
          <w:trHeight w:val="570"/>
        </w:trPr>
        <w:tc>
          <w:tcPr>
            <w:tcW w:w="8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9"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Pr>
          <w:p>
            <w:pPr>
              <w:spacing w:after="0"/>
              <w:rPr>
                <w:sz w:val="20"/>
                <w:szCs w:val="20"/>
                <w:color w:val="auto"/>
              </w:rPr>
            </w:pPr>
            <w:r>
              <w:rPr>
                <w:rFonts w:ascii="Arial" w:cs="Arial" w:eastAsia="Arial" w:hAnsi="Arial"/>
                <w:sz w:val="18"/>
                <w:szCs w:val="18"/>
                <w:color w:val="auto"/>
                <w:w w:val="93"/>
              </w:rPr>
              <w:t>(10)</w:t>
            </w:r>
          </w:p>
        </w:tc>
        <w:tc>
          <w:tcPr>
            <w:tcW w:w="7820" w:type="dxa"/>
            <w:vAlign w:val="bottom"/>
          </w:tcPr>
          <w:p>
            <w:pPr>
              <w:ind w:left="20"/>
              <w:spacing w:after="0"/>
              <w:rPr>
                <w:sz w:val="20"/>
                <w:szCs w:val="20"/>
                <w:color w:val="auto"/>
              </w:rPr>
            </w:pPr>
            <w:r>
              <w:rPr>
                <w:rFonts w:ascii="Arial" w:cs="Arial" w:eastAsia="Arial" w:hAnsi="Arial"/>
                <w:sz w:val="18"/>
                <w:szCs w:val="18"/>
                <w:color w:val="auto"/>
              </w:rPr>
              <w:t>LTX-Credence Sdn BhD. owns the following subsidiaries:</w:t>
            </w:r>
          </w:p>
        </w:tc>
        <w:tc>
          <w:tcPr>
            <w:tcW w:w="1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LTX Corporation Philippine Branch (11)</w:t>
            </w:r>
          </w:p>
        </w:tc>
        <w:tc>
          <w:tcPr>
            <w:tcW w:w="1100" w:type="dxa"/>
            <w:vAlign w:val="bottom"/>
          </w:tcPr>
          <w:p>
            <w:pPr>
              <w:ind w:left="200"/>
              <w:spacing w:after="0"/>
              <w:rPr>
                <w:sz w:val="20"/>
                <w:szCs w:val="20"/>
                <w:color w:val="auto"/>
              </w:rPr>
            </w:pPr>
            <w:r>
              <w:rPr>
                <w:rFonts w:ascii="Arial" w:cs="Arial" w:eastAsia="Arial" w:hAnsi="Arial"/>
                <w:sz w:val="18"/>
                <w:szCs w:val="18"/>
                <w:color w:val="auto"/>
              </w:rPr>
              <w:t>Philippines</w:t>
            </w: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Multitest Electronic Systems (Penang) Sdn. Bhd.</w:t>
            </w:r>
          </w:p>
        </w:tc>
        <w:tc>
          <w:tcPr>
            <w:tcW w:w="1100" w:type="dxa"/>
            <w:vAlign w:val="bottom"/>
          </w:tcPr>
          <w:p>
            <w:pPr>
              <w:ind w:left="200"/>
              <w:spacing w:after="0"/>
              <w:rPr>
                <w:sz w:val="20"/>
                <w:szCs w:val="20"/>
                <w:color w:val="auto"/>
              </w:rPr>
            </w:pPr>
            <w:r>
              <w:rPr>
                <w:rFonts w:ascii="Arial" w:cs="Arial" w:eastAsia="Arial" w:hAnsi="Arial"/>
                <w:sz w:val="18"/>
                <w:szCs w:val="18"/>
                <w:color w:val="auto"/>
              </w:rPr>
              <w:t>Malaysia</w:t>
            </w:r>
          </w:p>
        </w:tc>
      </w:tr>
      <w:tr>
        <w:trPr>
          <w:trHeight w:val="214"/>
        </w:trPr>
        <w:tc>
          <w:tcPr>
            <w:tcW w:w="8140" w:type="dxa"/>
            <w:vAlign w:val="bottom"/>
            <w:gridSpan w:val="2"/>
          </w:tcPr>
          <w:p>
            <w:pPr>
              <w:spacing w:after="0"/>
              <w:rPr>
                <w:sz w:val="20"/>
                <w:szCs w:val="20"/>
                <w:color w:val="auto"/>
              </w:rPr>
            </w:pPr>
            <w:r>
              <w:rPr>
                <w:rFonts w:ascii="Arial" w:cs="Arial" w:eastAsia="Arial" w:hAnsi="Arial"/>
                <w:sz w:val="18"/>
                <w:szCs w:val="18"/>
                <w:color w:val="auto"/>
              </w:rPr>
              <w:t>(11) LTX Corporation Philippine Branch owns the following subsidiaries:</w:t>
            </w:r>
          </w:p>
        </w:tc>
        <w:tc>
          <w:tcPr>
            <w:tcW w:w="1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Multitest Electronic Systems (Philippines) Corporation</w:t>
            </w:r>
          </w:p>
        </w:tc>
        <w:tc>
          <w:tcPr>
            <w:tcW w:w="1100" w:type="dxa"/>
            <w:vAlign w:val="bottom"/>
          </w:tcPr>
          <w:p>
            <w:pPr>
              <w:ind w:left="200"/>
              <w:spacing w:after="0"/>
              <w:rPr>
                <w:sz w:val="20"/>
                <w:szCs w:val="20"/>
                <w:color w:val="auto"/>
              </w:rPr>
            </w:pPr>
            <w:r>
              <w:rPr>
                <w:rFonts w:ascii="Arial" w:cs="Arial" w:eastAsia="Arial" w:hAnsi="Arial"/>
                <w:sz w:val="18"/>
                <w:szCs w:val="18"/>
                <w:color w:val="auto"/>
              </w:rPr>
              <w:t>Philippines</w:t>
            </w:r>
          </w:p>
        </w:tc>
      </w:tr>
      <w:tr>
        <w:trPr>
          <w:trHeight w:val="214"/>
        </w:trPr>
        <w:tc>
          <w:tcPr>
            <w:tcW w:w="320" w:type="dxa"/>
            <w:vAlign w:val="bottom"/>
          </w:tcPr>
          <w:p>
            <w:pPr>
              <w:spacing w:after="0"/>
              <w:rPr>
                <w:sz w:val="20"/>
                <w:szCs w:val="20"/>
                <w:color w:val="auto"/>
              </w:rPr>
            </w:pPr>
            <w:r>
              <w:rPr>
                <w:rFonts w:ascii="Arial" w:cs="Arial" w:eastAsia="Arial" w:hAnsi="Arial"/>
                <w:sz w:val="18"/>
                <w:szCs w:val="18"/>
                <w:color w:val="auto"/>
                <w:w w:val="93"/>
              </w:rPr>
              <w:t>(12)</w:t>
            </w:r>
          </w:p>
        </w:tc>
        <w:tc>
          <w:tcPr>
            <w:tcW w:w="7820" w:type="dxa"/>
            <w:vAlign w:val="bottom"/>
          </w:tcPr>
          <w:p>
            <w:pPr>
              <w:ind w:left="20"/>
              <w:spacing w:after="0"/>
              <w:rPr>
                <w:sz w:val="20"/>
                <w:szCs w:val="20"/>
                <w:color w:val="auto"/>
              </w:rPr>
            </w:pPr>
            <w:r>
              <w:rPr>
                <w:rFonts w:ascii="Arial" w:cs="Arial" w:eastAsia="Arial" w:hAnsi="Arial"/>
                <w:sz w:val="18"/>
                <w:szCs w:val="18"/>
                <w:color w:val="auto"/>
              </w:rPr>
              <w:t>Xcerra International Inc. owns the following subsidiaries:</w:t>
            </w:r>
          </w:p>
        </w:tc>
        <w:tc>
          <w:tcPr>
            <w:tcW w:w="1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Credence Systems Korea Ltd.</w:t>
            </w:r>
          </w:p>
        </w:tc>
        <w:tc>
          <w:tcPr>
            <w:tcW w:w="1100" w:type="dxa"/>
            <w:vAlign w:val="bottom"/>
          </w:tcPr>
          <w:p>
            <w:pPr>
              <w:ind w:left="200"/>
              <w:spacing w:after="0"/>
              <w:rPr>
                <w:sz w:val="20"/>
                <w:szCs w:val="20"/>
                <w:color w:val="auto"/>
              </w:rPr>
            </w:pPr>
            <w:r>
              <w:rPr>
                <w:rFonts w:ascii="Arial" w:cs="Arial" w:eastAsia="Arial" w:hAnsi="Arial"/>
                <w:sz w:val="18"/>
                <w:szCs w:val="18"/>
                <w:color w:val="auto"/>
                <w:w w:val="87"/>
              </w:rPr>
              <w:t>South Korea</w:t>
            </w: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Xcerra International Inc., Taiwan Branch</w:t>
            </w:r>
          </w:p>
        </w:tc>
        <w:tc>
          <w:tcPr>
            <w:tcW w:w="1100" w:type="dxa"/>
            <w:vAlign w:val="bottom"/>
          </w:tcPr>
          <w:p>
            <w:pPr>
              <w:ind w:left="200"/>
              <w:spacing w:after="0"/>
              <w:rPr>
                <w:sz w:val="20"/>
                <w:szCs w:val="20"/>
                <w:color w:val="auto"/>
              </w:rPr>
            </w:pPr>
            <w:r>
              <w:rPr>
                <w:rFonts w:ascii="Arial" w:cs="Arial" w:eastAsia="Arial" w:hAnsi="Arial"/>
                <w:sz w:val="18"/>
                <w:szCs w:val="18"/>
                <w:color w:val="auto"/>
              </w:rPr>
              <w:t>Taiwan</w:t>
            </w:r>
          </w:p>
        </w:tc>
      </w:tr>
      <w:tr>
        <w:trPr>
          <w:trHeight w:val="214"/>
        </w:trPr>
        <w:tc>
          <w:tcPr>
            <w:tcW w:w="320" w:type="dxa"/>
            <w:vAlign w:val="bottom"/>
          </w:tcPr>
          <w:p>
            <w:pPr>
              <w:spacing w:after="0"/>
              <w:rPr>
                <w:sz w:val="20"/>
                <w:szCs w:val="20"/>
                <w:color w:val="auto"/>
              </w:rPr>
            </w:pPr>
            <w:r>
              <w:rPr>
                <w:rFonts w:ascii="Arial" w:cs="Arial" w:eastAsia="Arial" w:hAnsi="Arial"/>
                <w:sz w:val="18"/>
                <w:szCs w:val="18"/>
                <w:color w:val="auto"/>
                <w:w w:val="93"/>
              </w:rPr>
              <w:t>(13)</w:t>
            </w:r>
          </w:p>
        </w:tc>
        <w:tc>
          <w:tcPr>
            <w:tcW w:w="7820" w:type="dxa"/>
            <w:vAlign w:val="bottom"/>
          </w:tcPr>
          <w:p>
            <w:pPr>
              <w:ind w:left="20"/>
              <w:spacing w:after="0"/>
              <w:rPr>
                <w:sz w:val="20"/>
                <w:szCs w:val="20"/>
                <w:color w:val="auto"/>
              </w:rPr>
            </w:pPr>
            <w:r>
              <w:rPr>
                <w:rFonts w:ascii="Arial" w:cs="Arial" w:eastAsia="Arial" w:hAnsi="Arial"/>
                <w:sz w:val="18"/>
                <w:szCs w:val="18"/>
                <w:color w:val="auto"/>
              </w:rPr>
              <w:t>Credence International Ltd. owns the following subsidiaries:</w:t>
            </w:r>
          </w:p>
        </w:tc>
        <w:tc>
          <w:tcPr>
            <w:tcW w:w="1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Credence Malta Limited</w:t>
            </w:r>
          </w:p>
        </w:tc>
        <w:tc>
          <w:tcPr>
            <w:tcW w:w="1100" w:type="dxa"/>
            <w:vAlign w:val="bottom"/>
          </w:tcPr>
          <w:p>
            <w:pPr>
              <w:ind w:left="200"/>
              <w:spacing w:after="0"/>
              <w:rPr>
                <w:sz w:val="20"/>
                <w:szCs w:val="20"/>
                <w:color w:val="auto"/>
              </w:rPr>
            </w:pPr>
            <w:r>
              <w:rPr>
                <w:rFonts w:ascii="Arial" w:cs="Arial" w:eastAsia="Arial" w:hAnsi="Arial"/>
                <w:sz w:val="18"/>
                <w:szCs w:val="18"/>
                <w:color w:val="auto"/>
              </w:rPr>
              <w:t>Malta</w:t>
            </w: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LTX-Credence Singapore Pte Ltd.</w:t>
            </w:r>
          </w:p>
        </w:tc>
        <w:tc>
          <w:tcPr>
            <w:tcW w:w="1100" w:type="dxa"/>
            <w:vAlign w:val="bottom"/>
          </w:tcPr>
          <w:p>
            <w:pPr>
              <w:ind w:left="200"/>
              <w:spacing w:after="0"/>
              <w:rPr>
                <w:sz w:val="20"/>
                <w:szCs w:val="20"/>
                <w:color w:val="auto"/>
              </w:rPr>
            </w:pPr>
            <w:r>
              <w:rPr>
                <w:rFonts w:ascii="Arial" w:cs="Arial" w:eastAsia="Arial" w:hAnsi="Arial"/>
                <w:sz w:val="18"/>
                <w:szCs w:val="18"/>
                <w:color w:val="auto"/>
              </w:rPr>
              <w:t>Singapore</w:t>
            </w: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NPTest de Costa Rica SA.</w:t>
            </w:r>
          </w:p>
        </w:tc>
        <w:tc>
          <w:tcPr>
            <w:tcW w:w="1100" w:type="dxa"/>
            <w:vAlign w:val="bottom"/>
          </w:tcPr>
          <w:p>
            <w:pPr>
              <w:ind w:left="200"/>
              <w:spacing w:after="0"/>
              <w:rPr>
                <w:sz w:val="20"/>
                <w:szCs w:val="20"/>
                <w:color w:val="auto"/>
              </w:rPr>
            </w:pPr>
            <w:r>
              <w:rPr>
                <w:rFonts w:ascii="Arial" w:cs="Arial" w:eastAsia="Arial" w:hAnsi="Arial"/>
                <w:sz w:val="18"/>
                <w:szCs w:val="18"/>
                <w:color w:val="auto"/>
                <w:w w:val="99"/>
              </w:rPr>
              <w:t>Costa Rica</w:t>
            </w: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w w:val="92"/>
              </w:rPr>
              <w:t>Cohu Semiconductor (Shenzhen) Co., Ltd (FKA:Everett Charles Technologies (Shenzhen) Limited) (17)</w:t>
            </w:r>
          </w:p>
        </w:tc>
        <w:tc>
          <w:tcPr>
            <w:tcW w:w="110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4"/>
        </w:trPr>
        <w:tc>
          <w:tcPr>
            <w:tcW w:w="320" w:type="dxa"/>
            <w:vAlign w:val="bottom"/>
          </w:tcPr>
          <w:p>
            <w:pPr>
              <w:spacing w:after="0"/>
              <w:rPr>
                <w:sz w:val="20"/>
                <w:szCs w:val="20"/>
                <w:color w:val="auto"/>
              </w:rPr>
            </w:pPr>
            <w:r>
              <w:rPr>
                <w:rFonts w:ascii="Arial" w:cs="Arial" w:eastAsia="Arial" w:hAnsi="Arial"/>
                <w:sz w:val="18"/>
                <w:szCs w:val="18"/>
                <w:color w:val="auto"/>
                <w:w w:val="93"/>
              </w:rPr>
              <w:t>(14)</w:t>
            </w:r>
          </w:p>
        </w:tc>
        <w:tc>
          <w:tcPr>
            <w:tcW w:w="7820" w:type="dxa"/>
            <w:vAlign w:val="bottom"/>
          </w:tcPr>
          <w:p>
            <w:pPr>
              <w:ind w:left="20"/>
              <w:spacing w:after="0"/>
              <w:rPr>
                <w:sz w:val="20"/>
                <w:szCs w:val="20"/>
                <w:color w:val="auto"/>
              </w:rPr>
            </w:pPr>
            <w:r>
              <w:rPr>
                <w:rFonts w:ascii="Arial" w:cs="Arial" w:eastAsia="Arial" w:hAnsi="Arial"/>
                <w:sz w:val="18"/>
                <w:szCs w:val="18"/>
                <w:color w:val="auto"/>
              </w:rPr>
              <w:t>Delta Design Philippines LLC owns the following subsidiaries:</w:t>
            </w:r>
          </w:p>
        </w:tc>
        <w:tc>
          <w:tcPr>
            <w:tcW w:w="1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Delta Design Philippines LLC, Philippines Branch</w:t>
            </w:r>
          </w:p>
        </w:tc>
        <w:tc>
          <w:tcPr>
            <w:tcW w:w="1100" w:type="dxa"/>
            <w:vAlign w:val="bottom"/>
          </w:tcPr>
          <w:p>
            <w:pPr>
              <w:ind w:left="200"/>
              <w:spacing w:after="0"/>
              <w:rPr>
                <w:sz w:val="20"/>
                <w:szCs w:val="20"/>
                <w:color w:val="auto"/>
              </w:rPr>
            </w:pPr>
            <w:r>
              <w:rPr>
                <w:rFonts w:ascii="Arial" w:cs="Arial" w:eastAsia="Arial" w:hAnsi="Arial"/>
                <w:sz w:val="18"/>
                <w:szCs w:val="18"/>
                <w:color w:val="auto"/>
              </w:rPr>
              <w:t>Philippines</w:t>
            </w:r>
          </w:p>
        </w:tc>
      </w:tr>
      <w:tr>
        <w:trPr>
          <w:trHeight w:val="214"/>
        </w:trPr>
        <w:tc>
          <w:tcPr>
            <w:tcW w:w="320" w:type="dxa"/>
            <w:vAlign w:val="bottom"/>
          </w:tcPr>
          <w:p>
            <w:pPr>
              <w:spacing w:after="0"/>
              <w:rPr>
                <w:sz w:val="20"/>
                <w:szCs w:val="20"/>
                <w:color w:val="auto"/>
              </w:rPr>
            </w:pPr>
            <w:r>
              <w:rPr>
                <w:rFonts w:ascii="Arial" w:cs="Arial" w:eastAsia="Arial" w:hAnsi="Arial"/>
                <w:sz w:val="18"/>
                <w:szCs w:val="18"/>
                <w:color w:val="auto"/>
                <w:w w:val="93"/>
              </w:rPr>
              <w:t>(15)</w:t>
            </w:r>
          </w:p>
        </w:tc>
        <w:tc>
          <w:tcPr>
            <w:tcW w:w="7820" w:type="dxa"/>
            <w:vAlign w:val="bottom"/>
          </w:tcPr>
          <w:p>
            <w:pPr>
              <w:ind w:left="20"/>
              <w:spacing w:after="0"/>
              <w:rPr>
                <w:sz w:val="20"/>
                <w:szCs w:val="20"/>
                <w:color w:val="auto"/>
              </w:rPr>
            </w:pPr>
            <w:r>
              <w:rPr>
                <w:rFonts w:ascii="Arial" w:cs="Arial" w:eastAsia="Arial" w:hAnsi="Arial"/>
                <w:sz w:val="18"/>
                <w:szCs w:val="18"/>
                <w:color w:val="auto"/>
              </w:rPr>
              <w:t>LTX Asia International, Inc. owns the following subsidiaries:</w:t>
            </w:r>
          </w:p>
        </w:tc>
        <w:tc>
          <w:tcPr>
            <w:tcW w:w="1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LTX Asia International, Inc., Taiwan Branch</w:t>
            </w:r>
          </w:p>
        </w:tc>
        <w:tc>
          <w:tcPr>
            <w:tcW w:w="1100" w:type="dxa"/>
            <w:vAlign w:val="bottom"/>
          </w:tcPr>
          <w:p>
            <w:pPr>
              <w:ind w:left="200"/>
              <w:spacing w:after="0"/>
              <w:rPr>
                <w:sz w:val="20"/>
                <w:szCs w:val="20"/>
                <w:color w:val="auto"/>
              </w:rPr>
            </w:pPr>
            <w:r>
              <w:rPr>
                <w:rFonts w:ascii="Arial" w:cs="Arial" w:eastAsia="Arial" w:hAnsi="Arial"/>
                <w:sz w:val="18"/>
                <w:szCs w:val="18"/>
                <w:color w:val="auto"/>
              </w:rPr>
              <w:t>Taiwan</w:t>
            </w:r>
          </w:p>
        </w:tc>
      </w:tr>
      <w:tr>
        <w:trPr>
          <w:trHeight w:val="214"/>
        </w:trPr>
        <w:tc>
          <w:tcPr>
            <w:tcW w:w="320" w:type="dxa"/>
            <w:vAlign w:val="bottom"/>
          </w:tcPr>
          <w:p>
            <w:pPr>
              <w:spacing w:after="0"/>
              <w:rPr>
                <w:sz w:val="20"/>
                <w:szCs w:val="20"/>
                <w:color w:val="auto"/>
              </w:rPr>
            </w:pPr>
            <w:r>
              <w:rPr>
                <w:rFonts w:ascii="Arial" w:cs="Arial" w:eastAsia="Arial" w:hAnsi="Arial"/>
                <w:sz w:val="18"/>
                <w:szCs w:val="18"/>
                <w:color w:val="auto"/>
                <w:w w:val="93"/>
              </w:rPr>
              <w:t>(16)</w:t>
            </w:r>
          </w:p>
        </w:tc>
        <w:tc>
          <w:tcPr>
            <w:tcW w:w="7820" w:type="dxa"/>
            <w:vAlign w:val="bottom"/>
          </w:tcPr>
          <w:p>
            <w:pPr>
              <w:ind w:left="20"/>
              <w:spacing w:after="0"/>
              <w:rPr>
                <w:sz w:val="20"/>
                <w:szCs w:val="20"/>
                <w:color w:val="auto"/>
              </w:rPr>
            </w:pPr>
            <w:r>
              <w:rPr>
                <w:rFonts w:ascii="Arial" w:cs="Arial" w:eastAsia="Arial" w:hAnsi="Arial"/>
                <w:sz w:val="18"/>
                <w:szCs w:val="18"/>
                <w:color w:val="auto"/>
              </w:rPr>
              <w:t>Credence Systems (UK) Limited owns the following subsidiaries:</w:t>
            </w:r>
          </w:p>
        </w:tc>
        <w:tc>
          <w:tcPr>
            <w:tcW w:w="1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Credence Systems (UK) Limited, Belgium Branch</w:t>
            </w:r>
          </w:p>
        </w:tc>
        <w:tc>
          <w:tcPr>
            <w:tcW w:w="1100" w:type="dxa"/>
            <w:vAlign w:val="bottom"/>
          </w:tcPr>
          <w:p>
            <w:pPr>
              <w:ind w:left="200"/>
              <w:spacing w:after="0"/>
              <w:rPr>
                <w:sz w:val="20"/>
                <w:szCs w:val="20"/>
                <w:color w:val="auto"/>
              </w:rPr>
            </w:pPr>
            <w:r>
              <w:rPr>
                <w:rFonts w:ascii="Arial" w:cs="Arial" w:eastAsia="Arial" w:hAnsi="Arial"/>
                <w:sz w:val="18"/>
                <w:szCs w:val="18"/>
                <w:color w:val="auto"/>
              </w:rPr>
              <w:t>Belgium</w:t>
            </w:r>
          </w:p>
        </w:tc>
      </w:tr>
      <w:tr>
        <w:trPr>
          <w:trHeight w:val="214"/>
        </w:trPr>
        <w:tc>
          <w:tcPr>
            <w:tcW w:w="320" w:type="dxa"/>
            <w:vAlign w:val="bottom"/>
          </w:tcPr>
          <w:p>
            <w:pPr>
              <w:spacing w:after="0"/>
              <w:rPr>
                <w:sz w:val="20"/>
                <w:szCs w:val="20"/>
                <w:color w:val="auto"/>
              </w:rPr>
            </w:pPr>
            <w:r>
              <w:rPr>
                <w:rFonts w:ascii="Arial" w:cs="Arial" w:eastAsia="Arial" w:hAnsi="Arial"/>
                <w:sz w:val="18"/>
                <w:szCs w:val="18"/>
                <w:color w:val="auto"/>
                <w:w w:val="93"/>
              </w:rPr>
              <w:t>(17)</w:t>
            </w:r>
          </w:p>
        </w:tc>
        <w:tc>
          <w:tcPr>
            <w:tcW w:w="7820" w:type="dxa"/>
            <w:vAlign w:val="bottom"/>
          </w:tcPr>
          <w:p>
            <w:pPr>
              <w:ind w:left="20"/>
              <w:spacing w:after="0"/>
              <w:rPr>
                <w:sz w:val="20"/>
                <w:szCs w:val="20"/>
                <w:color w:val="auto"/>
              </w:rPr>
            </w:pPr>
            <w:r>
              <w:rPr>
                <w:rFonts w:ascii="Arial" w:cs="Arial" w:eastAsia="Arial" w:hAnsi="Arial"/>
                <w:sz w:val="18"/>
                <w:szCs w:val="18"/>
                <w:color w:val="auto"/>
              </w:rPr>
              <w:t>Cohu Semiconductor (Shenzhen) Co., Ltd owns the following subsidiaries:</w:t>
            </w:r>
          </w:p>
        </w:tc>
        <w:tc>
          <w:tcPr>
            <w:tcW w:w="110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Cohu Semiconductor (Shenzhen) Co., Ltd, Suzhou Branch</w:t>
            </w:r>
          </w:p>
        </w:tc>
        <w:tc>
          <w:tcPr>
            <w:tcW w:w="110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4"/>
        </w:trPr>
        <w:tc>
          <w:tcPr>
            <w:tcW w:w="3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Cohu Semiconductor (Shenzhen) Co., Ltd, Shanghai Branch</w:t>
            </w:r>
          </w:p>
        </w:tc>
        <w:tc>
          <w:tcPr>
            <w:tcW w:w="110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14"/>
        </w:trPr>
        <w:tc>
          <w:tcPr>
            <w:tcW w:w="320" w:type="dxa"/>
            <w:vAlign w:val="bottom"/>
          </w:tcPr>
          <w:p>
            <w:pPr>
              <w:spacing w:after="0"/>
              <w:rPr>
                <w:sz w:val="20"/>
                <w:szCs w:val="20"/>
                <w:color w:val="auto"/>
              </w:rPr>
            </w:pPr>
            <w:r>
              <w:rPr>
                <w:rFonts w:ascii="Arial" w:cs="Arial" w:eastAsia="Arial" w:hAnsi="Arial"/>
                <w:sz w:val="18"/>
                <w:szCs w:val="18"/>
                <w:color w:val="auto"/>
                <w:w w:val="93"/>
              </w:rPr>
              <w:t>(18)</w:t>
            </w:r>
          </w:p>
        </w:tc>
        <w:tc>
          <w:tcPr>
            <w:tcW w:w="7820" w:type="dxa"/>
            <w:vAlign w:val="bottom"/>
          </w:tcPr>
          <w:p>
            <w:pPr>
              <w:ind w:left="20"/>
              <w:spacing w:after="0"/>
              <w:rPr>
                <w:sz w:val="20"/>
                <w:szCs w:val="20"/>
                <w:color w:val="auto"/>
              </w:rPr>
            </w:pPr>
            <w:r>
              <w:rPr>
                <w:rFonts w:ascii="Arial" w:cs="Arial" w:eastAsia="Arial" w:hAnsi="Arial"/>
                <w:sz w:val="18"/>
                <w:szCs w:val="18"/>
                <w:color w:val="auto"/>
              </w:rPr>
              <w:t>MCT Worldwide, LLC owns the following subsidiaries:</w:t>
            </w:r>
          </w:p>
        </w:tc>
        <w:tc>
          <w:tcPr>
            <w:tcW w:w="1100" w:type="dxa"/>
            <w:vAlign w:val="bottom"/>
          </w:tcPr>
          <w:p>
            <w:pPr>
              <w:spacing w:after="0"/>
              <w:rPr>
                <w:sz w:val="18"/>
                <w:szCs w:val="18"/>
                <w:color w:val="auto"/>
              </w:rPr>
            </w:pPr>
          </w:p>
        </w:tc>
      </w:tr>
      <w:tr>
        <w:trPr>
          <w:trHeight w:val="227"/>
        </w:trPr>
        <w:tc>
          <w:tcPr>
            <w:tcW w:w="320" w:type="dxa"/>
            <w:vAlign w:val="bottom"/>
          </w:tcPr>
          <w:p>
            <w:pPr>
              <w:spacing w:after="0"/>
              <w:rPr>
                <w:sz w:val="19"/>
                <w:szCs w:val="19"/>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MCT Asia (Penang) SDN BHD</w:t>
            </w:r>
          </w:p>
        </w:tc>
        <w:tc>
          <w:tcPr>
            <w:tcW w:w="1100" w:type="dxa"/>
            <w:vAlign w:val="bottom"/>
          </w:tcPr>
          <w:p>
            <w:pPr>
              <w:ind w:left="200"/>
              <w:spacing w:after="0"/>
              <w:rPr>
                <w:sz w:val="20"/>
                <w:szCs w:val="20"/>
                <w:color w:val="auto"/>
              </w:rPr>
            </w:pPr>
            <w:r>
              <w:rPr>
                <w:rFonts w:ascii="Arial" w:cs="Arial" w:eastAsia="Arial" w:hAnsi="Arial"/>
                <w:sz w:val="18"/>
                <w:szCs w:val="18"/>
                <w:color w:val="auto"/>
              </w:rPr>
              <w:t>Malaysia</w:t>
            </w:r>
          </w:p>
        </w:tc>
      </w:tr>
    </w:tbl>
    <w:p>
      <w:pPr>
        <w:sectPr>
          <w:pgSz w:w="11900" w:h="16838" w:orient="portrait"/>
          <w:cols w:equalWidth="0" w:num="1">
            <w:col w:w="10139"/>
          </w:cols>
          <w:pgMar w:left="320" w:top="580"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3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1" w:lineRule="exact"/>
        <w:rPr>
          <w:sz w:val="20"/>
          <w:szCs w:val="20"/>
          <w:color w:val="auto"/>
        </w:rPr>
      </w:pPr>
    </w:p>
    <w:p>
      <w:pPr>
        <w:ind w:left="640" w:hanging="31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S-3 No. 333-237067) of Cohu, Inc, and</w:t>
      </w:r>
    </w:p>
    <w:p>
      <w:pPr>
        <w:spacing w:after="0" w:line="220" w:lineRule="exact"/>
        <w:rPr>
          <w:rFonts w:ascii="Arial" w:cs="Arial" w:eastAsia="Arial" w:hAnsi="Arial"/>
          <w:sz w:val="18"/>
          <w:szCs w:val="18"/>
          <w:color w:val="auto"/>
        </w:rPr>
      </w:pPr>
    </w:p>
    <w:p>
      <w:pPr>
        <w:ind w:left="640" w:right="220" w:hanging="312"/>
        <w:spacing w:after="0" w:line="281"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Registration Statements (Form S-8 Nos. 333-233080, 333-207016, 333-62803, 333-27663, 333-40610, 333-66466, 333-97449, 333-117554, 333-132605, 333-142579, 333-160760, 333-177453 and 333-186973) pertaining to the 1996 and 1998 Stock Option Plans, 1996 Outside Directors Stock Option Plan, 1997 Employee Stock Purchase Plan, and 2005 Equity Incentive Plan of Cohu, Inc.;</w:t>
      </w:r>
    </w:p>
    <w:p>
      <w:pPr>
        <w:spacing w:after="0" w:line="169"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of our reports dated February 17, 2023, with respect to the consolidated financial statements and schedule of Cohu, Inc., and the effectiveness of internal control over financial reporting of Cohu, Inc., included in this Annual Report (Form 10-K) of Cohu, Inc. for the year ended December 31, 2022.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ectPr>
          <w:pgSz w:w="11900" w:h="16838" w:orient="portrait"/>
          <w:cols w:equalWidth="0" w:num="1">
            <w:col w:w="11240"/>
          </w:cols>
          <w:pgMar w:left="320" w:top="33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9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 Luis A. M</w:t>
      </w:r>
      <w:r>
        <w:rPr>
          <w:rFonts w:ascii="MS PGothic" w:cs="MS PGothic" w:eastAsia="MS PGothic" w:hAnsi="MS PGothic"/>
          <w:sz w:val="18"/>
          <w:szCs w:val="18"/>
          <w:color w:val="auto"/>
        </w:rPr>
        <w:t>✔</w:t>
      </w:r>
      <w:r>
        <w:rPr>
          <w:rFonts w:ascii="Arial" w:cs="Arial" w:eastAsia="Arial" w:hAnsi="Arial"/>
          <w:sz w:val="18"/>
          <w:szCs w:val="18"/>
          <w:color w:val="auto"/>
        </w:rPr>
        <w:t>ller, certify that:</w:t>
      </w:r>
    </w:p>
    <w:p>
      <w:pPr>
        <w:spacing w:after="0" w:line="254" w:lineRule="exact"/>
        <w:rPr>
          <w:sz w:val="20"/>
          <w:szCs w:val="20"/>
          <w:color w:val="auto"/>
        </w:rPr>
      </w:pPr>
    </w:p>
    <w:p>
      <w:pPr>
        <w:ind w:left="500" w:hanging="17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34" w:lineRule="exact"/>
        <w:rPr>
          <w:rFonts w:ascii="Arial" w:cs="Arial" w:eastAsia="Arial" w:hAnsi="Arial"/>
          <w:sz w:val="18"/>
          <w:szCs w:val="18"/>
          <w:color w:val="auto"/>
        </w:rPr>
      </w:pPr>
    </w:p>
    <w:p>
      <w:pPr>
        <w:jc w:val="both"/>
        <w:ind w:right="340" w:firstLine="328"/>
        <w:spacing w:after="0" w:line="335" w:lineRule="auto"/>
        <w:tabs>
          <w:tab w:leader="none" w:pos="499"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right="300" w:firstLine="328"/>
        <w:spacing w:after="0" w:line="317" w:lineRule="auto"/>
        <w:tabs>
          <w:tab w:leader="none" w:pos="499"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right="180" w:firstLine="328"/>
        <w:spacing w:after="0" w:line="275" w:lineRule="auto"/>
        <w:tabs>
          <w:tab w:leader="none" w:pos="4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sz w:val="20"/>
          <w:szCs w:val="20"/>
          <w:color w:val="auto"/>
        </w:rPr>
      </w:pPr>
    </w:p>
    <w:p>
      <w:pPr>
        <w:ind w:left="640" w:right="460" w:hanging="312"/>
        <w:spacing w:after="0" w:line="259"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640" w:right="160" w:hanging="312"/>
        <w:spacing w:after="0" w:line="259"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640" w:hanging="312"/>
        <w:spacing w:after="0" w:line="301"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7"/>
          <w:szCs w:val="17"/>
          <w:color w:val="auto"/>
        </w:rPr>
      </w:pPr>
    </w:p>
    <w:p>
      <w:pPr>
        <w:ind w:left="640" w:right="60" w:hanging="312"/>
        <w:spacing w:after="0" w:line="259"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ind w:right="260" w:firstLine="328"/>
        <w:spacing w:after="0" w:line="317" w:lineRule="auto"/>
        <w:tabs>
          <w:tab w:leader="none" w:pos="49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sz w:val="20"/>
          <w:szCs w:val="20"/>
          <w:color w:val="auto"/>
        </w:rPr>
      </w:pPr>
    </w:p>
    <w:p>
      <w:pPr>
        <w:ind w:left="640" w:right="400" w:hanging="312"/>
        <w:spacing w:after="0" w:line="301"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640" w:right="20" w:hanging="312"/>
        <w:spacing w:after="0" w:line="271"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2023</w:t>
      </w:r>
    </w:p>
    <w:p>
      <w:pPr>
        <w:spacing w:after="0" w:line="18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/s/ Luis A. M</w:t>
      </w:r>
      <w:r>
        <w:rPr>
          <w:rFonts w:ascii="MS PGothic" w:cs="MS PGothic" w:eastAsia="MS PGothic" w:hAnsi="MS PGothic"/>
          <w:sz w:val="18"/>
          <w:szCs w:val="18"/>
          <w:color w:val="auto"/>
        </w:rPr>
        <w:t>✔</w:t>
      </w:r>
      <w:r>
        <w:rPr>
          <w:rFonts w:ascii="Arial" w:cs="Arial" w:eastAsia="Arial" w:hAnsi="Arial"/>
          <w:sz w:val="18"/>
          <w:szCs w:val="18"/>
          <w:color w:val="auto"/>
        </w:rPr>
        <w:t>ller</w:t>
      </w:r>
    </w:p>
    <w:p>
      <w:pPr>
        <w:spacing w:after="0" w:line="23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24968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320" w:top="339"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221" w:lineRule="exact"/>
        <w:rPr>
          <w:sz w:val="20"/>
          <w:szCs w:val="20"/>
          <w:color w:val="auto"/>
        </w:rPr>
      </w:pPr>
    </w:p>
    <w:p>
      <w:pPr>
        <w:ind w:left="560" w:hanging="214"/>
        <w:spacing w:after="0"/>
        <w:tabs>
          <w:tab w:leader="none" w:pos="5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20" w:lineRule="exact"/>
        <w:rPr>
          <w:rFonts w:ascii="Arial" w:cs="Arial" w:eastAsia="Arial" w:hAnsi="Arial"/>
          <w:sz w:val="18"/>
          <w:szCs w:val="18"/>
          <w:color w:val="auto"/>
        </w:rPr>
      </w:pPr>
    </w:p>
    <w:p>
      <w:pPr>
        <w:ind w:right="280" w:firstLine="346"/>
        <w:spacing w:after="0" w:line="352" w:lineRule="auto"/>
        <w:tabs>
          <w:tab w:leader="none" w:pos="562" w:val="left"/>
        </w:tabs>
        <w:numPr>
          <w:ilvl w:val="1"/>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6"/>
          <w:szCs w:val="16"/>
          <w:color w:val="auto"/>
        </w:rPr>
      </w:pPr>
    </w:p>
    <w:p>
      <w:pPr>
        <w:ind w:right="240" w:firstLine="346"/>
        <w:spacing w:after="0" w:line="317" w:lineRule="auto"/>
        <w:tabs>
          <w:tab w:leader="none" w:pos="562" w:val="left"/>
        </w:tabs>
        <w:numPr>
          <w:ilvl w:val="1"/>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ind w:right="180" w:firstLine="346"/>
        <w:spacing w:after="0" w:line="267" w:lineRule="auto"/>
        <w:tabs>
          <w:tab w:leader="none" w:pos="56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8"/>
          <w:szCs w:val="18"/>
          <w:color w:val="auto"/>
        </w:rPr>
      </w:pPr>
    </w:p>
    <w:p>
      <w:pPr>
        <w:ind w:left="640" w:right="460" w:hanging="312"/>
        <w:spacing w:after="0" w:line="259"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640" w:right="160" w:hanging="312"/>
        <w:spacing w:after="0" w:line="259"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640" w:hanging="312"/>
        <w:spacing w:after="0" w:line="301"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7"/>
          <w:szCs w:val="17"/>
          <w:color w:val="auto"/>
        </w:rPr>
      </w:pPr>
    </w:p>
    <w:p>
      <w:pPr>
        <w:ind w:left="640" w:right="60" w:hanging="312"/>
        <w:spacing w:after="0" w:line="259"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right="180" w:firstLine="346"/>
        <w:spacing w:after="0" w:line="301" w:lineRule="auto"/>
        <w:tabs>
          <w:tab w:leader="none" w:pos="562"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sz w:val="20"/>
          <w:szCs w:val="20"/>
          <w:color w:val="auto"/>
        </w:rPr>
      </w:pPr>
    </w:p>
    <w:p>
      <w:pPr>
        <w:ind w:left="640" w:right="400" w:hanging="312"/>
        <w:spacing w:after="0" w:line="301"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640" w:right="20" w:hanging="312"/>
        <w:spacing w:after="0" w:line="271"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4968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220"/>
          </w:cols>
          <w:pgMar w:left="320" w:top="339"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1" w:lineRule="exact"/>
        <w:rPr>
          <w:sz w:val="20"/>
          <w:szCs w:val="20"/>
          <w:color w:val="auto"/>
        </w:rPr>
      </w:pPr>
    </w:p>
    <w:p>
      <w:pPr>
        <w:ind w:right="3520"/>
        <w:spacing w:after="0" w:line="275"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72" w:lineRule="exact"/>
        <w:rPr>
          <w:sz w:val="20"/>
          <w:szCs w:val="20"/>
          <w:color w:val="auto"/>
        </w:rPr>
      </w:pPr>
    </w:p>
    <w:p>
      <w:pPr>
        <w:jc w:val="both"/>
        <w:ind w:firstLine="321"/>
        <w:spacing w:after="0" w:line="219" w:lineRule="exact"/>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31, 2022 (the "Report"), I, Luis A. M</w:t>
      </w:r>
      <w:r>
        <w:rPr>
          <w:rFonts w:ascii="MS PGothic" w:cs="MS PGothic" w:eastAsia="MS PGothic" w:hAnsi="MS PGothic"/>
          <w:sz w:val="18"/>
          <w:szCs w:val="18"/>
          <w:color w:val="auto"/>
        </w:rPr>
        <w:t>✔</w:t>
      </w:r>
      <w:r>
        <w:rPr>
          <w:rFonts w:ascii="Arial" w:cs="Arial" w:eastAsia="Arial" w:hAnsi="Arial"/>
          <w:sz w:val="18"/>
          <w:szCs w:val="18"/>
          <w:color w:val="auto"/>
        </w:rPr>
        <w:t>ller, President and Chief Executive Officer of the Company, certify, pursuant to 18 U.S.C. Section 1350, as adopted pursuant to Section 906 of the Sarbanes-Oxley Act of 2002, that, based on my knowledge:</w:t>
      </w:r>
    </w:p>
    <w:p>
      <w:pPr>
        <w:spacing w:after="0" w:line="201" w:lineRule="exact"/>
        <w:rPr>
          <w:sz w:val="20"/>
          <w:szCs w:val="20"/>
          <w:color w:val="auto"/>
        </w:rPr>
      </w:pPr>
    </w:p>
    <w:p>
      <w:pPr>
        <w:ind w:left="260" w:hanging="253"/>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0" w:lineRule="exact"/>
        <w:rPr>
          <w:rFonts w:ascii="Arial" w:cs="Arial" w:eastAsia="Arial" w:hAnsi="Arial"/>
          <w:sz w:val="18"/>
          <w:szCs w:val="18"/>
          <w:color w:val="auto"/>
        </w:rPr>
      </w:pPr>
    </w:p>
    <w:p>
      <w:pPr>
        <w:ind w:right="360" w:firstLine="7"/>
        <w:spacing w:after="0" w:line="477" w:lineRule="auto"/>
        <w:tabs>
          <w:tab w:leader="none" w:pos="2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17, 2023</w:t>
      </w:r>
    </w:p>
    <w:p>
      <w:pPr>
        <w:spacing w:after="0" w:line="207" w:lineRule="exact"/>
        <w:rPr>
          <w:rFonts w:ascii="Arial" w:cs="Arial" w:eastAsia="Arial" w:hAnsi="Arial"/>
          <w:sz w:val="18"/>
          <w:szCs w:val="18"/>
          <w:color w:val="auto"/>
        </w:rPr>
      </w:pPr>
      <w:r>
        <w:rPr>
          <w:rFonts w:ascii="Arial" w:cs="Arial" w:eastAsia="Arial" w:hAnsi="Arial"/>
          <w:sz w:val="18"/>
          <w:szCs w:val="18"/>
          <w:color w:val="auto"/>
        </w:rPr>
        <w:t>/s/ Luis A. M</w:t>
      </w:r>
      <w:r>
        <w:rPr>
          <w:rFonts w:ascii="MS PGothic" w:cs="MS PGothic" w:eastAsia="MS PGothic" w:hAnsi="MS PGothic"/>
          <w:sz w:val="18"/>
          <w:szCs w:val="18"/>
          <w:color w:val="auto"/>
        </w:rPr>
        <w:t>✔</w:t>
      </w:r>
      <w:r>
        <w:rPr>
          <w:rFonts w:ascii="Arial" w:cs="Arial" w:eastAsia="Arial" w:hAnsi="Arial"/>
          <w:sz w:val="18"/>
          <w:szCs w:val="18"/>
          <w:color w:val="auto"/>
        </w:rPr>
        <w:t>ller</w:t>
      </w:r>
    </w:p>
    <w:p>
      <w:pPr>
        <w:spacing w:after="0" w:line="23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Luis A. M</w:t>
      </w:r>
      <w:r>
        <w:rPr>
          <w:rFonts w:ascii="MS PGothic" w:cs="MS PGothic" w:eastAsia="MS PGothic" w:hAnsi="MS PGothic"/>
          <w:sz w:val="18"/>
          <w:szCs w:val="18"/>
          <w:color w:val="auto"/>
        </w:rPr>
        <w:t>✔</w:t>
      </w:r>
      <w:r>
        <w:rPr>
          <w:rFonts w:ascii="Arial" w:cs="Arial" w:eastAsia="Arial" w:hAnsi="Arial"/>
          <w:sz w:val="18"/>
          <w:szCs w:val="18"/>
          <w:color w:val="auto"/>
        </w:rPr>
        <w:t>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24968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960"/>
          </w:cols>
          <w:pgMar w:left="320" w:top="339" w:right="61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1" w:lineRule="exact"/>
        <w:rPr>
          <w:sz w:val="20"/>
          <w:szCs w:val="20"/>
          <w:color w:val="auto"/>
        </w:rPr>
      </w:pPr>
    </w:p>
    <w:p>
      <w:pPr>
        <w:ind w:right="3560"/>
        <w:spacing w:after="0" w:line="275"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72" w:lineRule="exact"/>
        <w:rPr>
          <w:sz w:val="20"/>
          <w:szCs w:val="20"/>
          <w:color w:val="auto"/>
        </w:rPr>
      </w:pPr>
    </w:p>
    <w:p>
      <w:pPr>
        <w:jc w:val="both"/>
        <w:ind w:firstLine="321"/>
        <w:spacing w:after="0" w:line="259"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31, 2022 (the "Report"), I, Jeffrey D. Jones, Vice President Finance and Chief Financial Officer of the Company, certify, pursuant to 18 U.S.C. Section 1350, as adopted pursuant to Section 906 of the Sarbanes-Oxley Act of 2002, that, based on my knowledge:</w:t>
      </w:r>
    </w:p>
    <w:p>
      <w:pPr>
        <w:spacing w:after="0" w:line="186" w:lineRule="exact"/>
        <w:rPr>
          <w:sz w:val="20"/>
          <w:szCs w:val="20"/>
          <w:color w:val="auto"/>
        </w:rPr>
      </w:pPr>
    </w:p>
    <w:p>
      <w:pPr>
        <w:ind w:left="260" w:hanging="253"/>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0" w:lineRule="exact"/>
        <w:rPr>
          <w:rFonts w:ascii="Arial" w:cs="Arial" w:eastAsia="Arial" w:hAnsi="Arial"/>
          <w:sz w:val="18"/>
          <w:szCs w:val="18"/>
          <w:color w:val="auto"/>
        </w:rPr>
      </w:pPr>
    </w:p>
    <w:p>
      <w:pPr>
        <w:ind w:right="400" w:firstLine="7"/>
        <w:spacing w:after="0" w:line="496" w:lineRule="auto"/>
        <w:tabs>
          <w:tab w:leader="none" w:pos="2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17, 2023</w:t>
      </w:r>
    </w:p>
    <w:p>
      <w:pPr>
        <w:spacing w:after="0"/>
        <w:rPr>
          <w:rFonts w:ascii="Arial" w:cs="Arial" w:eastAsia="Arial" w:hAnsi="Arial"/>
          <w:sz w:val="18"/>
          <w:szCs w:val="18"/>
          <w:color w:val="auto"/>
        </w:rPr>
      </w:pPr>
      <w:r>
        <w:rPr>
          <w:rFonts w:ascii="Arial" w:cs="Arial" w:eastAsia="Arial" w:hAnsi="Arial"/>
          <w:sz w:val="18"/>
          <w:szCs w:val="18"/>
          <w:color w:val="auto"/>
        </w:rPr>
        <w:t>/s/ Jeffrey D. Jones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4968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000"/>
      </w:cols>
      <w:pgMar w:left="320" w:top="339"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lowerLetter"/>
      <w:start w:val="1"/>
    </w:lvl>
    <w:lvl w:ilvl="1">
      <w:lvlJc w:val="left"/>
      <w:lvlText w:val="(%2)"/>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2"/>
    </w:lvl>
  </w:abstractNum>
  <w:abstractNum w:abstractNumId="23">
    <w:nsid w:val="2463B9EA"/>
    <w:multiLevelType w:val="hybridMultilevel"/>
    <w:lvl w:ilvl="0">
      <w:lvlJc w:val="left"/>
      <w:lvlText w:val="%1."/>
      <w:numFmt w:val="decimal"/>
      <w:start w:val="3"/>
    </w:lvl>
  </w:abstractNum>
  <w:abstractNum w:abstractNumId="24">
    <w:nsid w:val="5E884ADC"/>
    <w:multiLevelType w:val="hybridMultilevel"/>
    <w:lvl w:ilvl="0">
      <w:lvlJc w:val="left"/>
      <w:lvlText w:val="%1."/>
      <w:numFmt w:val="decimal"/>
      <w:start w:val="4"/>
    </w:lvl>
  </w:abstractNum>
  <w:abstractNum w:abstractNumId="25">
    <w:nsid w:val="51EAD36B"/>
    <w:multiLevelType w:val="hybridMultilevel"/>
    <w:lvl w:ilvl="0">
      <w:lvlJc w:val="left"/>
      <w:lvlText w:val="%1."/>
      <w:numFmt w:val="decimal"/>
      <w:start w:val="5"/>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6"/>
    </w:lvl>
  </w:abstractNum>
  <w:abstractNum w:abstractNumId="28">
    <w:nsid w:val="153EA438"/>
    <w:multiLevelType w:val="hybridMultilevel"/>
    <w:lvl w:ilvl="0">
      <w:lvlJc w:val="left"/>
      <w:lvlText w:val="%1."/>
      <w:numFmt w:val="decimal"/>
      <w:start w:val="7"/>
    </w:lvl>
  </w:abstractNum>
  <w:abstractNum w:abstractNumId="29">
    <w:nsid w:val="3855585C"/>
    <w:multiLevelType w:val="hybridMultilevel"/>
    <w:lvl w:ilvl="0">
      <w:lvlJc w:val="left"/>
      <w:lvlText w:val="%1."/>
      <w:numFmt w:val="decimal"/>
      <w:start w:val="8"/>
    </w:lvl>
  </w:abstractNum>
  <w:abstractNum w:abstractNumId="30">
    <w:nsid w:val="70A64E2A"/>
    <w:multiLevelType w:val="hybridMultilevel"/>
    <w:lvl w:ilvl="0">
      <w:lvlJc w:val="left"/>
      <w:lvlText w:val="%1."/>
      <w:numFmt w:val="decimal"/>
      <w:start w:val="9"/>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0"/>
    </w:lvl>
  </w:abstractNum>
  <w:abstractNum w:abstractNumId="33">
    <w:nsid w:val="1D4ED43B"/>
    <w:multiLevelType w:val="hybridMultilevel"/>
    <w:lvl w:ilvl="0">
      <w:lvlJc w:val="left"/>
      <w:lvlText w:val="%1."/>
      <w:numFmt w:val="decimal"/>
      <w:start w:val="1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3"/>
    </w:lvl>
  </w:abstractNum>
  <w:abstractNum w:abstractNumId="36">
    <w:nsid w:val="57E4CCAF"/>
    <w:multiLevelType w:val="hybridMultilevel"/>
    <w:lvl w:ilvl="0">
      <w:lvlJc w:val="left"/>
      <w:lvlText w:val="%1."/>
      <w:numFmt w:val="decimal"/>
      <w:start w:val="14"/>
    </w:lvl>
  </w:abstractNum>
  <w:abstractNum w:abstractNumId="37">
    <w:nsid w:val="7A6D8D3C"/>
    <w:multiLevelType w:val="hybridMultilevel"/>
    <w:lvl w:ilvl="0">
      <w:lvlJc w:val="left"/>
      <w:lvlText w:val="%1."/>
      <w:numFmt w:val="decimal"/>
      <w:start w:val="15"/>
    </w:lvl>
  </w:abstractNum>
  <w:abstractNum w:abstractNumId="38">
    <w:nsid w:val="4B588F54"/>
    <w:multiLevelType w:val="hybridMultilevel"/>
    <w:lvl w:ilvl="0">
      <w:lvlJc w:val="left"/>
      <w:lvlText w:val="%1."/>
      <w:numFmt w:val="decimal"/>
      <w:start w:val="16"/>
    </w:lvl>
  </w:abstractNum>
  <w:abstractNum w:abstractNumId="39">
    <w:nsid w:val="542289EC"/>
    <w:multiLevelType w:val="hybridMultilevel"/>
    <w:lvl w:ilvl="0">
      <w:lvlJc w:val="left"/>
      <w:lvlText w:val="%1"/>
      <w:numFmt w:val="decimal"/>
      <w:start w:val="21"/>
    </w:lvl>
  </w:abstractNum>
  <w:abstractNum w:abstractNumId="40">
    <w:nsid w:val="6DE91B18"/>
    <w:multiLevelType w:val="hybridMultilevel"/>
    <w:lvl w:ilvl="0">
      <w:lvlJc w:val="left"/>
      <w:lvlText w:val="%1"/>
      <w:numFmt w:val="decimal"/>
      <w:start w:val="23"/>
    </w:lvl>
  </w:abstractNum>
  <w:abstractNum w:abstractNumId="41">
    <w:nsid w:val="38437FDB"/>
    <w:multiLevelType w:val="hybridMultilevel"/>
    <w:lvl w:ilvl="0">
      <w:lvlJc w:val="left"/>
      <w:lvlText w:val="%1"/>
      <w:numFmt w:val="decimal"/>
      <w:start w:val="104"/>
    </w:lvl>
    <w:lvl w:ilvl="1">
      <w:lvlJc w:val="left"/>
      <w:lvlText w:val="*"/>
      <w:numFmt w:val="bullet"/>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decimal"/>
      <w:start w:val="5"/>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1"/>
    </w:lvl>
    <w:lvl w:ilvl="1">
      <w:lvlJc w:val="left"/>
      <w:lvlText w:val="%2."/>
      <w:numFmt w:val="decimal"/>
      <w:start w:val="1"/>
    </w:lvl>
  </w:abstractNum>
  <w:abstractNum w:abstractNumId="49">
    <w:nsid w:val="79A1DEAA"/>
    <w:multiLevelType w:val="hybridMultilevel"/>
    <w:lvl w:ilvl="0">
      <w:lvlJc w:val="left"/>
      <w:lvlText w:val="%1)"/>
      <w:numFmt w:val="lowerLetter"/>
      <w:start w:val="1"/>
    </w:lvl>
    <w:lvl w:ilvl="1">
      <w:lvlJc w:val="left"/>
      <w:lvlText w:val="%2."/>
      <w:numFmt w:val="decimal"/>
      <w:start w:val="5"/>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20" Type="http://schemas.openxmlformats.org/officeDocument/2006/relationships/hyperlink" Target="http://www.sec.gov/Archives/edgar/data/21535/000143774922011148/ex_370383.htm" TargetMode="External"/><Relationship Id="rId121" Type="http://schemas.openxmlformats.org/officeDocument/2006/relationships/hyperlink" Target="http://www.sec.gov/Archives/edgar/data/21535/000143774918010242/ex_114753.htm" TargetMode="External"/><Relationship Id="rId122" Type="http://schemas.openxmlformats.org/officeDocument/2006/relationships/hyperlink" Target="http://www.sec.gov/Archives/edgar/data/21535/000143774918019867/ex_127319.htm" TargetMode="External"/><Relationship Id="rId123" Type="http://schemas.openxmlformats.org/officeDocument/2006/relationships/hyperlink" Target="http://www.sec.gov/Archives/edgar/data/21535/000143774919005899/cohu20190327_def14a.htm" TargetMode="External"/><Relationship Id="rId124" Type="http://schemas.openxmlformats.org/officeDocument/2006/relationships/hyperlink" Target="http://www.sec.gov/Archives/edgar/data/21535/000143774918019867/ex_128427.htm" TargetMode="External"/><Relationship Id="rId125" Type="http://schemas.openxmlformats.org/officeDocument/2006/relationships/hyperlink" Target="http://www.sec.gov/Archives/edgar/data/0000021535/000143774919005899/cohu20190327_def14a.htm" TargetMode="External"/><Relationship Id="rId126" Type="http://schemas.openxmlformats.org/officeDocument/2006/relationships/hyperlink" Target="http://www.sec.gov/Archives/edgar/data/21535/000129993308006069/exhibit1.htm" TargetMode="External"/><Relationship Id="rId127" Type="http://schemas.openxmlformats.org/officeDocument/2006/relationships/hyperlink" Target="http://www.sec.gov/Archives/edgar/data/21535/000143774915014704/ex10-1.htm" TargetMode="External"/><Relationship Id="rId128" Type="http://schemas.openxmlformats.org/officeDocument/2006/relationships/hyperlink" Target="http://www.sec.gov/Archives/edgar/data/21535/000143774915014704/ex10-2.htm" TargetMode="External"/><Relationship Id="rId129" Type="http://schemas.openxmlformats.org/officeDocument/2006/relationships/hyperlink" Target="http://www.sec.gov/Archives/edgar/data/21535/000143774915014704/ex10-3.htm" TargetMode="External"/><Relationship Id="rId130" Type="http://schemas.openxmlformats.org/officeDocument/2006/relationships/hyperlink" Target="http://www.sec.gov/Archives/edgar/data/21535/000143774915014704/ex10-4.htm" TargetMode="External"/><Relationship Id="rId131" Type="http://schemas.openxmlformats.org/officeDocument/2006/relationships/hyperlink" Target="http://www.sec.gov/Archives/edgar/data/21535/000143774915014704/ex10-5.htm" TargetMode="External"/><Relationship Id="rId132" Type="http://schemas.openxmlformats.org/officeDocument/2006/relationships/hyperlink" Target="http://www.sec.gov/Archives/edgar/data/21535/000143774915014704/ex10-6.htm" TargetMode="External"/><Relationship Id="rId133" Type="http://schemas.openxmlformats.org/officeDocument/2006/relationships/hyperlink" Target="http://www.sec.gov/Archives/edgar/data/21535/000143774918021982/ex_131577.htm" TargetMode="External"/><Relationship Id="rId134" Type="http://schemas.openxmlformats.org/officeDocument/2006/relationships/hyperlink" Target="http://www.sec.gov/Archives/edgar/data/21535/000129993308006069/exhibit2.htm" TargetMode="External"/><Relationship Id="rId135" Type="http://schemas.openxmlformats.org/officeDocument/2006/relationships/hyperlink" Target="http://www.sec.gov/Archives/edgar/data/21535/000143774916025855/ex10-14.htm" TargetMode="External"/><Relationship Id="rId136" Type="http://schemas.openxmlformats.org/officeDocument/2006/relationships/hyperlink" Target="http://www.sec.gov/Archives/edgar/data/21535/000143774920022546/ex_210808.htm" TargetMode="External"/><Relationship Id="rId137" Type="http://schemas.openxmlformats.org/officeDocument/2006/relationships/hyperlink" Target="http://www.sec.gov/Archives/edgar/data/21535/000143774920022546/ex_210809.htm" TargetMode="External"/><Relationship Id="rId138" Type="http://schemas.openxmlformats.org/officeDocument/2006/relationships/hyperlink" Target="http://www.sec.gov/Archives/edgar/data/21535/000143774920022546/ex_210810.htm" TargetMode="External"/><Relationship Id="rId139" Type="http://schemas.openxmlformats.org/officeDocument/2006/relationships/hyperlink" Target="http://www.sec.gov/Archives/edgar/data/21535/000143774920022546/ex_210811.htm" TargetMode="External"/><Relationship Id="rId140" Type="http://schemas.openxmlformats.org/officeDocument/2006/relationships/hyperlink" Target="http://www.sec.gov/Archives/edgar/data/21535/000143774920022546/ex_210812.htm" TargetMode="External"/><Relationship Id="rId141" Type="http://schemas.openxmlformats.org/officeDocument/2006/relationships/hyperlink" Target="http://www.sec.gov/Archives/edgar/data/21535/000143774920022546/ex_210813.htm" TargetMode="External"/><Relationship Id="rId142" Type="http://schemas.openxmlformats.org/officeDocument/2006/relationships/hyperlink" Target="http://www.sec.gov/Archives/edgar/data/21535/000143774920022546/ex_210814.htm" TargetMode="External"/><Relationship Id="rId143" Type="http://schemas.openxmlformats.org/officeDocument/2006/relationships/hyperlink" Target="http://www.sec.gov/Archives/edgar/data/21535/000143774920022546/ex_210815.htm" TargetMode="External"/><Relationship Id="rId144" Type="http://schemas.openxmlformats.org/officeDocument/2006/relationships/hyperlink" Target="http://www.sec.gov/Archives/edgar/data/21535/000143774922010147/ex_363747.htm" TargetMode="External"/><Relationship Id="rId145" Type="http://schemas.openxmlformats.org/officeDocument/2006/relationships/hyperlink" Target="http://www.sec.gov/Archives/edgar/data/21535/000143774922010147/ex_363748.htm" TargetMode="External"/><Relationship Id="rId146" Type="http://schemas.openxmlformats.org/officeDocument/2006/relationships/hyperlink" Target="http://www.sec.gov/Archives/edgar/data/0000021535/000143774921011904/ex_2494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2023-02-17T16:37:25Z</dcterms:created>
  <dcterms:modified xsi:type="dcterms:W3CDTF">2023-02-17T16:37:25Z</dcterms:modified>
</cp:coreProperties>
</file>