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color w:val="auto"/>
              </w:rPr>
              <w:t>Cohu, Inc.</w:t>
            </w: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October 25, 2022</w:t>
            </w:r>
          </w:p>
        </w:tc>
        <w:tc>
          <w:tcPr>
            <w:tcW w:w="0" w:type="dxa"/>
            <w:vAlign w:val="bottom"/>
          </w:tcPr>
          <w:p>
            <w:pPr>
              <w:spacing w:after="0"/>
              <w:rPr>
                <w:sz w:val="1"/>
                <w:szCs w:val="1"/>
                <w:color w:val="auto"/>
              </w:rPr>
            </w:pPr>
          </w:p>
        </w:tc>
      </w:tr>
      <w:tr>
        <w:trPr>
          <w:trHeight w:val="364"/>
        </w:trPr>
        <w:tc>
          <w:tcPr>
            <w:tcW w:w="36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vMerge w:val="continue"/>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68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Delaware</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001-04298</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95-1934119</w:t>
            </w:r>
          </w:p>
        </w:tc>
        <w:tc>
          <w:tcPr>
            <w:tcW w:w="0" w:type="dxa"/>
            <w:vAlign w:val="bottom"/>
          </w:tcPr>
          <w:p>
            <w:pPr>
              <w:spacing w:after="0"/>
              <w:rPr>
                <w:sz w:val="1"/>
                <w:szCs w:val="1"/>
                <w:color w:val="auto"/>
              </w:rPr>
            </w:pPr>
          </w:p>
        </w:tc>
      </w:tr>
      <w:tr>
        <w:trPr>
          <w:trHeight w:val="216"/>
        </w:trPr>
        <w:tc>
          <w:tcPr>
            <w:tcW w:w="3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(Commission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3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of incorporation)</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File Number)</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14"/>
        </w:trPr>
        <w:tc>
          <w:tcPr>
            <w:tcW w:w="36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12367 Crosthwaite Circle, Poway,</w:t>
            </w:r>
          </w:p>
        </w:tc>
        <w:tc>
          <w:tcPr>
            <w:tcW w:w="38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92064</w:t>
            </w:r>
          </w:p>
        </w:tc>
        <w:tc>
          <w:tcPr>
            <w:tcW w:w="0" w:type="dxa"/>
            <w:vAlign w:val="bottom"/>
          </w:tcPr>
          <w:p>
            <w:pPr>
              <w:spacing w:after="0"/>
              <w:rPr>
                <w:sz w:val="1"/>
                <w:szCs w:val="1"/>
                <w:color w:val="auto"/>
              </w:rPr>
            </w:pPr>
          </w:p>
        </w:tc>
      </w:tr>
      <w:tr>
        <w:trPr>
          <w:trHeight w:val="216"/>
        </w:trPr>
        <w:tc>
          <w:tcPr>
            <w:tcW w:w="3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California</w:t>
            </w:r>
          </w:p>
        </w:tc>
        <w:tc>
          <w:tcPr>
            <w:tcW w:w="3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80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234"/>
        </w:trPr>
        <w:tc>
          <w:tcPr>
            <w:tcW w:w="3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offices)</w:t>
            </w:r>
          </w:p>
        </w:tc>
        <w:tc>
          <w:tcPr>
            <w:tcW w:w="3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w:t>
            </w:r>
          </w:p>
        </w:tc>
        <w:tc>
          <w:tcPr>
            <w:tcW w:w="38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code:</w:t>
            </w:r>
          </w:p>
        </w:tc>
        <w:tc>
          <w:tcPr>
            <w:tcW w:w="380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858-848-8100</w:t>
            </w:r>
          </w:p>
        </w:tc>
        <w:tc>
          <w:tcPr>
            <w:tcW w:w="0" w:type="dxa"/>
            <w:vAlign w:val="bottom"/>
          </w:tcPr>
          <w:p>
            <w:pPr>
              <w:spacing w:after="0"/>
              <w:rPr>
                <w:sz w:val="1"/>
                <w:szCs w:val="1"/>
                <w:color w:val="auto"/>
              </w:rPr>
            </w:pPr>
          </w:p>
        </w:tc>
      </w:tr>
      <w:tr>
        <w:trPr>
          <w:trHeight w:val="432"/>
        </w:trPr>
        <w:tc>
          <w:tcPr>
            <w:tcW w:w="368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229" w:right="339" w:bottom="1440" w:gutter="0" w:footer="0" w:header="0"/>
        </w:sectPr>
      </w:pPr>
    </w:p>
    <w:p>
      <w:pPr>
        <w:spacing w:after="0" w:line="225"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Common Stock, $1.00 par value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COHU</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4220" w:space="720"/>
            <w:col w:w="2100" w:space="720"/>
            <w:col w:w="3480"/>
          </w:cols>
          <w:pgMar w:left="320" w:top="229" w:right="339" w:bottom="1440" w:gutter="0" w:footer="0" w:header="0"/>
          <w:type w:val="continuous"/>
        </w:sectPr>
      </w:pPr>
    </w:p>
    <w:p>
      <w:pPr>
        <w:spacing w:after="0" w:line="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Appointment of New Director</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25, 2022, the Board of Directors (the “Board”) of Cohu, Inc. (“Cohu”) appointed Andreas (“Andy”) W. Mattes to join the Board as a Class 3 director whose term will expire at Cohu’s 2025 annual meeting of stockholders. Mr. Mattes has also been appointed to the Compensation Committee. Such appointments are effective as of November 1, 2022. There is no arrangement or understanding between Mr. Mattes and Cohu or any other person pursuant to which he was selected as a director.</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Mr. Mattes will be compensated in accordance with Cohu’s current director compensation program, including an annual retainer of $60,000; an annual fee of $7,500 as a member of the Compensation Committee; and an initial equity grant of restricted stock units (“RSUs”) with a total value of $78,075 (where such initial grant value of $150,000 is pro-rated based on the period of time between appointment as director and the next scheduled director annual equity grant date) and this initial grant will vest over three years. In addition, Mr. Mattes will be eligible for the regular directors’ annual equity grant of RSUs, expected in May 2023, with a total value of $150,000, and such annual grant will thereafter vest in approximately one year.</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Mr. Mattes was provided, and is expected to sign, Cohu’s standard form of indemnification agreement for directors, which is attached as Exhibit 10.1 to Cohu’s Form 8-K filed with the SEC on December 13,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Cohu’s press release relating to this announcement is being furnished as Exhibit 99.1 to this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0" w:right="9940" w:firstLine="6"/>
        <w:spacing w:after="0" w:line="530" w:lineRule="auto"/>
        <w:tabs>
          <w:tab w:leader="none" w:pos="41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 Exhibit No. 99.1</w:t>
      </w:r>
    </w:p>
    <w:p>
      <w:pPr>
        <w:ind w:right="4520"/>
        <w:spacing w:after="0" w:line="50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Description - </w:t>
      </w:r>
      <w:r>
        <w:rPr>
          <w:rFonts w:ascii="Times New Roman" w:cs="Times New Roman" w:eastAsia="Times New Roman" w:hAnsi="Times New Roman"/>
          <w:sz w:val="18"/>
          <w:szCs w:val="18"/>
          <w:u w:val="single" w:color="auto"/>
          <w:color w:val="0000EE"/>
        </w:rPr>
        <w:t>Cohu Appoints Andy Mattes to its Board of Directors, dated October 31, 2022</w:t>
      </w:r>
      <w:r>
        <w:rPr>
          <w:rFonts w:ascii="Times New Roman" w:cs="Times New Roman" w:eastAsia="Times New Roman" w:hAnsi="Times New Roman"/>
          <w:sz w:val="18"/>
          <w:szCs w:val="18"/>
          <w:color w:val="auto"/>
        </w:rPr>
        <w:t xml:space="preserve"> Exhibit No. – 104</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Cohu, Inc.</w:t>
            </w:r>
          </w:p>
        </w:tc>
      </w:tr>
      <w:tr>
        <w:trPr>
          <w:trHeight w:val="412"/>
        </w:trPr>
        <w:tc>
          <w:tcPr>
            <w:tcW w:w="3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October 31, 2022</w:t>
            </w:r>
          </w:p>
        </w:tc>
        <w:tc>
          <w:tcPr>
            <w:tcW w:w="7800" w:type="dxa"/>
            <w:vAlign w:val="bottom"/>
          </w:tcPr>
          <w:p>
            <w:pPr>
              <w:ind w:left="2500"/>
              <w:spacing w:after="0"/>
              <w:rPr>
                <w:sz w:val="20"/>
                <w:szCs w:val="20"/>
                <w:color w:val="auto"/>
              </w:rPr>
            </w:pPr>
            <w:r>
              <w:rPr>
                <w:rFonts w:ascii="Times New Roman" w:cs="Times New Roman" w:eastAsia="Times New Roman" w:hAnsi="Times New Roman"/>
                <w:sz w:val="18"/>
                <w:szCs w:val="18"/>
                <w:i w:val="1"/>
                <w:iCs w:val="1"/>
                <w:color w:val="auto"/>
              </w:rPr>
              <w:t>By: /s/ Jeffrey D. Jones</w:t>
            </w:r>
          </w:p>
        </w:tc>
      </w:tr>
      <w:tr>
        <w:trPr>
          <w:trHeight w:val="216"/>
        </w:trPr>
        <w:tc>
          <w:tcPr>
            <w:tcW w:w="3440" w:type="dxa"/>
            <w:vAlign w:val="bottom"/>
          </w:tcPr>
          <w:p>
            <w:pPr>
              <w:spacing w:after="0"/>
              <w:rPr>
                <w:sz w:val="18"/>
                <w:szCs w:val="18"/>
                <w:color w:val="auto"/>
              </w:rPr>
            </w:pPr>
          </w:p>
        </w:tc>
        <w:tc>
          <w:tcPr>
            <w:tcW w:w="7800" w:type="dxa"/>
            <w:vAlign w:val="bottom"/>
          </w:tcPr>
          <w:p>
            <w:pPr>
              <w:ind w:left="2500"/>
              <w:spacing w:after="0"/>
              <w:rPr>
                <w:sz w:val="20"/>
                <w:szCs w:val="20"/>
                <w:color w:val="auto"/>
              </w:rPr>
            </w:pPr>
            <w:r>
              <w:rPr>
                <w:rFonts w:ascii="Times New Roman" w:cs="Times New Roman" w:eastAsia="Times New Roman" w:hAnsi="Times New Roman"/>
                <w:sz w:val="18"/>
                <w:szCs w:val="18"/>
                <w:i w:val="1"/>
                <w:iCs w:val="1"/>
                <w:color w:val="auto"/>
              </w:rPr>
              <w:t>Name: Jeffrey D. Jones</w:t>
            </w:r>
          </w:p>
        </w:tc>
      </w:tr>
      <w:tr>
        <w:trPr>
          <w:trHeight w:val="236"/>
        </w:trPr>
        <w:tc>
          <w:tcPr>
            <w:tcW w:w="3440" w:type="dxa"/>
            <w:vAlign w:val="bottom"/>
          </w:tcPr>
          <w:p>
            <w:pPr>
              <w:spacing w:after="0"/>
              <w:rPr>
                <w:sz w:val="20"/>
                <w:szCs w:val="20"/>
                <w:color w:val="auto"/>
              </w:rPr>
            </w:pPr>
          </w:p>
        </w:tc>
        <w:tc>
          <w:tcPr>
            <w:tcW w:w="7800" w:type="dxa"/>
            <w:vAlign w:val="bottom"/>
          </w:tcPr>
          <w:p>
            <w:pPr>
              <w:ind w:left="2500"/>
              <w:spacing w:after="0"/>
              <w:rPr>
                <w:sz w:val="20"/>
                <w:szCs w:val="20"/>
                <w:color w:val="auto"/>
              </w:rPr>
            </w:pPr>
            <w:r>
              <w:rPr>
                <w:rFonts w:ascii="Times New Roman" w:cs="Times New Roman" w:eastAsia="Times New Roman" w:hAnsi="Times New Roman"/>
                <w:sz w:val="18"/>
                <w:szCs w:val="18"/>
                <w:i w:val="1"/>
                <w:iCs w:val="1"/>
                <w:color w:val="auto"/>
              </w:rPr>
              <w:t>Title: SVP Finance and Chief Financial Officer</w:t>
            </w:r>
          </w:p>
        </w:tc>
      </w:tr>
      <w:tr>
        <w:trPr>
          <w:trHeight w:val="574"/>
        </w:trPr>
        <w:tc>
          <w:tcPr>
            <w:tcW w:w="344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0" w:type="dxa"/>
            <w:vAlign w:val="bottom"/>
          </w:tcPr>
          <w:p>
            <w:pPr>
              <w:ind w:left="2920"/>
              <w:spacing w:after="0"/>
              <w:rPr>
                <w:sz w:val="20"/>
                <w:szCs w:val="20"/>
                <w:color w:val="auto"/>
              </w:rPr>
            </w:pPr>
            <w:r>
              <w:rPr>
                <w:rFonts w:ascii="Times New Roman" w:cs="Times New Roman" w:eastAsia="Times New Roman" w:hAnsi="Times New Roman"/>
                <w:sz w:val="18"/>
                <w:szCs w:val="18"/>
                <w:b w:val="1"/>
                <w:bCs w:val="1"/>
                <w:color w:val="auto"/>
              </w:rPr>
              <w:t>Index of Exhibits</w:t>
            </w:r>
          </w:p>
        </w:tc>
      </w:tr>
      <w:tr>
        <w:trPr>
          <w:trHeight w:val="216"/>
        </w:trPr>
        <w:tc>
          <w:tcPr>
            <w:tcW w:w="1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0" w:type="dxa"/>
            <w:vAlign w:val="bottom"/>
            <w:tcBorders>
              <w:bottom w:val="single" w:sz="8" w:color="auto"/>
            </w:tcBorders>
          </w:tcPr>
          <w:p>
            <w:pPr>
              <w:spacing w:after="0"/>
              <w:rPr>
                <w:sz w:val="18"/>
                <w:szCs w:val="18"/>
                <w:color w:val="auto"/>
              </w:rPr>
            </w:pPr>
          </w:p>
        </w:tc>
      </w:tr>
      <w:tr>
        <w:trPr>
          <w:trHeight w:val="403"/>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40" w:type="dxa"/>
            <w:vAlign w:val="bottom"/>
          </w:tcPr>
          <w:p>
            <w:pPr>
              <w:spacing w:after="0"/>
              <w:rPr>
                <w:sz w:val="24"/>
                <w:szCs w:val="24"/>
                <w:color w:val="auto"/>
              </w:rPr>
            </w:pPr>
          </w:p>
        </w:tc>
        <w:tc>
          <w:tcPr>
            <w:tcW w:w="9200" w:type="dxa"/>
            <w:vAlign w:val="bottom"/>
          </w:tcPr>
          <w:p>
            <w:pPr>
              <w:spacing w:after="0"/>
              <w:rPr>
                <w:sz w:val="24"/>
                <w:szCs w:val="24"/>
                <w:color w:val="auto"/>
              </w:rPr>
            </w:pPr>
          </w:p>
        </w:tc>
      </w:tr>
      <w:tr>
        <w:trPr>
          <w:trHeight w:val="238"/>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w:t>
            </w:r>
          </w:p>
        </w:tc>
        <w:tc>
          <w:tcPr>
            <w:tcW w:w="340" w:type="dxa"/>
            <w:vAlign w:val="bottom"/>
          </w:tcPr>
          <w:p>
            <w:pPr>
              <w:spacing w:after="0"/>
              <w:rPr>
                <w:sz w:val="20"/>
                <w:szCs w:val="20"/>
                <w:color w:val="auto"/>
              </w:rPr>
            </w:pPr>
          </w:p>
        </w:tc>
        <w:tc>
          <w:tcPr>
            <w:tcW w:w="9200" w:type="dxa"/>
            <w:vAlign w:val="bottom"/>
            <w:tcBorders>
              <w:bottom w:val="single" w:sz="8" w:color="auto"/>
            </w:tcBorders>
          </w:tcPr>
          <w:p>
            <w:pPr>
              <w:ind w:left="39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2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Cohu Appoints Andy Mattes to its Board of Directors, dated October 31, 2022</w:t>
            </w:r>
          </w:p>
        </w:tc>
      </w:tr>
      <w:tr>
        <w:trPr>
          <w:trHeight w:val="43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156845</wp:posOffset>
            </wp:positionV>
            <wp:extent cx="3162935"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6293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-119380</wp:posOffset>
            </wp:positionV>
            <wp:extent cx="25400" cy="685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400" cy="685800"/>
                    </a:xfrm>
                    <a:prstGeom prst="rect">
                      <a:avLst/>
                    </a:prstGeom>
                    <a:noFill/>
                  </pic:spPr>
                </pic:pic>
              </a:graphicData>
            </a:graphic>
          </wp:anchor>
        </w:drawing>
      </w:r>
    </w:p>
    <w:p>
      <w:pPr>
        <w:spacing w:after="0" w:line="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12367 CROSTHWAITE CIRCLE</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POWAY, CA 92064</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FAX (858) 848-8185</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PHONE (858) 858-8100</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www.cohu.com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Appoints Andy Mattes to its Board of Directors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POWAY, Calif., October 31, 2022 -- Cohu, Inc. (NASDAQ: COHU), a global supplier of equipment and services optimizing semiconductor manufacturing yield and productivity, today announced that Andreas (“Andy”) W. Mattes has been appointed to the Cohu Board of Directors, effective November 1, 2022. Mr. Mattes will also serve on the Compensation Committee.</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Mattes brings to Cohu’s Board of Directors extensive experience as a global technology CEO and business executive with more than 30 years of management experience. He most recently served as President and CEO of Coherent, Inc., where he operationally transformed the company and led its $6.6 billion acquisition by II-VI Incorporated in July 2022. Prior to Coherent, Mr. Mattes was a Senior Advisor at McKinsey &amp; Company, where he focused on advising international businesses on high-impact transformations, agile change and positioning companies for growth. Prior to that, he served as President and CEO of Diebold Nixdorf, Incorporated, a multinational financial and retail technology company. Under Mr. Mattes’ leadership, Diebold Nixdorf became the largest ATM provider worldwide, through a re-shifting of the company's focus to services and software along with the successful execution of one of the largest US-German cross-border corporate mergers. Previously, he spent more than five years in executive leadership positions at Hewlett Packard, including leading worldwide sales for the technology solutions group and running the Americas enterprise services business. He spent the first 20 years of his career at Siemens AG culminating in his role as CEO of Siemens Communications Inc., USA. Mr. Mattes also serves on the board of Velodyne Lidar, Inc. (NASDAQ: VLDR), a lidar solutions provider for industrial, robotics, automotive, mapping and security markets.</w:t>
      </w:r>
    </w:p>
    <w:p>
      <w:pPr>
        <w:spacing w:after="0" w:line="1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pleased to add Andy to Cohu’s Board of Directors. He brings public company CEO experience with a proven track record in running and growing global technology enterprises, including systems hardware, software and services businesses across several industries. We look forward to drawing upon his impressive strategic experience and leadership skills,” said James A. Donahue, Chairperson of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Cohu:</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Cohu (NASDAQ: COHU) is a global technology leader supplying test, automation, inspection and metrology products and services to the semiconductor industry. Cohu’s differentiated and broad product portfolio enables optimized yield and productivity, accelerating customers’ manufacturing time-to-market. Additional information can be found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858-848-8106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2022-10-31T08:02:31Z</dcterms:created>
  <dcterms:modified xsi:type="dcterms:W3CDTF">2022-10-31T08:02:31Z</dcterms:modified>
</cp:coreProperties>
</file>