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jc w:val="center"/>
        <w:spacing w:after="0" w:line="238" w:lineRule="auto"/>
        <w:rPr>
          <w:sz w:val="20"/>
          <w:szCs w:val="20"/>
          <w:color w:val="auto"/>
        </w:rPr>
      </w:pPr>
      <w:r>
        <w:rPr>
          <w:rFonts w:ascii="Arial" w:cs="Arial" w:eastAsia="Arial" w:hAnsi="Arial"/>
          <w:sz w:val="22"/>
          <w:szCs w:val="22"/>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960" w:type="dxa"/>
            <w:vAlign w:val="bottom"/>
            <w:gridSpan w:val="6"/>
          </w:tcPr>
          <w:p>
            <w:pPr>
              <w:jc w:val="center"/>
              <w:ind w:right="1960"/>
              <w:spacing w:after="0"/>
              <w:rPr>
                <w:sz w:val="20"/>
                <w:szCs w:val="20"/>
                <w:color w:val="auto"/>
              </w:rPr>
            </w:pPr>
            <w:r>
              <w:rPr>
                <w:rFonts w:ascii="Arial" w:cs="Arial" w:eastAsia="Arial" w:hAnsi="Arial"/>
                <w:sz w:val="18"/>
                <w:szCs w:val="18"/>
                <w:color w:val="auto"/>
                <w:w w:val="92"/>
              </w:rPr>
              <w:t>CURRENT REPORT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80" w:type="dxa"/>
            <w:vAlign w:val="bottom"/>
            <w:gridSpan w:val="8"/>
          </w:tcPr>
          <w:p>
            <w:pPr>
              <w:jc w:val="center"/>
              <w:ind w:left="2570"/>
              <w:spacing w:after="0"/>
              <w:rPr>
                <w:sz w:val="20"/>
                <w:szCs w:val="20"/>
                <w:color w:val="auto"/>
              </w:rPr>
            </w:pPr>
            <w:r>
              <w:rPr>
                <w:rFonts w:ascii="Arial" w:cs="Arial" w:eastAsia="Arial" w:hAnsi="Arial"/>
                <w:sz w:val="18"/>
                <w:szCs w:val="18"/>
                <w:color w:val="auto"/>
                <w:w w:val="90"/>
              </w:rPr>
              <w:t>Pursuant to Section 13 or 15(d) of the Securities Exchange Act of 1934</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color w:val="auto"/>
              </w:rPr>
              <w:t>Date of Report (Date of Earliest Event Reported):</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w w:val="89"/>
              </w:rPr>
              <w:t>October 27, 2022</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8"/>
        </w:trPr>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60" w:type="dxa"/>
            <w:vAlign w:val="bottom"/>
            <w:gridSpan w:val="6"/>
          </w:tcPr>
          <w:p>
            <w:pPr>
              <w:jc w:val="center"/>
              <w:ind w:right="1960"/>
              <w:spacing w:after="0"/>
              <w:rPr>
                <w:sz w:val="20"/>
                <w:szCs w:val="20"/>
                <w:color w:val="auto"/>
              </w:rPr>
            </w:pPr>
            <w:r>
              <w:rPr>
                <w:rFonts w:ascii="Arial" w:cs="Arial" w:eastAsia="Arial" w:hAnsi="Arial"/>
                <w:sz w:val="43"/>
                <w:szCs w:val="43"/>
                <w:color w:val="auto"/>
                <w:w w:val="91"/>
              </w:rPr>
              <w:t>Cohu, Inc.</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4220" w:type="dxa"/>
            <w:vAlign w:val="bottom"/>
          </w:tcPr>
          <w:p>
            <w:pPr>
              <w:spacing w:after="0"/>
              <w:rPr>
                <w:sz w:val="21"/>
                <w:szCs w:val="21"/>
                <w:color w:val="auto"/>
              </w:rPr>
            </w:pPr>
          </w:p>
        </w:tc>
        <w:tc>
          <w:tcPr>
            <w:tcW w:w="1080" w:type="dxa"/>
            <w:vAlign w:val="bottom"/>
            <w:tcBorders>
              <w:bottom w:val="single" w:sz="8" w:color="auto"/>
            </w:tcBorders>
            <w:gridSpan w:val="2"/>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gridSpan w:val="8"/>
          </w:tcPr>
          <w:p>
            <w:pPr>
              <w:jc w:val="center"/>
              <w:ind w:left="2570"/>
              <w:spacing w:after="0"/>
              <w:rPr>
                <w:sz w:val="20"/>
                <w:szCs w:val="20"/>
                <w:color w:val="auto"/>
              </w:rPr>
            </w:pPr>
            <w:r>
              <w:rPr>
                <w:rFonts w:ascii="Arial" w:cs="Arial" w:eastAsia="Arial" w:hAnsi="Arial"/>
                <w:sz w:val="18"/>
                <w:szCs w:val="18"/>
                <w:color w:val="auto"/>
                <w:w w:val="90"/>
              </w:rPr>
              <w:t>(Exact name of registrant as specified in its charter)</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jc w:val="center"/>
              <w:ind w:left="590"/>
              <w:spacing w:after="0"/>
              <w:rPr>
                <w:sz w:val="20"/>
                <w:szCs w:val="20"/>
                <w:color w:val="auto"/>
              </w:rPr>
            </w:pPr>
            <w:r>
              <w:rPr>
                <w:rFonts w:ascii="Arial" w:cs="Arial" w:eastAsia="Arial" w:hAnsi="Arial"/>
                <w:sz w:val="18"/>
                <w:szCs w:val="18"/>
                <w:color w:val="auto"/>
                <w:w w:val="92"/>
              </w:rPr>
              <w:t>Delaware</w:t>
            </w:r>
          </w:p>
        </w:tc>
        <w:tc>
          <w:tcPr>
            <w:tcW w:w="2400" w:type="dxa"/>
            <w:vAlign w:val="bottom"/>
            <w:gridSpan w:val="3"/>
          </w:tcPr>
          <w:p>
            <w:pPr>
              <w:jc w:val="center"/>
              <w:ind w:left="859"/>
              <w:spacing w:after="0"/>
              <w:rPr>
                <w:sz w:val="20"/>
                <w:szCs w:val="20"/>
                <w:color w:val="auto"/>
              </w:rPr>
            </w:pPr>
            <w:r>
              <w:rPr>
                <w:rFonts w:ascii="Arial" w:cs="Arial" w:eastAsia="Arial" w:hAnsi="Arial"/>
                <w:sz w:val="18"/>
                <w:szCs w:val="18"/>
                <w:color w:val="auto"/>
                <w:w w:val="90"/>
              </w:rPr>
              <w:t>001-04298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jc w:val="center"/>
              <w:ind w:right="1190"/>
              <w:spacing w:after="0"/>
              <w:rPr>
                <w:sz w:val="20"/>
                <w:szCs w:val="20"/>
                <w:color w:val="auto"/>
              </w:rPr>
            </w:pPr>
            <w:r>
              <w:rPr>
                <w:rFonts w:ascii="Arial" w:cs="Arial" w:eastAsia="Arial" w:hAnsi="Arial"/>
                <w:sz w:val="18"/>
                <w:szCs w:val="18"/>
                <w:color w:val="auto"/>
                <w:w w:val="89"/>
              </w:rPr>
              <w:t>95-1934119</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580" w:type="dxa"/>
            <w:vAlign w:val="bottom"/>
            <w:tcBorders>
              <w:bottom w:val="single" w:sz="8" w:color="auto"/>
            </w:tcBorders>
            <w:gridSpan w:val="2"/>
          </w:tcPr>
          <w:p>
            <w:pPr>
              <w:spacing w:after="0"/>
              <w:rPr>
                <w:sz w:val="18"/>
                <w:szCs w:val="18"/>
                <w:color w:val="auto"/>
              </w:rPr>
            </w:pPr>
          </w:p>
        </w:tc>
        <w:tc>
          <w:tcPr>
            <w:tcW w:w="220" w:type="dxa"/>
            <w:vAlign w:val="bottom"/>
            <w:vMerge w:val="restart"/>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620" w:type="dxa"/>
            <w:vAlign w:val="bottom"/>
            <w:gridSpan w:val="2"/>
          </w:tcPr>
          <w:p>
            <w:pPr>
              <w:jc w:val="center"/>
              <w:ind w:left="590"/>
              <w:spacing w:after="0" w:line="195" w:lineRule="exact"/>
              <w:rPr>
                <w:sz w:val="20"/>
                <w:szCs w:val="20"/>
                <w:color w:val="auto"/>
              </w:rPr>
            </w:pPr>
            <w:r>
              <w:rPr>
                <w:rFonts w:ascii="Arial" w:cs="Arial" w:eastAsia="Arial" w:hAnsi="Arial"/>
                <w:sz w:val="18"/>
                <w:szCs w:val="18"/>
                <w:color w:val="auto"/>
                <w:w w:val="92"/>
              </w:rPr>
              <w:t>(State or other jurisdiction</w:t>
            </w:r>
          </w:p>
        </w:tc>
        <w:tc>
          <w:tcPr>
            <w:tcW w:w="68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58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93"/>
              </w:rPr>
              <w:t>(Commission</w:t>
            </w:r>
          </w:p>
        </w:tc>
        <w:tc>
          <w:tcPr>
            <w:tcW w:w="22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2660" w:type="dxa"/>
            <w:vAlign w:val="bottom"/>
          </w:tcPr>
          <w:p>
            <w:pPr>
              <w:jc w:val="center"/>
              <w:ind w:right="1170"/>
              <w:spacing w:after="0" w:line="195" w:lineRule="exact"/>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4620" w:type="dxa"/>
            <w:vAlign w:val="bottom"/>
            <w:gridSpan w:val="2"/>
          </w:tcPr>
          <w:p>
            <w:pPr>
              <w:jc w:val="center"/>
              <w:ind w:left="590"/>
              <w:spacing w:after="0"/>
              <w:rPr>
                <w:sz w:val="20"/>
                <w:szCs w:val="20"/>
                <w:color w:val="auto"/>
              </w:rPr>
            </w:pPr>
            <w:r>
              <w:rPr>
                <w:rFonts w:ascii="Arial" w:cs="Arial" w:eastAsia="Arial" w:hAnsi="Arial"/>
                <w:sz w:val="18"/>
                <w:szCs w:val="18"/>
                <w:color w:val="auto"/>
                <w:w w:val="93"/>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4"/>
          </w:tcPr>
          <w:p>
            <w:pPr>
              <w:jc w:val="center"/>
              <w:ind w:right="148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right="11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18"/>
        </w:trPr>
        <w:tc>
          <w:tcPr>
            <w:tcW w:w="462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12367 Crosthwaite Circle, Poway,</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jc w:val="center"/>
              <w:ind w:right="1170"/>
              <w:spacing w:after="0"/>
              <w:rPr>
                <w:sz w:val="20"/>
                <w:szCs w:val="20"/>
                <w:color w:val="auto"/>
              </w:rPr>
            </w:pPr>
            <w:r>
              <w:rPr>
                <w:rFonts w:ascii="Arial" w:cs="Arial" w:eastAsia="Arial" w:hAnsi="Arial"/>
                <w:sz w:val="18"/>
                <w:szCs w:val="18"/>
                <w:color w:val="auto"/>
                <w:w w:val="87"/>
              </w:rPr>
              <w:t>92064</w:t>
            </w:r>
          </w:p>
        </w:tc>
        <w:tc>
          <w:tcPr>
            <w:tcW w:w="0" w:type="dxa"/>
            <w:vAlign w:val="bottom"/>
          </w:tcPr>
          <w:p>
            <w:pPr>
              <w:spacing w:after="0"/>
              <w:rPr>
                <w:sz w:val="1"/>
                <w:szCs w:val="1"/>
                <w:color w:val="auto"/>
              </w:rPr>
            </w:pPr>
          </w:p>
        </w:tc>
      </w:tr>
      <w:tr>
        <w:trPr>
          <w:trHeight w:val="230"/>
        </w:trPr>
        <w:tc>
          <w:tcPr>
            <w:tcW w:w="4620" w:type="dxa"/>
            <w:vAlign w:val="bottom"/>
            <w:gridSpan w:val="2"/>
          </w:tcPr>
          <w:p>
            <w:pPr>
              <w:jc w:val="center"/>
              <w:ind w:left="590"/>
              <w:spacing w:after="0"/>
              <w:rPr>
                <w:sz w:val="20"/>
                <w:szCs w:val="20"/>
                <w:color w:val="auto"/>
              </w:rPr>
            </w:pPr>
            <w:r>
              <w:rPr>
                <w:rFonts w:ascii="Arial" w:cs="Arial" w:eastAsia="Arial" w:hAnsi="Arial"/>
                <w:sz w:val="18"/>
                <w:szCs w:val="18"/>
                <w:color w:val="auto"/>
                <w:w w:val="97"/>
              </w:rPr>
              <w:t>California</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20" w:type="dxa"/>
            <w:vAlign w:val="bottom"/>
            <w:gridSpan w:val="2"/>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jc w:val="center"/>
              <w:ind w:right="117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18"/>
        </w:trPr>
        <w:tc>
          <w:tcPr>
            <w:tcW w:w="4620" w:type="dxa"/>
            <w:vAlign w:val="bottom"/>
            <w:gridSpan w:val="2"/>
          </w:tcPr>
          <w:p>
            <w:pPr>
              <w:jc w:val="center"/>
              <w:ind w:left="590"/>
              <w:spacing w:after="0"/>
              <w:rPr>
                <w:sz w:val="20"/>
                <w:szCs w:val="20"/>
                <w:color w:val="auto"/>
              </w:rPr>
            </w:pPr>
            <w:r>
              <w:rPr>
                <w:rFonts w:ascii="Arial" w:cs="Arial" w:eastAsia="Arial" w:hAnsi="Arial"/>
                <w:sz w:val="18"/>
                <w:szCs w:val="18"/>
                <w:color w:val="auto"/>
                <w:w w:val="89"/>
              </w:rPr>
              <w:t>Registrant’s telephone number, including area code: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jc w:val="center"/>
              <w:ind w:right="1190"/>
              <w:spacing w:after="0"/>
              <w:rPr>
                <w:sz w:val="20"/>
                <w:szCs w:val="20"/>
                <w:color w:val="auto"/>
              </w:rPr>
            </w:pPr>
            <w:r>
              <w:rPr>
                <w:rFonts w:ascii="Arial" w:cs="Arial" w:eastAsia="Arial" w:hAnsi="Arial"/>
                <w:sz w:val="18"/>
                <w:szCs w:val="18"/>
                <w:color w:val="auto"/>
                <w:w w:val="90"/>
              </w:rPr>
              <w:t>858-848-8100</w:t>
            </w: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960" w:type="dxa"/>
            <w:vAlign w:val="bottom"/>
            <w:gridSpan w:val="6"/>
          </w:tcPr>
          <w:p>
            <w:pPr>
              <w:jc w:val="center"/>
              <w:ind w:right="1940"/>
              <w:spacing w:after="0"/>
              <w:rPr>
                <w:sz w:val="20"/>
                <w:szCs w:val="20"/>
                <w:color w:val="auto"/>
              </w:rPr>
            </w:pPr>
            <w:r>
              <w:rPr>
                <w:rFonts w:ascii="Arial" w:cs="Arial" w:eastAsia="Arial" w:hAnsi="Arial"/>
                <w:sz w:val="18"/>
                <w:szCs w:val="18"/>
                <w:color w:val="auto"/>
                <w:w w:val="94"/>
              </w:rPr>
              <w:t>Not Applicable</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391"/>
        </w:trPr>
        <w:tc>
          <w:tcPr>
            <w:tcW w:w="1740" w:type="dxa"/>
            <w:vAlign w:val="bottom"/>
          </w:tcPr>
          <w:p>
            <w:pPr>
              <w:spacing w:after="0"/>
              <w:rPr>
                <w:sz w:val="24"/>
                <w:szCs w:val="24"/>
                <w:color w:val="auto"/>
              </w:rPr>
            </w:pPr>
          </w:p>
        </w:tc>
        <w:tc>
          <w:tcPr>
            <w:tcW w:w="2880" w:type="dxa"/>
            <w:vAlign w:val="bottom"/>
            <w:gridSpan w:val="2"/>
          </w:tcPr>
          <w:p>
            <w:pPr>
              <w:jc w:val="center"/>
              <w:ind w:right="1520"/>
              <w:spacing w:after="0"/>
              <w:rPr>
                <w:sz w:val="20"/>
                <w:szCs w:val="20"/>
                <w:color w:val="auto"/>
              </w:rPr>
            </w:pPr>
            <w:r>
              <w:rPr>
                <w:rFonts w:ascii="Arial" w:cs="Arial" w:eastAsia="Arial" w:hAnsi="Arial"/>
                <w:sz w:val="18"/>
                <w:szCs w:val="18"/>
                <w:color w:val="auto"/>
                <w:w w:val="90"/>
              </w:rPr>
              <w:t>Title of Each Class</w:t>
            </w:r>
          </w:p>
        </w:tc>
        <w:tc>
          <w:tcPr>
            <w:tcW w:w="2940" w:type="dxa"/>
            <w:vAlign w:val="bottom"/>
            <w:gridSpan w:val="3"/>
          </w:tcPr>
          <w:p>
            <w:pPr>
              <w:jc w:val="center"/>
              <w:ind w:right="620"/>
              <w:spacing w:after="0"/>
              <w:rPr>
                <w:sz w:val="20"/>
                <w:szCs w:val="20"/>
                <w:color w:val="auto"/>
              </w:rPr>
            </w:pPr>
            <w:r>
              <w:rPr>
                <w:rFonts w:ascii="Arial" w:cs="Arial" w:eastAsia="Arial" w:hAnsi="Arial"/>
                <w:sz w:val="18"/>
                <w:szCs w:val="18"/>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7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37"/>
        </w:trPr>
        <w:tc>
          <w:tcPr>
            <w:tcW w:w="462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Common Stock, $1.00 par value</w:t>
            </w:r>
          </w:p>
        </w:tc>
        <w:tc>
          <w:tcPr>
            <w:tcW w:w="480" w:type="dxa"/>
            <w:vAlign w:val="bottom"/>
          </w:tcPr>
          <w:p>
            <w:pPr>
              <w:spacing w:after="0"/>
              <w:rPr>
                <w:sz w:val="20"/>
                <w:szCs w:val="20"/>
                <w:color w:val="auto"/>
              </w:rPr>
            </w:pPr>
          </w:p>
        </w:tc>
        <w:tc>
          <w:tcPr>
            <w:tcW w:w="2460" w:type="dxa"/>
            <w:vAlign w:val="bottom"/>
            <w:gridSpan w:val="2"/>
          </w:tcPr>
          <w:p>
            <w:pPr>
              <w:jc w:val="center"/>
              <w:ind w:right="1120"/>
              <w:spacing w:after="0"/>
              <w:rPr>
                <w:sz w:val="20"/>
                <w:szCs w:val="20"/>
                <w:color w:val="auto"/>
              </w:rPr>
            </w:pPr>
            <w:r>
              <w:rPr>
                <w:rFonts w:ascii="Arial" w:cs="Arial" w:eastAsia="Arial" w:hAnsi="Arial"/>
                <w:sz w:val="18"/>
                <w:szCs w:val="18"/>
                <w:color w:val="auto"/>
                <w:w w:val="94"/>
              </w:rPr>
              <w:t>COHU</w:t>
            </w:r>
          </w:p>
        </w:tc>
        <w:tc>
          <w:tcPr>
            <w:tcW w:w="282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or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Securities Exchange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On October 27, 2022, Cohu, Inc. (the “Company”) issued a press release regarding its financial results for the third quarter ended September 24, 2022. The Company’s press release is attached as Exhibit 99.1 to this Current Report on Form 8-K and incorporated by reference herein.</w:t>
      </w:r>
    </w:p>
    <w:p>
      <w:pPr>
        <w:spacing w:after="0" w:line="146"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Included within this current report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gain on sale of business, employer payroll taxes related to accelerated vesting share-based awards, depreciation of purchase accounting adjustments to property, plant and equipment,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Certain statements contained in this current report may be considered forward-looking statements within the meaning of the U.S. Private Securities Litigation Reform Act of 1995, including statements regarding a resilient recurring business with profitability through industry cycles; estimated test cell utilization; mix of recurring vs. systems business; product design wins; new DI-Core customers, growth and forecast; diversifying and growing the tester business; progressing to increase gross margins; insourcing contactor manufacturing; automobile ADAS and EV segment growth; automobile and industrial segment market conditions; KGD Silicon Carbide segment growth; MEMS test product growth; Cohu’s FY2022 or FY2023 outlook; % of incremental revenue expected to fall to operating income; Cohu’s fourth quarter 2022 sales forecast, guidance, sales mix, non-GAAP operating expenses, gross margin, operating income, adjusted EBITDA, effective tax rate, free cash flow, cap ex, cash and/or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Actual results and future business conditions could differ materially from those contained in any forward-looking statement as a result of various factors, including, without limitation: political and economic instability and adverse worldwide impacts resulting from the military incursion into Ukraine by Russia, including potential energy shortages in Europe; the ongoing effects of the COVID-19 pandemic and its impact on our operations and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any failure to perform or unexpected downtime experienced by our sole contract manufacturer for certain semiconductor automated test equipment; any failure of critical suppliers to deliver sufficient quantities of parts in a timely and cost-effective manner, including ongoing shortages of semiconductor devices used in our system products; continued high inflation and increasing interest rates; we may not be able to increase prices to fully offset inflationary pressures on costs, such as raw and packaging materials, components and subassemblies, labor and distribution costs; the semiconductor industry we serve is seasonal, cyclical,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inherent uncertainty of backlog wherein customers may delay shipments or cancel orders;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including new U.S. export rules announced October 7, 2022 relating to certain advanced computing and semiconductor manufacturing items and supercomputer and semiconductor end use, may materially harm or limit Cohu’s business and ability to sell its products; the remaining indebtedness in connection with our financing of the Xcerra acquisition may have an adverse impact on Cohu’s liquidity, access to capital and business flexibility;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impacts in the event of a cybersecurity breach.</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 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92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ind w:right="5720"/>
        <w:spacing w:after="0" w:line="500" w:lineRule="auto"/>
        <w:rPr>
          <w:rFonts w:ascii="Arial" w:cs="Arial" w:eastAsia="Arial" w:hAnsi="Arial"/>
          <w:sz w:val="17"/>
          <w:szCs w:val="17"/>
          <w:color w:val="auto"/>
        </w:rPr>
      </w:pPr>
      <w:r>
        <w:rPr>
          <w:rFonts w:ascii="Arial" w:cs="Arial" w:eastAsia="Arial" w:hAnsi="Arial"/>
          <w:sz w:val="18"/>
          <w:szCs w:val="18"/>
          <w:u w:val="single" w:color="auto"/>
          <w:color w:val="0000EE"/>
        </w:rPr>
        <w:t xml:space="preserve">Third Quarter 2022 Earnings Release, dated October 27, 2022, of Cohu, Inc. </w:t>
      </w:r>
      <w:r>
        <w:rPr>
          <w:rFonts w:ascii="Arial" w:cs="Arial" w:eastAsia="Arial" w:hAnsi="Arial"/>
          <w:sz w:val="18"/>
          <w:szCs w:val="18"/>
          <w:color w:val="000000"/>
        </w:rPr>
        <w:t>Exhibit No. - 104</w:t>
      </w:r>
    </w:p>
    <w:p>
      <w:pPr>
        <w:spacing w:after="0" w:line="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Cohu,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20" w:val="left"/>
          <w:tab w:leader="none" w:pos="6400" w:val="left"/>
        </w:tabs>
        <w:rPr>
          <w:sz w:val="20"/>
          <w:szCs w:val="20"/>
          <w:color w:val="auto"/>
        </w:rPr>
      </w:pPr>
      <w:r>
        <w:rPr>
          <w:rFonts w:ascii="Arial" w:cs="Arial" w:eastAsia="Arial" w:hAnsi="Arial"/>
          <w:sz w:val="18"/>
          <w:szCs w:val="18"/>
          <w:color w:val="auto"/>
        </w:rPr>
        <w:t>October 27, 2022</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/s/ Jeffrey D. Jones</w:t>
      </w:r>
    </w:p>
    <w:p>
      <w:pPr>
        <w:spacing w:after="0" w:line="239"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-130175</wp:posOffset>
            </wp:positionV>
            <wp:extent cx="3060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Title: Senior VP Finance and Chief Financial</w:t>
      </w:r>
    </w:p>
    <w:p>
      <w:pPr>
        <w:spacing w:after="0" w:line="9" w:lineRule="exact"/>
        <w:rPr>
          <w:sz w:val="20"/>
          <w:szCs w:val="20"/>
          <w:color w:val="auto"/>
        </w:rPr>
      </w:pPr>
    </w:p>
    <w:p>
      <w:pPr>
        <w:ind w:left="6420"/>
        <w:spacing w:after="0"/>
        <w:rPr>
          <w:sz w:val="20"/>
          <w:szCs w:val="20"/>
          <w:color w:val="auto"/>
        </w:rPr>
      </w:pPr>
      <w:r>
        <w:rPr>
          <w:rFonts w:ascii="Arial" w:cs="Arial" w:eastAsia="Arial" w:hAnsi="Arial"/>
          <w:sz w:val="18"/>
          <w:szCs w:val="18"/>
          <w:i w:val="1"/>
          <w:i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40" w:type="dxa"/>
            <w:vAlign w:val="bottom"/>
          </w:tcPr>
          <w:p>
            <w:pPr>
              <w:ind w:left="2540"/>
              <w:spacing w:after="0"/>
              <w:rPr>
                <w:sz w:val="20"/>
                <w:szCs w:val="20"/>
                <w:color w:val="auto"/>
              </w:rPr>
            </w:pPr>
            <w:r>
              <w:rPr>
                <w:rFonts w:ascii="Arial" w:cs="Arial" w:eastAsia="Arial" w:hAnsi="Arial"/>
                <w:sz w:val="18"/>
                <w:szCs w:val="18"/>
                <w:color w:val="auto"/>
              </w:rPr>
              <w:t>Exhibit Index</w:t>
            </w:r>
          </w:p>
        </w:tc>
      </w:tr>
      <w:tr>
        <w:trPr>
          <w:trHeight w:val="864"/>
        </w:trPr>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340" w:type="dxa"/>
            <w:vAlign w:val="bottom"/>
          </w:tcPr>
          <w:p>
            <w:pPr>
              <w:spacing w:after="0"/>
              <w:rPr>
                <w:sz w:val="24"/>
                <w:szCs w:val="24"/>
                <w:color w:val="auto"/>
              </w:rPr>
            </w:pPr>
          </w:p>
        </w:tc>
        <w:tc>
          <w:tcPr>
            <w:tcW w:w="8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2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Third Quarter 2022 Earnings Release, dated October 27, 2022, of Cohu, Inc.</w:t>
            </w:r>
          </w:p>
        </w:tc>
      </w:tr>
      <w:tr>
        <w:trPr>
          <w:trHeight w:val="418"/>
        </w:trPr>
        <w:tc>
          <w:tcPr>
            <w:tcW w:w="226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154305</wp:posOffset>
            </wp:positionV>
            <wp:extent cx="3823335" cy="745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2333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-121920</wp:posOffset>
            </wp:positionV>
            <wp:extent cx="25400"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0" cy="960120"/>
                    </a:xfrm>
                    <a:prstGeom prst="rect">
                      <a:avLst/>
                    </a:prstGeom>
                    <a:noFill/>
                  </pic:spPr>
                </pic:pic>
              </a:graphicData>
            </a:graphic>
          </wp:anchor>
        </w:drawing>
      </w:r>
    </w:p>
    <w:p>
      <w:pPr>
        <w:spacing w:after="0" w:line="3"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12367 CROSTHWAITE</w:t>
      </w:r>
    </w:p>
    <w:p>
      <w:pPr>
        <w:spacing w:after="0" w:line="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CIRCLE</w:t>
      </w:r>
    </w:p>
    <w:p>
      <w:pPr>
        <w:spacing w:after="0" w:line="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9160"/>
        <w:spacing w:after="0"/>
        <w:rPr>
          <w:sz w:val="20"/>
          <w:szCs w:val="20"/>
          <w:color w:val="auto"/>
        </w:rPr>
      </w:pPr>
      <w:r>
        <w:rPr>
          <w:rFonts w:ascii="Arial" w:cs="Arial" w:eastAsia="Arial" w:hAnsi="Arial"/>
          <w:sz w:val="18"/>
          <w:szCs w:val="18"/>
          <w:color w:val="auto"/>
        </w:rPr>
        <w:t>www.cohu.com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Third Quarter 2022 Results</w:t>
      </w:r>
    </w:p>
    <w:p>
      <w:pPr>
        <w:spacing w:after="0" w:line="229"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Third quarter revenue $206.7 million</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Gross margin of 47.4%; non-GAAP gross margin of 47.5%</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Significant recurring business delivers resilient revenue through industry cycles</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Board authorized $70 million increase in ongoing share repurchase program</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POWAY, Calif., October 27, 2022 -- Cohu, Inc. (NASDAQ: COHU), a global supplier of equipment and services optimizing semiconductor manufacturing yield and productivity, today reported fiscal 2022 third quarter net sales of $206.7 million and GAAP income of $24.9 million or $0.51 per share. Net sales for the first nine months of 2022 were $621.7 million and GAAP income was $75.2 million or $1.53 per share.</w:t>
      </w:r>
    </w:p>
    <w:p>
      <w:pPr>
        <w:spacing w:after="0" w:line="184"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Cohu also reported non-GAAP results, with third quarter 2022 income of $36.1 million or $0.74 per share and income of $108.4 million or $2.21 per share for the first nine months of 2022.</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34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8"/>
                <w:szCs w:val="18"/>
                <w:b w:val="1"/>
                <w:bCs w:val="1"/>
                <w:color w:val="auto"/>
              </w:rPr>
              <w:t>GAAP Results</w:t>
            </w:r>
          </w:p>
        </w:tc>
        <w:tc>
          <w:tcPr>
            <w:tcW w:w="5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vMerge w:val="restart"/>
          </w:tcPr>
          <w:p>
            <w:pPr>
              <w:jc w:val="center"/>
              <w:ind w:right="460"/>
              <w:spacing w:after="0"/>
              <w:rPr>
                <w:sz w:val="20"/>
                <w:szCs w:val="20"/>
                <w:color w:val="auto"/>
              </w:rPr>
            </w:pPr>
            <w:r>
              <w:rPr>
                <w:rFonts w:ascii="Arial" w:cs="Arial" w:eastAsia="Arial" w:hAnsi="Arial"/>
                <w:sz w:val="18"/>
                <w:szCs w:val="18"/>
                <w:b w:val="1"/>
                <w:bCs w:val="1"/>
                <w:color w:val="auto"/>
                <w:w w:val="96"/>
              </w:rPr>
              <w:t>Q3 FY</w:t>
            </w: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8"/>
                <w:szCs w:val="18"/>
                <w:b w:val="1"/>
                <w:bCs w:val="1"/>
                <w:color w:val="auto"/>
              </w:rPr>
              <w:t>Q2 FY</w:t>
            </w: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8"/>
                <w:szCs w:val="18"/>
                <w:b w:val="1"/>
                <w:bCs w:val="1"/>
                <w:color w:val="auto"/>
              </w:rPr>
              <w:t>Q3 FY</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9 Months</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9 Months</w:t>
            </w:r>
          </w:p>
        </w:tc>
        <w:tc>
          <w:tcPr>
            <w:tcW w:w="0" w:type="dxa"/>
            <w:vAlign w:val="bottom"/>
          </w:tcPr>
          <w:p>
            <w:pPr>
              <w:spacing w:after="0"/>
              <w:rPr>
                <w:sz w:val="1"/>
                <w:szCs w:val="1"/>
                <w:color w:val="auto"/>
              </w:rPr>
            </w:pPr>
          </w:p>
        </w:tc>
      </w:tr>
      <w:tr>
        <w:trPr>
          <w:trHeight w:val="212"/>
        </w:trPr>
        <w:tc>
          <w:tcPr>
            <w:tcW w:w="3340" w:type="dxa"/>
            <w:vAlign w:val="bottom"/>
            <w:tcBorders>
              <w:left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3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Net sales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206.7</w:t>
            </w:r>
          </w:p>
        </w:tc>
        <w:tc>
          <w:tcPr>
            <w:tcW w:w="4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621.7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695.4</w:t>
            </w:r>
          </w:p>
        </w:tc>
        <w:tc>
          <w:tcPr>
            <w:tcW w:w="0" w:type="dxa"/>
            <w:vAlign w:val="bottom"/>
          </w:tcPr>
          <w:p>
            <w:pPr>
              <w:spacing w:after="0"/>
              <w:rPr>
                <w:sz w:val="1"/>
                <w:szCs w:val="1"/>
                <w:color w:val="auto"/>
              </w:rPr>
            </w:pPr>
          </w:p>
        </w:tc>
      </w:tr>
      <w:tr>
        <w:trPr>
          <w:trHeight w:val="216"/>
        </w:trPr>
        <w:tc>
          <w:tcPr>
            <w:tcW w:w="33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3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Net income per share</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0.51</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0.59</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1.53</w:t>
            </w: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340" w:type="dxa"/>
            <w:vAlign w:val="bottom"/>
            <w:tcBorders>
              <w:left w:val="single" w:sz="8" w:color="auto"/>
            </w:tcBorders>
          </w:tcPr>
          <w:p>
            <w:pPr>
              <w:ind w:left="20"/>
              <w:spacing w:after="0" w:line="195" w:lineRule="exact"/>
              <w:rPr>
                <w:sz w:val="20"/>
                <w:szCs w:val="20"/>
                <w:color w:val="auto"/>
              </w:rPr>
            </w:pPr>
            <w:r>
              <w:rPr>
                <w:rFonts w:ascii="Arial" w:cs="Arial" w:eastAsia="Arial" w:hAnsi="Arial"/>
                <w:sz w:val="18"/>
                <w:szCs w:val="18"/>
                <w:b w:val="1"/>
                <w:bCs w:val="1"/>
                <w:color w:val="auto"/>
              </w:rPr>
              <w:t>Non-GAAP Results</w:t>
            </w: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99"/>
              </w:rPr>
              <w:t>Q3 FY</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Q2 FY</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Q3 FY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9 Months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9 Months</w:t>
            </w:r>
          </w:p>
        </w:tc>
        <w:tc>
          <w:tcPr>
            <w:tcW w:w="0" w:type="dxa"/>
            <w:vAlign w:val="bottom"/>
          </w:tcPr>
          <w:p>
            <w:pPr>
              <w:spacing w:after="0"/>
              <w:rPr>
                <w:sz w:val="1"/>
                <w:szCs w:val="1"/>
                <w:color w:val="auto"/>
              </w:rPr>
            </w:pPr>
          </w:p>
        </w:tc>
      </w:tr>
      <w:tr>
        <w:trPr>
          <w:trHeight w:val="212"/>
        </w:trPr>
        <w:tc>
          <w:tcPr>
            <w:tcW w:w="3340" w:type="dxa"/>
            <w:vAlign w:val="bottom"/>
            <w:tcBorders>
              <w:left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34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auto"/>
              </w:rPr>
              <w:t>Net income</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36.1</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39.7</w:t>
            </w: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34.6</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30"/>
        </w:trPr>
        <w:tc>
          <w:tcPr>
            <w:tcW w:w="334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Net income per share</w:t>
            </w: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0.74</w:t>
            </w: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0.81</w:t>
            </w:r>
          </w:p>
        </w:tc>
        <w:tc>
          <w:tcPr>
            <w:tcW w:w="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0.70</w:t>
            </w:r>
          </w:p>
        </w:tc>
        <w:tc>
          <w:tcPr>
            <w:tcW w:w="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Total cash and investments at the end of third quarter 2022 were $369.4 million and Term Loan B principal was $67.8 million. Cohu repurchased 637,700 shares of its common stock in the third quarter for an aggregate amount of $17.7 million. The Company’s Board of Directors approved a $70 million increase in the company’s share repurchase program that was first announced October 28, 2021. Under this program, through third quarter 2022, Cohu has repurchased 1,562,080 shares of its common stock for an aggregate amount of $45.4 million.</w:t>
      </w:r>
    </w:p>
    <w:p>
      <w:pPr>
        <w:spacing w:after="0" w:line="171" w:lineRule="exact"/>
        <w:rPr>
          <w:sz w:val="20"/>
          <w:szCs w:val="20"/>
          <w:color w:val="auto"/>
        </w:rPr>
      </w:pPr>
    </w:p>
    <w:p>
      <w:pPr>
        <w:spacing w:after="0" w:line="219" w:lineRule="exact"/>
        <w:rPr>
          <w:sz w:val="20"/>
          <w:szCs w:val="20"/>
          <w:color w:val="auto"/>
        </w:rPr>
      </w:pPr>
      <w:r>
        <w:rPr>
          <w:rFonts w:ascii="Arial" w:cs="Arial" w:eastAsia="Arial" w:hAnsi="Arial"/>
          <w:sz w:val="17"/>
          <w:szCs w:val="17"/>
          <w:color w:val="auto"/>
        </w:rPr>
        <w:t>“We delivered gross margin expansion and stronger than anticipated profitability in the third quarter driven by Cohu’s recurring business and differentiated products. Recurring was approximately 42% of third-quarter revenue, distributed across test contactors, device application kits, and services,” said Cohu President and CEO Luis M</w:t>
      </w:r>
      <w:r>
        <w:rPr>
          <w:rFonts w:ascii="MS PGothic" w:cs="MS PGothic" w:eastAsia="MS PGothic" w:hAnsi="MS PGothic"/>
          <w:sz w:val="17"/>
          <w:szCs w:val="17"/>
          <w:color w:val="auto"/>
        </w:rPr>
        <w:t>✔</w:t>
      </w:r>
      <w:r>
        <w:rPr>
          <w:rFonts w:ascii="Arial" w:cs="Arial" w:eastAsia="Arial" w:hAnsi="Arial"/>
          <w:sz w:val="17"/>
          <w:szCs w:val="17"/>
          <w:color w:val="auto"/>
        </w:rPr>
        <w:t>ller. “Test contactors and device application kits are mainly a design-driven business that benefits from the introduction of new semiconductor products by our customers. With approximately 23,700 active systems supported worldwide, and over 87% service contract annual renewal rate, Cohu’s recurring business provides resilient revenue and profitability through industry cycles.”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Cohu expects fourth quarter 2022 sales to be between $180 million and $198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will host a live conference call and webcast with slides to discuss third quarter 2022 results at 1:25 p.m. Pacific Time/4:25 p.m. Eastern Time on October 27, 2022. Interested parties may listen live via webcast on Cohu’s investor relations website at </w:t>
      </w:r>
      <w:r>
        <w:rPr>
          <w:rFonts w:ascii="Arial" w:cs="Arial" w:eastAsia="Arial" w:hAnsi="Arial"/>
          <w:sz w:val="18"/>
          <w:szCs w:val="18"/>
          <w:u w:val="single" w:color="auto"/>
          <w:color w:val="auto"/>
        </w:rPr>
        <w:t>https://cohu.gcs-web.com/news-events/event-calendar</w:t>
      </w:r>
      <w:r>
        <w:rPr>
          <w:rFonts w:ascii="Arial" w:cs="Arial" w:eastAsia="Arial" w:hAnsi="Arial"/>
          <w:sz w:val="18"/>
          <w:szCs w:val="18"/>
          <w:color w:val="auto"/>
        </w:rPr>
        <w:t xml:space="preserve">. To participate via telephone and join the call live, please register in advance at </w:t>
      </w:r>
      <w:r>
        <w:rPr>
          <w:rFonts w:ascii="Arial" w:cs="Arial" w:eastAsia="Arial" w:hAnsi="Arial"/>
          <w:sz w:val="18"/>
          <w:szCs w:val="18"/>
          <w:u w:val="single" w:color="auto"/>
          <w:color w:val="auto"/>
        </w:rPr>
        <w:t>https://register.vevent.com/register/BI0dc9febf789b4322a11ce9e759baa975</w:t>
      </w:r>
      <w:r>
        <w:rPr>
          <w:rFonts w:ascii="Arial" w:cs="Arial" w:eastAsia="Arial" w:hAnsi="Arial"/>
          <w:sz w:val="18"/>
          <w:szCs w:val="18"/>
          <w:color w:val="auto"/>
        </w:rPr>
        <w:t xml:space="preserve"> to receive the dial-in number along with a unique PIN number that can be used to access the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Included within this press release and accompanying materials are non-GAAP financial measures, including non-GAAP Gross Margin/Profit, Income and Income (adjusted earnings) per share, Operating Income, Operating Expense, effective tax rate, free cash flow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gain on sale of business, employer payroll taxes related to accelerated vesting share-based awards, depreciation of purchase accounting adjustments to property, plant and equipment, amortization of cloud-based software implementation costs (Adjusted EBITDA </w:t>
      </w:r>
      <w:r>
        <w:rPr>
          <w:rFonts w:ascii="Arial" w:cs="Arial" w:eastAsia="Arial" w:hAnsi="Arial"/>
          <w:sz w:val="16"/>
          <w:szCs w:val="16"/>
          <w:u w:val="single" w:color="auto"/>
          <w:color w:val="auto"/>
        </w:rPr>
        <w:t>only</w:t>
      </w:r>
      <w:r>
        <w:rPr>
          <w:rFonts w:ascii="Arial" w:cs="Arial" w:eastAsia="Arial" w:hAnsi="Arial"/>
          <w:sz w:val="16"/>
          <w:szCs w:val="16"/>
          <w:color w:val="auto"/>
        </w:rPr>
        <w:t xml:space="preserve">) and loss on extinguishment of debt (Adjusted EBITDA </w:t>
      </w:r>
      <w:r>
        <w:rPr>
          <w:rFonts w:ascii="Arial" w:cs="Arial" w:eastAsia="Arial" w:hAnsi="Arial"/>
          <w:sz w:val="16"/>
          <w:szCs w:val="16"/>
          <w:u w:val="single" w:color="auto"/>
          <w:color w:val="auto"/>
        </w:rPr>
        <w:t>only</w:t>
      </w:r>
      <w:r>
        <w:rPr>
          <w:rFonts w:ascii="Arial" w:cs="Arial" w:eastAsia="Arial" w:hAnsi="Arial"/>
          <w:sz w:val="16"/>
          <w:szCs w:val="16"/>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6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Certain statements contained in this release and accompanying materials may be considered forward-looking statements within the meaning of the U.S. Private Securities Litigation Reform Act of 1995, including statements regarding a resilient recurring business with profitability through industry cycles; estimated test cell utilization; mix of recurring vs. systems business; product design wins; new DI-Core customers, growth and forecast; diversifying and growing the tester business; progressing to increase gross margins; insourcing contactor manufacturing; automobile ADAS and EV segment growth; automobile and industrial segment market conditions; KGD Silicon Carbide segment growth; MEMS test product growth; Cohu’s FY2022 or FY2023 outlook; % of incremental revenue expected to fall to operating income; Cohu’s fourth quarter 2022 sales forecast, guidance, sales mix, non-GAAP operating expenses, gross margin, operating income, adjusted EBITDA, effective tax rate, free cash flow, cap ex, cash and/or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and future business conditions could differ materially from those contained in any forward-looking statement as a result of various factors, including, without limitation: political and economic instability and adverse worldwide impacts resulting from the military incursion into Ukraine by Russia, including potential energy shortages in Europe; the ongoing effects of the COVID-19 pandemic and its impact on our operations and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any failure to perform or unexpected downtime experienced by our sole contract manufacturer for certain semiconductor automated test equipment; any failure of critical suppliers to deliver sufficient quantities of parts in a timely and cost-effective manner, including ongoing shortages of semiconductor devices used in our system products; continued high inflation and increasing interest rates; we may not be able to increase prices to fully offset inflationary pressures on costs, such as raw and packaging materials, components and subassemblies, labor and distribution costs; the semiconductor industry we serve is seasonal, cyclical, volatile and unpredictable;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inherent uncertainty of backlog wherein customers may delay shipments or cancel orders;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including new U.S. export rules announced October 7, 2022 relating to certain advanced computing and semiconductor manufacturing items and supercomputer and semiconductor end use, may materially harm or limit Cohu’s business and ability to sell its products; the remaining indebtedness in connection with our financing of the Xcerra acquisition may have an adverse impact on Cohu’s liquidity, access to capital and business flexibility;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impacts in the event of a cybersecurity breach.</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8"/>
                <w:szCs w:val="18"/>
                <w:color w:val="auto"/>
                <w:w w:val="94"/>
              </w:rPr>
              <w:t xml:space="preserve">Three Months Ended </w:t>
            </w:r>
            <w:r>
              <w:rPr>
                <w:rFonts w:ascii="Arial" w:cs="Arial" w:eastAsia="Arial" w:hAnsi="Arial"/>
                <w:sz w:val="29"/>
                <w:szCs w:val="29"/>
                <w:color w:val="auto"/>
                <w:w w:val="94"/>
                <w:vertAlign w:val="superscript"/>
              </w:rPr>
              <w:t>(1)</w:t>
            </w:r>
          </w:p>
        </w:tc>
        <w:tc>
          <w:tcPr>
            <w:tcW w:w="240" w:type="dxa"/>
            <w:vAlign w:val="bottom"/>
          </w:tcPr>
          <w:p>
            <w:pPr>
              <w:spacing w:after="0"/>
              <w:rPr>
                <w:sz w:val="24"/>
                <w:szCs w:val="24"/>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8"/>
                <w:szCs w:val="18"/>
                <w:color w:val="auto"/>
                <w:w w:val="97"/>
              </w:rPr>
              <w:t xml:space="preserve">Nine Months Ended </w:t>
            </w:r>
            <w:r>
              <w:rPr>
                <w:rFonts w:ascii="Arial" w:cs="Arial" w:eastAsia="Arial" w:hAnsi="Arial"/>
                <w:sz w:val="29"/>
                <w:szCs w:val="29"/>
                <w:color w:val="auto"/>
                <w:w w:val="97"/>
                <w:vertAlign w:val="superscript"/>
              </w:rPr>
              <w:t>(1)</w:t>
            </w:r>
          </w:p>
        </w:tc>
      </w:tr>
      <w:tr>
        <w:trPr>
          <w:trHeight w:val="229"/>
        </w:trPr>
        <w:tc>
          <w:tcPr>
            <w:tcW w:w="590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24,</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September 25,</w:t>
            </w: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24,</w:t>
            </w:r>
          </w:p>
        </w:tc>
        <w:tc>
          <w:tcPr>
            <w:tcW w:w="80" w:type="dxa"/>
            <w:vAlign w:val="bottom"/>
          </w:tcPr>
          <w:p>
            <w:pPr>
              <w:spacing w:after="0"/>
              <w:rPr>
                <w:sz w:val="19"/>
                <w:szCs w:val="19"/>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w w:val="91"/>
              </w:rPr>
              <w:t>September 25,</w:t>
            </w:r>
          </w:p>
        </w:tc>
      </w:tr>
      <w:tr>
        <w:trPr>
          <w:trHeight w:val="234"/>
        </w:trPr>
        <w:tc>
          <w:tcPr>
            <w:tcW w:w="5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206,687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225,063</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621,670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695,354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108,621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129,358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331,495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392,787</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23,372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22,792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69,638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69,367</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96,541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95,835</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8,206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8,879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25,082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27,168</w:t>
            </w:r>
          </w:p>
        </w:tc>
      </w:tr>
      <w:tr>
        <w:trPr>
          <w:trHeight w:val="216"/>
        </w:trPr>
        <w:tc>
          <w:tcPr>
            <w:tcW w:w="59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Gain on sale of PCB Test business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(75,754)</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1,988</w:t>
            </w:r>
          </w:p>
        </w:tc>
      </w:tr>
      <w:tr>
        <w:trPr>
          <w:trHeight w:val="20"/>
        </w:trPr>
        <w:tc>
          <w:tcPr>
            <w:tcW w:w="5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523,356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511,391</w:t>
            </w:r>
          </w:p>
        </w:tc>
      </w:tr>
      <w:tr>
        <w:trPr>
          <w:trHeight w:val="20"/>
        </w:trPr>
        <w:tc>
          <w:tcPr>
            <w:tcW w:w="5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33,707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98,314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183,963</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(1,028)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(2,928)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(5,372)</w:t>
            </w: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Foreign transaction gain (loss)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(315)</w:t>
            </w:r>
          </w:p>
        </w:tc>
      </w:tr>
      <w:tr>
        <w:trPr>
          <w:trHeight w:val="216"/>
        </w:trPr>
        <w:tc>
          <w:tcPr>
            <w:tcW w:w="59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Loss on extinguishment of debt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(3,411)</w:t>
            </w:r>
          </w:p>
        </w:tc>
      </w:tr>
      <w:tr>
        <w:trPr>
          <w:trHeight w:val="20"/>
        </w:trPr>
        <w:tc>
          <w:tcPr>
            <w:tcW w:w="5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Income from operations before taxes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35,075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31,125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100,604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175,062</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25,385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28,626</w:t>
            </w:r>
          </w:p>
        </w:tc>
      </w:tr>
      <w:tr>
        <w:trPr>
          <w:trHeight w:val="20"/>
        </w:trPr>
        <w:tc>
          <w:tcPr>
            <w:tcW w:w="59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24,882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23,733</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75,219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146,436</w:t>
            </w: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Income per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0.51</w:t>
            </w:r>
          </w:p>
        </w:tc>
        <w:tc>
          <w:tcPr>
            <w:tcW w:w="2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0.48</w:t>
            </w:r>
          </w:p>
        </w:tc>
        <w:tc>
          <w:tcPr>
            <w:tcW w:w="220" w:type="dxa"/>
            <w:vAlign w:val="bottom"/>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1.53</w:t>
            </w:r>
          </w:p>
        </w:tc>
        <w:tc>
          <w:tcPr>
            <w:tcW w:w="3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3.04</w:t>
            </w: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Weighted average shares used in computing income per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47,984</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48,412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46,992</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00" w:type="dxa"/>
            <w:vAlign w:val="bottom"/>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48,526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49,457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49,008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48,137</w:t>
            </w: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20" w:hanging="331"/>
        <w:spacing w:after="0"/>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three- and nine-month periods ended September 24, 2022 and September 25, 2021 were both comprised of 13 weeks and 39 weeks, respectively.</w:t>
      </w:r>
    </w:p>
    <w:p>
      <w:pPr>
        <w:spacing w:after="0" w:line="46" w:lineRule="exact"/>
        <w:rPr>
          <w:rFonts w:ascii="Arial" w:cs="Arial" w:eastAsia="Arial" w:hAnsi="Arial"/>
          <w:sz w:val="16"/>
          <w:szCs w:val="16"/>
          <w:color w:val="auto"/>
        </w:rPr>
      </w:pPr>
    </w:p>
    <w:p>
      <w:pPr>
        <w:ind w:left="420" w:right="20" w:hanging="331"/>
        <w:spacing w:after="0" w:line="281"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24, 2021 the Company completed the divestment of its PCB Test business. The divestment of this business did not qualify for presentation as discontinued operations and the results of the PCB Test business are included in continuing operations for all periods presented.</w:t>
      </w:r>
    </w:p>
    <w:p>
      <w:pPr>
        <w:spacing w:after="0" w:line="1" w:lineRule="exact"/>
        <w:rPr>
          <w:rFonts w:ascii="Arial" w:cs="Arial" w:eastAsia="Arial" w:hAnsi="Arial"/>
          <w:sz w:val="16"/>
          <w:szCs w:val="16"/>
          <w:color w:val="auto"/>
        </w:rPr>
      </w:pPr>
    </w:p>
    <w:p>
      <w:pPr>
        <w:ind w:left="420" w:right="60" w:hanging="331"/>
        <w:spacing w:after="0" w:line="260"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Repayments of outstanding Term Loan B resulted in a loss from the extinguishment of debt. Loss on extinguishment of debt is the net result after any cash gain is offset by the required reduction in our capitalized debt issuance costs and original issuance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-704215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24,</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December 25,</w:t>
            </w:r>
          </w:p>
        </w:tc>
      </w:t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369,381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379,905</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188,240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192,873</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165,244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161,053</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26,466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16,962</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749,331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750,793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61,789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63,957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202,714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219,791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142,777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177,320</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22,339</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18,965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22,123</w:t>
            </w:r>
          </w:p>
        </w:tc>
        <w:tc>
          <w:tcPr>
            <w:tcW w:w="120" w:type="dxa"/>
            <w:vAlign w:val="bottom"/>
          </w:tcPr>
          <w:p>
            <w:pPr>
              <w:spacing w:after="0"/>
              <w:rPr>
                <w:sz w:val="18"/>
                <w:szCs w:val="18"/>
                <w:color w:val="auto"/>
              </w:rPr>
            </w:pPr>
          </w:p>
        </w:tc>
      </w:tr>
      <w:tr>
        <w:trPr>
          <w:trHeight w:val="24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1,197,915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1,259,044</w:t>
            </w:r>
          </w:p>
        </w:tc>
      </w:tr>
      <w:tr>
        <w:trPr>
          <w:trHeight w:val="197"/>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3,059</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4,285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11,338</w:t>
            </w: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13,208</w:t>
            </w: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154,925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164,854</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170,757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192,459</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72,977</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103,393</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19,181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22,040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53,189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58,650</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881,811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882,502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1,197,915</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1,259,044</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55"/>
        </w:trPr>
        <w:tc>
          <w:tcPr>
            <w:tcW w:w="7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w w:val="99"/>
              </w:rPr>
              <w:t>Three Months Ended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8"/>
                <w:szCs w:val="18"/>
                <w:color w:val="auto"/>
                <w:w w:val="86"/>
              </w:rPr>
              <w:t>June 25,</w:t>
            </w:r>
          </w:p>
        </w:tc>
        <w:tc>
          <w:tcPr>
            <w:tcW w:w="16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September 25,</w:t>
            </w:r>
          </w:p>
        </w:tc>
      </w:tr>
      <w:tr>
        <w:trPr>
          <w:trHeight w:val="230"/>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33,707</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33,716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Cost of sales (COS)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2,824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2,935</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2,586</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3,933</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3,714</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 (c)</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8,206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8,341</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8,879</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(836)</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Restructuring charges (d)</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 of PCB Test business (e)</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PP&amp;E step-up included in SG&amp;A (f)</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non-GAAP basis (g)</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45,612</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45,559</w:t>
            </w:r>
          </w:p>
        </w:tc>
      </w:tr>
      <w:tr>
        <w:trPr>
          <w:trHeight w:val="196"/>
        </w:trPr>
        <w:tc>
          <w:tcPr>
            <w:tcW w:w="6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24,882</w:t>
            </w: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23,733</w:t>
            </w:r>
          </w:p>
        </w:tc>
      </w:tr>
      <w:tr>
        <w:trPr>
          <w:trHeight w:val="216"/>
        </w:trPr>
        <w:tc>
          <w:tcPr>
            <w:tcW w:w="6220" w:type="dxa"/>
            <w:vAlign w:val="bottom"/>
          </w:tcPr>
          <w:p>
            <w:pPr>
              <w:ind w:left="180"/>
              <w:spacing w:after="0"/>
              <w:rPr>
                <w:sz w:val="20"/>
                <w:szCs w:val="20"/>
                <w:color w:val="auto"/>
              </w:rPr>
            </w:pPr>
            <w:r>
              <w:rPr>
                <w:rFonts w:ascii="Arial" w:cs="Arial" w:eastAsia="Arial" w:hAnsi="Arial"/>
                <w:sz w:val="18"/>
                <w:szCs w:val="18"/>
                <w:color w:val="auto"/>
              </w:rPr>
              <w:t>Non-GAAP adjustments (as scheduled above)</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11,905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12,095</w:t>
            </w:r>
          </w:p>
        </w:tc>
        <w:tc>
          <w:tcPr>
            <w:tcW w:w="1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11,843</w:t>
            </w: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effect of non-GAAP adjustments (h)</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(964)</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color w:val="auto"/>
              </w:rPr>
              <w:t>Income from operations - non-GAAP basis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36,102</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39,729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34,612</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GAAP income from operations per share - 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r>
      <w:tr>
        <w:trPr>
          <w:trHeight w:val="216"/>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Non-GAAP income from operations per share - diluted (i)</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0.74</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The impact from the sale of the PCB Test business has been excluded as the amount is infrequent and is unrelated to the operational performance of Cohu.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82" w:lineRule="exact"/>
        <w:rPr>
          <w:sz w:val="20"/>
          <w:szCs w:val="20"/>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16.3%, 17.0% and 15.0% of net sales, respectively.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impact of the sale of the PCB Test business.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eliminate the accelerated depreciation from the property, plant &amp; equipment step-up related to the acquisition of Xcerra.</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22.1%, 22.6% and 20.2% of net sales, respectively.</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6"/>
          </w:tcPr>
          <w:p>
            <w:pPr>
              <w:jc w:val="right"/>
              <w:ind w:right="1040"/>
              <w:spacing w:after="0"/>
              <w:rPr>
                <w:sz w:val="20"/>
                <w:szCs w:val="20"/>
                <w:color w:val="auto"/>
              </w:rPr>
            </w:pPr>
            <w:r>
              <w:rPr>
                <w:rFonts w:ascii="Arial" w:cs="Arial" w:eastAsia="Arial" w:hAnsi="Arial"/>
                <w:sz w:val="18"/>
                <w:szCs w:val="18"/>
                <w:color w:val="auto"/>
              </w:rPr>
              <w:t>Nine Months Ended</w:t>
            </w:r>
          </w:p>
        </w:tc>
      </w:t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September 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September 25,</w:t>
            </w:r>
          </w:p>
        </w:tc>
      </w:tr>
      <w:tr>
        <w:trPr>
          <w:trHeight w:val="230"/>
        </w:trPr>
        <w:tc>
          <w:tcPr>
            <w:tcW w:w="7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 - GAAP basis (a)</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98,314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183,963</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Non-GAAP adjustments: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500"/>
              <w:spacing w:after="0"/>
              <w:rPr>
                <w:sz w:val="20"/>
                <w:szCs w:val="20"/>
                <w:color w:val="auto"/>
              </w:rPr>
            </w:pPr>
            <w:r>
              <w:rPr>
                <w:rFonts w:ascii="Arial" w:cs="Arial" w:eastAsia="Arial" w:hAnsi="Arial"/>
                <w:sz w:val="18"/>
                <w:szCs w:val="18"/>
                <w:color w:val="auto"/>
              </w:rPr>
              <w:t>Cost of sales (COS)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r>
      <w:tr>
        <w:trPr>
          <w:trHeight w:val="216"/>
        </w:trPr>
        <w:tc>
          <w:tcPr>
            <w:tcW w:w="78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2,433</w:t>
            </w:r>
          </w:p>
        </w:tc>
      </w:tr>
      <w:tr>
        <w:trPr>
          <w:trHeight w:val="216"/>
        </w:trPr>
        <w:tc>
          <w:tcPr>
            <w:tcW w:w="7840" w:type="dxa"/>
            <w:vAlign w:val="bottom"/>
          </w:tcPr>
          <w:p>
            <w:pPr>
              <w:ind w:left="500"/>
              <w:spacing w:after="0"/>
              <w:rPr>
                <w:sz w:val="20"/>
                <w:szCs w:val="20"/>
                <w:color w:val="auto"/>
              </w:rPr>
            </w:pPr>
            <w:r>
              <w:rPr>
                <w:rFonts w:ascii="Arial" w:cs="Arial" w:eastAsia="Arial" w:hAnsi="Arial"/>
                <w:sz w:val="18"/>
                <w:szCs w:val="18"/>
                <w:color w:val="auto"/>
              </w:rPr>
              <w:t>Selling, general and administrative (SG&amp;A)</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8,284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7,618</w:t>
            </w: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10,743</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(c)</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25,082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27,168</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Restructuring charges (d)</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1,988</w:t>
            </w:r>
          </w:p>
        </w:tc>
      </w:tr>
      <w:tr>
        <w:trPr>
          <w:trHeight w:val="216"/>
        </w:trPr>
        <w:tc>
          <w:tcPr>
            <w:tcW w:w="7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Gain on sale of PCB Test business (e)</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(75,754)</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PP&amp;E step-up included in SG&amp;A (f)</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Payroll taxes related to accelerated vesting of share-based awards included in SG&amp;A (g)</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r>
      <w:tr>
        <w:trPr>
          <w:trHeight w:val="216"/>
        </w:trPr>
        <w:tc>
          <w:tcPr>
            <w:tcW w:w="7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7840" w:type="dxa"/>
            <w:vAlign w:val="bottom"/>
          </w:tcPr>
          <w:p>
            <w:pPr>
              <w:spacing w:after="0"/>
              <w:rPr>
                <w:sz w:val="20"/>
                <w:szCs w:val="20"/>
                <w:color w:val="auto"/>
              </w:rPr>
            </w:pPr>
            <w:r>
              <w:rPr>
                <w:rFonts w:ascii="Arial" w:cs="Arial" w:eastAsia="Arial" w:hAnsi="Arial"/>
                <w:sz w:val="18"/>
                <w:szCs w:val="18"/>
                <w:color w:val="auto"/>
              </w:rPr>
              <w:t>Income from operations - non-GAAP basis (h)</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134,804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148,144</w:t>
            </w:r>
          </w:p>
        </w:tc>
      </w:tr>
      <w:tr>
        <w:trPr>
          <w:trHeight w:val="20"/>
        </w:trPr>
        <w:tc>
          <w:tcPr>
            <w:tcW w:w="7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Income from continuing operations - GAAP basis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75,219</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146,436</w:t>
            </w:r>
          </w:p>
        </w:tc>
      </w:tr>
      <w:tr>
        <w:trPr>
          <w:trHeight w:val="216"/>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(as scheduled above)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(35,819)</w:t>
            </w:r>
          </w:p>
        </w:tc>
      </w:tr>
      <w:tr>
        <w:trPr>
          <w:trHeight w:val="216"/>
        </w:trPr>
        <w:tc>
          <w:tcPr>
            <w:tcW w:w="7840" w:type="dxa"/>
            <w:vAlign w:val="bottom"/>
          </w:tcPr>
          <w:p>
            <w:pPr>
              <w:ind w:left="340"/>
              <w:spacing w:after="0"/>
              <w:rPr>
                <w:sz w:val="20"/>
                <w:szCs w:val="20"/>
                <w:color w:val="auto"/>
              </w:rPr>
            </w:pPr>
            <w:r>
              <w:rPr>
                <w:rFonts w:ascii="Arial" w:cs="Arial" w:eastAsia="Arial" w:hAnsi="Arial"/>
                <w:sz w:val="18"/>
                <w:szCs w:val="18"/>
                <w:color w:val="auto"/>
              </w:rPr>
              <w:t>Tax effect of non-GAAP adjustments (i)</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(3,302)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8,844</w:t>
            </w:r>
          </w:p>
        </w:tc>
      </w:tr>
      <w:tr>
        <w:trPr>
          <w:trHeight w:val="20"/>
        </w:trPr>
        <w:tc>
          <w:tcPr>
            <w:tcW w:w="7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 non-GAAP basis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108,407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119,461</w:t>
            </w:r>
          </w:p>
        </w:tc>
      </w:tr>
      <w:tr>
        <w:trPr>
          <w:trHeight w:val="197"/>
        </w:trPr>
        <w:tc>
          <w:tcPr>
            <w:tcW w:w="78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GAAP income per share from continuing operations - diluted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r>
      <w:tr>
        <w:trPr>
          <w:trHeight w:val="216"/>
        </w:trPr>
        <w:tc>
          <w:tcPr>
            <w:tcW w:w="7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Non-GAAP income per share - diluted (j)</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The impact from the sale of the PCB Test business has been excluded as the amount is infrequent and is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74" w:lineRule="exact"/>
        <w:rPr>
          <w:sz w:val="20"/>
          <w:szCs w:val="20"/>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15.8% and 26.5% of net sales, respectively.</w:t>
      </w:r>
    </w:p>
    <w:p>
      <w:pPr>
        <w:spacing w:after="0" w:line="23"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compensation expense for employee stock options, stock units and our employee stock purchase plan.</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amortization of acquired intangible assets.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restructuring costs incurred related to the integration of Xcerra and the Company’s German operations.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gains generated from the sale of the PCB Test business.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property, plant &amp; equipment step-up depreciation accelerated related to the acquisition of Xcerra.</w:t>
      </w:r>
    </w:p>
    <w:p>
      <w:pPr>
        <w:spacing w:after="0" w:line="9" w:lineRule="exact"/>
        <w:rPr>
          <w:rFonts w:ascii="Arial" w:cs="Arial" w:eastAsia="Arial" w:hAnsi="Arial"/>
          <w:sz w:val="18"/>
          <w:szCs w:val="18"/>
          <w:color w:val="auto"/>
        </w:rPr>
      </w:pPr>
    </w:p>
    <w:p>
      <w:pPr>
        <w:ind w:left="420" w:right="640" w:hanging="331"/>
        <w:spacing w:after="0" w:line="250"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eliminate the impact of employer payroll taxes associated with the acceleration of Pascal Rondé share-based awards under the terms of his separation agreement.</w:t>
      </w: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21.7% and 21.3% of net sales, respectively.</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adjust the provision for income taxes related to the adjustments described above based on applicable tax rates.</w:t>
      </w:r>
    </w:p>
    <w:p>
      <w:pPr>
        <w:spacing w:after="0" w:line="9" w:lineRule="exact"/>
        <w:rPr>
          <w:rFonts w:ascii="Arial" w:cs="Arial" w:eastAsia="Arial" w:hAnsi="Arial"/>
          <w:sz w:val="18"/>
          <w:szCs w:val="18"/>
          <w:color w:val="auto"/>
        </w:rPr>
      </w:pPr>
    </w:p>
    <w:p>
      <w:pPr>
        <w:ind w:left="420" w:hanging="331"/>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4"/>
          </w:tcPr>
          <w:p>
            <w:pPr>
              <w:jc w:val="center"/>
              <w:ind w:right="6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September 24,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September 25,</w:t>
            </w:r>
          </w:p>
        </w:tc>
      </w:tr>
      <w:tr>
        <w:trPr>
          <w:trHeight w:val="230"/>
        </w:trPr>
        <w:tc>
          <w:tcPr>
            <w:tcW w:w="6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2021</w:t>
            </w:r>
          </w:p>
        </w:tc>
        <w:tc>
          <w:tcPr>
            <w:tcW w:w="180" w:type="dxa"/>
            <w:vAlign w:val="bottom"/>
          </w:tcPr>
          <w:p>
            <w:pPr>
              <w:spacing w:after="0"/>
              <w:rPr>
                <w:sz w:val="20"/>
                <w:szCs w:val="20"/>
                <w:color w:val="auto"/>
              </w:rPr>
            </w:pPr>
          </w:p>
        </w:tc>
      </w:tr>
      <w:tr>
        <w:trPr>
          <w:trHeight w:val="209"/>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98,066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100,953</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95,705</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w:t>
            </w:r>
          </w:p>
        </w:tc>
      </w:tr>
      <w:tr>
        <w:trPr>
          <w:trHeight w:val="20"/>
        </w:trPr>
        <w:tc>
          <w:tcPr>
            <w:tcW w:w="6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670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98,169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100,939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95,108</w:t>
            </w: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9"/>
        </w:trPr>
        <w:tc>
          <w:tcPr>
            <w:tcW w:w="670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r>
      <w:tr>
        <w:trPr>
          <w:trHeight w:val="216"/>
        </w:trPr>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24,882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23,733</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8,898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7,392</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966</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8,879</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3,226</w:t>
            </w:r>
          </w:p>
        </w:tc>
      </w:tr>
      <w:tr>
        <w:trPr>
          <w:trHeight w:val="216"/>
        </w:trPr>
        <w:tc>
          <w:tcPr>
            <w:tcW w:w="670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409</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1,650</w:t>
            </w: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3,699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2,819</w:t>
            </w:r>
          </w:p>
        </w:tc>
      </w:tr>
      <w:tr>
        <w:trPr>
          <w:trHeight w:val="20"/>
        </w:trPr>
        <w:tc>
          <w:tcPr>
            <w:tcW w:w="6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09"/>
        </w:trPr>
        <w:tc>
          <w:tcPr>
            <w:tcW w:w="670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50,674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54,169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49,021</w:t>
            </w:r>
          </w:p>
        </w:tc>
      </w:tr>
      <w:tr>
        <w:trPr>
          <w:trHeight w:val="20"/>
        </w:trPr>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209"/>
        </w:trPr>
        <w:tc>
          <w:tcPr>
            <w:tcW w:w="670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 GAAP Basis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r>
      <w:tr>
        <w:trPr>
          <w:trHeight w:val="216"/>
        </w:trPr>
        <w:tc>
          <w:tcPr>
            <w:tcW w:w="6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64,359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62,079</w:t>
            </w:r>
          </w:p>
        </w:tc>
      </w:tr>
      <w:tr>
        <w:trPr>
          <w:trHeight w:val="216"/>
        </w:trPr>
        <w:tc>
          <w:tcPr>
            <w:tcW w:w="670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(11,802)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(12,530)</w:t>
            </w:r>
          </w:p>
        </w:tc>
      </w:tr>
      <w:tr>
        <w:trPr>
          <w:trHeight w:val="20"/>
        </w:trPr>
        <w:tc>
          <w:tcPr>
            <w:tcW w:w="6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6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 - Non-GAAP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52,557</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51,930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49,549</w:t>
            </w:r>
          </w:p>
        </w:tc>
      </w:tr>
      <w:tr>
        <w:trPr>
          <w:trHeight w:val="35"/>
        </w:trPr>
        <w:tc>
          <w:tcPr>
            <w:tcW w:w="670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c>
          <w:tcPr>
            <w:tcW w:w="160" w:type="dxa"/>
            <w:vAlign w:val="bottom"/>
            <w:tcBorders>
              <w:top w:val="single" w:sz="8" w:color="CCEEFF"/>
              <w:bottom w:val="single" w:sz="8" w:color="auto"/>
            </w:tcBorders>
          </w:tcPr>
          <w:p>
            <w:pPr>
              <w:spacing w:after="0"/>
              <w:rPr>
                <w:sz w:val="3"/>
                <w:szCs w:val="3"/>
                <w:color w:val="auto"/>
              </w:rPr>
            </w:pPr>
          </w:p>
        </w:tc>
        <w:tc>
          <w:tcPr>
            <w:tcW w:w="14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CCEEFF"/>
              <w:bottom w:val="single" w:sz="8" w:color="auto"/>
            </w:tcBorders>
          </w:tcPr>
          <w:p>
            <w:pPr>
              <w:spacing w:after="0"/>
              <w:rPr>
                <w:sz w:val="3"/>
                <w:szCs w:val="3"/>
                <w:color w:val="auto"/>
              </w:rPr>
            </w:pPr>
          </w:p>
        </w:tc>
      </w:tr>
    </w:tbl>
    <w:p>
      <w:pPr>
        <w:spacing w:after="0" w:line="40" w:lineRule="exact"/>
        <w:rPr>
          <w:sz w:val="20"/>
          <w:szCs w:val="20"/>
          <w:color w:val="auto"/>
        </w:rPr>
      </w:pPr>
    </w:p>
    <w:p>
      <w:pPr>
        <w:ind w:right="780"/>
        <w:spacing w:after="0" w:line="258" w:lineRule="auto"/>
        <w:rPr>
          <w:sz w:val="20"/>
          <w:szCs w:val="20"/>
          <w:color w:val="auto"/>
        </w:rPr>
      </w:pPr>
      <w:r>
        <w:rPr>
          <w:rFonts w:ascii="Arial" w:cs="Arial" w:eastAsia="Arial" w:hAnsi="Arial"/>
          <w:sz w:val="18"/>
          <w:szCs w:val="18"/>
          <w:color w:val="auto"/>
        </w:rPr>
        <w:t>(1)Excludes amortization of $6,433, $6,544 and $6,988 for the three months ending September 24, 2022, June 25, 2022 and September 25, 2021,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(2)Represents amortization of capitalized implementation costs related to cloud-based software arrangements that are included within SG&amp;A.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6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6"/>
          </w:tcPr>
          <w:p>
            <w:pPr>
              <w:ind w:left="880"/>
              <w:spacing w:after="0"/>
              <w:rPr>
                <w:sz w:val="20"/>
                <w:szCs w:val="20"/>
                <w:color w:val="auto"/>
              </w:rPr>
            </w:pPr>
            <w:r>
              <w:rPr>
                <w:rFonts w:ascii="Arial" w:cs="Arial" w:eastAsia="Arial" w:hAnsi="Arial"/>
                <w:sz w:val="18"/>
                <w:szCs w:val="18"/>
                <w:color w:val="auto"/>
              </w:rPr>
              <w:t>Nine Months Ended</w:t>
            </w:r>
          </w:p>
        </w:tc>
      </w:tr>
      <w:tr>
        <w:trPr>
          <w:trHeight w:val="216"/>
        </w:trPr>
        <w:tc>
          <w:tcPr>
            <w:tcW w:w="6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color w:val="auto"/>
              </w:rPr>
              <w:t>September 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September 25,</w:t>
            </w:r>
          </w:p>
        </w:tc>
      </w:tr>
      <w:tr>
        <w:trPr>
          <w:trHeight w:val="230"/>
        </w:trPr>
        <w:tc>
          <w:tcPr>
            <w:tcW w:w="6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20"/>
                <w:szCs w:val="20"/>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Reconciliation</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Gross profit - GAAP basis (excluding amortization) </w:t>
            </w:r>
            <w:r>
              <w:rPr>
                <w:rFonts w:ascii="Arial" w:cs="Arial" w:eastAsia="Arial" w:hAnsi="Arial"/>
                <w:sz w:val="25"/>
                <w:szCs w:val="25"/>
                <w:color w:val="auto"/>
                <w:vertAlign w:val="superscript"/>
              </w:rPr>
              <w:t>(1)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290,175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302,567</w:t>
            </w:r>
          </w:p>
        </w:tc>
        <w:tc>
          <w:tcPr>
            <w:tcW w:w="20" w:type="dxa"/>
            <w:vAlign w:val="bottom"/>
          </w:tcPr>
          <w:p>
            <w:pPr>
              <w:spacing w:after="0"/>
              <w:rPr>
                <w:sz w:val="18"/>
                <w:szCs w:val="18"/>
                <w:color w:val="auto"/>
              </w:rPr>
            </w:pPr>
          </w:p>
        </w:tc>
      </w:tr>
      <w:tr>
        <w:trPr>
          <w:trHeight w:val="216"/>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Non-GAAP adjustments to cost of sales (as scheduled above)</w:t>
            </w: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8"/>
                <w:szCs w:val="18"/>
                <w:color w:val="auto"/>
              </w:rPr>
              <w:t>Gross profit - Non-GAAP basis</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290,234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302,560</w:t>
            </w:r>
          </w:p>
        </w:tc>
        <w:tc>
          <w:tcPr>
            <w:tcW w:w="2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4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GAAP gross profit</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Arial" w:cs="Arial" w:eastAsia="Arial" w:hAnsi="Arial"/>
                <w:sz w:val="18"/>
                <w:szCs w:val="18"/>
                <w:color w:val="auto"/>
              </w:rPr>
              <w:t>Non-GAAP gross profit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Adjusted EBITDA Reconciliation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 GAAP Basis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75,219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146,436</w:t>
            </w:r>
          </w:p>
        </w:tc>
        <w:tc>
          <w:tcPr>
            <w:tcW w:w="20" w:type="dxa"/>
            <w:vAlign w:val="bottom"/>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25,385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28,626</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2,928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20" w:type="dxa"/>
            <w:vAlign w:val="bottom"/>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(1,551)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27,168</w:t>
            </w:r>
          </w:p>
        </w:tc>
        <w:tc>
          <w:tcPr>
            <w:tcW w:w="20" w:type="dxa"/>
            <w:vAlign w:val="bottom"/>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9,563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9,934</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340"/>
              <w:spacing w:after="0" w:line="216" w:lineRule="exact"/>
              <w:rPr>
                <w:sz w:val="20"/>
                <w:szCs w:val="20"/>
                <w:color w:val="auto"/>
              </w:rPr>
            </w:pPr>
            <w:r>
              <w:rPr>
                <w:rFonts w:ascii="Arial" w:cs="Arial" w:eastAsia="Arial" w:hAnsi="Arial"/>
                <w:sz w:val="16"/>
                <w:szCs w:val="16"/>
                <w:color w:val="auto"/>
              </w:rPr>
              <w:t xml:space="preserve">Amortization of cloud-based software implementation costs </w:t>
            </w:r>
            <w:r>
              <w:rPr>
                <w:rFonts w:ascii="Arial" w:cs="Arial" w:eastAsia="Arial" w:hAnsi="Arial"/>
                <w:sz w:val="25"/>
                <w:szCs w:val="25"/>
                <w:color w:val="auto"/>
                <w:vertAlign w:val="superscript"/>
              </w:rPr>
              <w:t>(2)</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3,411</w:t>
            </w:r>
          </w:p>
        </w:tc>
        <w:tc>
          <w:tcPr>
            <w:tcW w:w="20" w:type="dxa"/>
            <w:vAlign w:val="bottom"/>
          </w:tcPr>
          <w:p>
            <w:pPr>
              <w:spacing w:after="0"/>
              <w:rPr>
                <w:sz w:val="18"/>
                <w:szCs w:val="18"/>
                <w:color w:val="auto"/>
              </w:rPr>
            </w:pPr>
          </w:p>
        </w:tc>
      </w:tr>
      <w:tr>
        <w:trPr>
          <w:trHeight w:val="216"/>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non-GAAP adjustments (as scheduled above)</w:t>
            </w:r>
          </w:p>
        </w:tc>
        <w:tc>
          <w:tcPr>
            <w:tcW w:w="1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(63,422)</w:t>
            </w:r>
          </w:p>
        </w:tc>
        <w:tc>
          <w:tcPr>
            <w:tcW w:w="20" w:type="dxa"/>
            <w:vAlign w:val="bottom"/>
          </w:tcPr>
          <w:p>
            <w:pPr>
              <w:spacing w:after="0"/>
              <w:rPr>
                <w:sz w:val="18"/>
                <w:szCs w:val="18"/>
                <w:color w:val="auto"/>
              </w:rPr>
            </w:pPr>
          </w:p>
        </w:tc>
      </w:tr>
      <w:tr>
        <w:trPr>
          <w:trHeight w:val="210"/>
        </w:trPr>
        <w:tc>
          <w:tcPr>
            <w:tcW w:w="6440" w:type="dxa"/>
            <w:vAlign w:val="bottom"/>
          </w:tcPr>
          <w:p>
            <w:pPr>
              <w:ind w:left="180"/>
              <w:spacing w:after="0"/>
              <w:rPr>
                <w:sz w:val="20"/>
                <w:szCs w:val="20"/>
                <w:color w:val="auto"/>
              </w:rPr>
            </w:pPr>
            <w:r>
              <w:rPr>
                <w:rFonts w:ascii="Arial" w:cs="Arial" w:eastAsia="Arial" w:hAnsi="Arial"/>
                <w:sz w:val="18"/>
                <w:szCs w:val="18"/>
                <w:color w:val="auto"/>
              </w:rPr>
              <w:t>Adjusted EBITDA</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149,780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158,485</w:t>
            </w:r>
          </w:p>
        </w:tc>
        <w:tc>
          <w:tcPr>
            <w:tcW w:w="2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64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9"/>
        </w:trPr>
        <w:tc>
          <w:tcPr>
            <w:tcW w:w="6440" w:type="dxa"/>
            <w:vAlign w:val="bottom"/>
          </w:tcPr>
          <w:p>
            <w:pPr>
              <w:ind w:left="180"/>
              <w:spacing w:after="0"/>
              <w:rPr>
                <w:sz w:val="20"/>
                <w:szCs w:val="20"/>
                <w:color w:val="auto"/>
              </w:rPr>
            </w:pPr>
            <w:r>
              <w:rPr>
                <w:rFonts w:ascii="Arial" w:cs="Arial" w:eastAsia="Arial" w:hAnsi="Arial"/>
                <w:sz w:val="18"/>
                <w:szCs w:val="18"/>
                <w:color w:val="auto"/>
              </w:rPr>
              <w:t>As a percentage of net sales: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 GAAP Basis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Arial" w:cs="Arial" w:eastAsia="Arial" w:hAnsi="Arial"/>
                <w:sz w:val="18"/>
                <w:szCs w:val="18"/>
                <w:color w:val="auto"/>
              </w:rPr>
              <w:t>Adjusted EBITDA</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Operating Expense Reconciliation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 - GAAP basis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191,861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194,358</w:t>
            </w:r>
          </w:p>
        </w:tc>
        <w:tc>
          <w:tcPr>
            <w:tcW w:w="20" w:type="dxa"/>
            <w:vAlign w:val="bottom"/>
          </w:tcPr>
          <w:p>
            <w:pPr>
              <w:spacing w:after="0"/>
              <w:rPr>
                <w:sz w:val="18"/>
                <w:szCs w:val="18"/>
                <w:color w:val="auto"/>
              </w:rPr>
            </w:pPr>
          </w:p>
        </w:tc>
      </w:tr>
      <w:tr>
        <w:trPr>
          <w:trHeight w:val="216"/>
        </w:trPr>
        <w:tc>
          <w:tcPr>
            <w:tcW w:w="6440" w:type="dxa"/>
            <w:vAlign w:val="bottom"/>
          </w:tcPr>
          <w:p>
            <w:pPr>
              <w:ind w:left="340"/>
              <w:spacing w:after="0"/>
              <w:rPr>
                <w:sz w:val="20"/>
                <w:szCs w:val="20"/>
                <w:color w:val="auto"/>
              </w:rPr>
            </w:pPr>
            <w:r>
              <w:rPr>
                <w:rFonts w:ascii="Arial" w:cs="Arial" w:eastAsia="Arial" w:hAnsi="Arial"/>
                <w:sz w:val="18"/>
                <w:szCs w:val="18"/>
                <w:color w:val="auto"/>
              </w:rPr>
              <w:t>Non-GAAP adjustments to operating expenses (as scheduled above)</w:t>
            </w:r>
          </w:p>
        </w:tc>
        <w:tc>
          <w:tcPr>
            <w:tcW w:w="1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(39,942)</w:t>
            </w:r>
          </w:p>
        </w:tc>
        <w:tc>
          <w:tcPr>
            <w:tcW w:w="20" w:type="dxa"/>
            <w:vAlign w:val="bottom"/>
          </w:tcPr>
          <w:p>
            <w:pPr>
              <w:spacing w:after="0"/>
              <w:rPr>
                <w:sz w:val="18"/>
                <w:szCs w:val="18"/>
                <w:color w:val="auto"/>
              </w:rPr>
            </w:pPr>
          </w:p>
        </w:tc>
      </w:tr>
      <w:tr>
        <w:trPr>
          <w:trHeight w:val="250"/>
        </w:trPr>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Expenses - Non-GAAP basis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155,430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154,416</w:t>
            </w:r>
          </w:p>
        </w:tc>
        <w:tc>
          <w:tcPr>
            <w:tcW w:w="20" w:type="dxa"/>
            <w:vAlign w:val="bottom"/>
          </w:tcPr>
          <w:p>
            <w:pPr>
              <w:spacing w:after="0"/>
              <w:rPr>
                <w:sz w:val="21"/>
                <w:szCs w:val="21"/>
                <w:color w:val="auto"/>
              </w:rPr>
            </w:pPr>
          </w:p>
        </w:tc>
      </w:tr>
      <w:tr>
        <w:trPr>
          <w:trHeight w:val="35"/>
        </w:trPr>
        <w:tc>
          <w:tcPr>
            <w:tcW w:w="6440" w:type="dxa"/>
            <w:vAlign w:val="bottom"/>
            <w:tcBorders>
              <w:top w:val="single" w:sz="8" w:color="CCEEFF"/>
              <w:bottom w:val="single" w:sz="8" w:color="auto"/>
            </w:tcBorders>
          </w:tcPr>
          <w:p>
            <w:pPr>
              <w:spacing w:after="0"/>
              <w:rPr>
                <w:sz w:val="3"/>
                <w:szCs w:val="3"/>
                <w:color w:val="auto"/>
              </w:rPr>
            </w:pPr>
          </w:p>
        </w:tc>
        <w:tc>
          <w:tcPr>
            <w:tcW w:w="116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bl>
    <w:p>
      <w:pPr>
        <w:spacing w:after="0" w:line="40" w:lineRule="exact"/>
        <w:rPr>
          <w:sz w:val="20"/>
          <w:szCs w:val="20"/>
          <w:color w:val="auto"/>
        </w:rPr>
      </w:pPr>
    </w:p>
    <w:p>
      <w:pPr>
        <w:ind w:left="360" w:hanging="281"/>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amortization of $19,673 and $21,132 for the nine months ending September 24, 2022 and September 25, 2021, respectively.</w:t>
      </w:r>
    </w:p>
    <w:p>
      <w:pPr>
        <w:spacing w:after="0" w:line="23" w:lineRule="exact"/>
        <w:rPr>
          <w:rFonts w:ascii="Arial" w:cs="Arial" w:eastAsia="Arial" w:hAnsi="Arial"/>
          <w:sz w:val="18"/>
          <w:szCs w:val="18"/>
          <w:color w:val="auto"/>
        </w:rPr>
      </w:pPr>
    </w:p>
    <w:p>
      <w:pPr>
        <w:ind w:left="360" w:hanging="281"/>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amortization of capitalized implementation costs related to cloud-based software arrangements that are included within SG&amp;A.</w:t>
      </w:r>
    </w:p>
    <w:sectPr>
      <w:pgSz w:w="11900" w:h="16838" w:orient="portrait"/>
      <w:cols w:equalWidth="0" w:num="1">
        <w:col w:w="11240"/>
      </w:cols>
      <w:pgMar w:left="32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2022-10-27T15:15:29Z</dcterms:created>
  <dcterms:modified xsi:type="dcterms:W3CDTF">2022-10-27T15:15:29Z</dcterms:modified>
</cp:coreProperties>
</file>