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220" w:type="dxa"/>
            <w:vAlign w:val="bottom"/>
          </w:tcPr>
          <w:p>
            <w:pPr>
              <w:ind w:left="2300"/>
              <w:spacing w:after="0"/>
              <w:rPr>
                <w:sz w:val="20"/>
                <w:szCs w:val="20"/>
                <w:color w:val="auto"/>
              </w:rPr>
            </w:pPr>
            <w:r>
              <w:rPr>
                <w:rFonts w:ascii="Arial" w:cs="Arial" w:eastAsia="Arial" w:hAnsi="Arial"/>
                <w:sz w:val="18"/>
                <w:szCs w:val="18"/>
                <w:color w:val="auto"/>
                <w:w w:val="90"/>
              </w:rPr>
              <w:t>May 4, 2022</w:t>
            </w:r>
          </w:p>
        </w:tc>
      </w:tr>
    </w:tbl>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94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656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(Exact name of registrant as specified in its charter)</w:t>
            </w:r>
          </w:p>
        </w:tc>
        <w:tc>
          <w:tcPr>
            <w:tcW w:w="242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374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Delaware</w:t>
            </w:r>
          </w:p>
        </w:tc>
        <w:tc>
          <w:tcPr>
            <w:tcW w:w="1880" w:type="dxa"/>
            <w:vAlign w:val="bottom"/>
          </w:tcPr>
          <w:p>
            <w:pPr>
              <w:jc w:val="center"/>
              <w:ind w:right="290"/>
              <w:spacing w:after="0"/>
              <w:rPr>
                <w:sz w:val="20"/>
                <w:szCs w:val="20"/>
                <w:color w:val="auto"/>
              </w:rPr>
            </w:pPr>
            <w:r>
              <w:rPr>
                <w:rFonts w:ascii="Arial" w:cs="Arial" w:eastAsia="Arial" w:hAnsi="Arial"/>
                <w:sz w:val="18"/>
                <w:szCs w:val="18"/>
                <w:color w:val="auto"/>
                <w:w w:val="90"/>
              </w:rPr>
              <w:t>001-04298</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jc w:val="center"/>
              <w:ind w:right="310"/>
              <w:spacing w:after="0"/>
              <w:rPr>
                <w:sz w:val="20"/>
                <w:szCs w:val="20"/>
                <w:color w:val="auto"/>
              </w:rPr>
            </w:pPr>
            <w:r>
              <w:rPr>
                <w:rFonts w:ascii="Arial" w:cs="Arial" w:eastAsia="Arial" w:hAnsi="Arial"/>
                <w:sz w:val="18"/>
                <w:szCs w:val="18"/>
                <w:color w:val="auto"/>
                <w:w w:val="89"/>
              </w:rPr>
              <w:t>95-1934119</w:t>
            </w:r>
          </w:p>
        </w:tc>
      </w:tr>
      <w:tr>
        <w:trPr>
          <w:trHeight w:val="195"/>
        </w:trPr>
        <w:tc>
          <w:tcPr>
            <w:tcW w:w="200" w:type="dxa"/>
            <w:vAlign w:val="bottom"/>
          </w:tcPr>
          <w:p>
            <w:pPr>
              <w:spacing w:after="0"/>
              <w:rPr>
                <w:sz w:val="16"/>
                <w:szCs w:val="16"/>
                <w:color w:val="auto"/>
              </w:rPr>
            </w:pPr>
          </w:p>
        </w:tc>
        <w:tc>
          <w:tcPr>
            <w:tcW w:w="2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ind w:right="270"/>
              <w:spacing w:after="0" w:line="195" w:lineRule="exact"/>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jc w:val="center"/>
              <w:ind w:right="29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00" w:type="dxa"/>
            <w:vAlign w:val="bottom"/>
          </w:tcPr>
          <w:p>
            <w:pPr>
              <w:spacing w:after="0"/>
              <w:rPr>
                <w:sz w:val="20"/>
                <w:szCs w:val="20"/>
                <w:color w:val="auto"/>
              </w:rPr>
            </w:pPr>
          </w:p>
        </w:tc>
        <w:tc>
          <w:tcPr>
            <w:tcW w:w="3740" w:type="dxa"/>
            <w:vAlign w:val="bottom"/>
            <w:gridSpan w:val="3"/>
          </w:tcPr>
          <w:p>
            <w:pPr>
              <w:jc w:val="center"/>
              <w:ind w:right="920"/>
              <w:spacing w:after="0"/>
              <w:rPr>
                <w:sz w:val="20"/>
                <w:szCs w:val="20"/>
                <w:color w:val="auto"/>
              </w:rPr>
            </w:pPr>
            <w:r>
              <w:rPr>
                <w:rFonts w:ascii="Arial" w:cs="Arial" w:eastAsia="Arial" w:hAnsi="Arial"/>
                <w:sz w:val="18"/>
                <w:szCs w:val="18"/>
                <w:color w:val="auto"/>
                <w:w w:val="93"/>
              </w:rPr>
              <w:t>of incorporation)</w:t>
            </w:r>
          </w:p>
        </w:tc>
        <w:tc>
          <w:tcPr>
            <w:tcW w:w="2820" w:type="dxa"/>
            <w:vAlign w:val="bottom"/>
            <w:gridSpan w:val="3"/>
          </w:tcPr>
          <w:p>
            <w:pPr>
              <w:jc w:val="center"/>
              <w:ind w:right="1300"/>
              <w:spacing w:after="0"/>
              <w:rPr>
                <w:sz w:val="20"/>
                <w:szCs w:val="20"/>
                <w:color w:val="auto"/>
              </w:rPr>
            </w:pPr>
            <w:r>
              <w:rPr>
                <w:rFonts w:ascii="Arial" w:cs="Arial" w:eastAsia="Arial" w:hAnsi="Arial"/>
                <w:sz w:val="18"/>
                <w:szCs w:val="18"/>
                <w:color w:val="auto"/>
                <w:w w:val="92"/>
              </w:rPr>
              <w:t>File Number)</w:t>
            </w:r>
          </w:p>
        </w:tc>
        <w:tc>
          <w:tcPr>
            <w:tcW w:w="242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00" w:type="dxa"/>
            <w:vAlign w:val="bottom"/>
          </w:tcPr>
          <w:p>
            <w:pPr>
              <w:spacing w:after="0"/>
              <w:rPr>
                <w:sz w:val="24"/>
                <w:szCs w:val="24"/>
                <w:color w:val="auto"/>
              </w:rPr>
            </w:pPr>
          </w:p>
        </w:tc>
        <w:tc>
          <w:tcPr>
            <w:tcW w:w="3740" w:type="dxa"/>
            <w:vAlign w:val="bottom"/>
            <w:gridSpan w:val="3"/>
          </w:tcPr>
          <w:p>
            <w:pPr>
              <w:jc w:val="center"/>
              <w:ind w:right="920"/>
              <w:spacing w:after="0"/>
              <w:rPr>
                <w:sz w:val="20"/>
                <w:szCs w:val="20"/>
                <w:color w:val="auto"/>
              </w:rPr>
            </w:pPr>
            <w:r>
              <w:rPr>
                <w:rFonts w:ascii="Arial" w:cs="Arial" w:eastAsia="Arial" w:hAnsi="Arial"/>
                <w:sz w:val="18"/>
                <w:szCs w:val="18"/>
                <w:color w:val="auto"/>
                <w:w w:val="91"/>
              </w:rPr>
              <w:t>12367 Crosthwaite Circle, Poway,</w:t>
            </w: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jc w:val="right"/>
              <w:ind w:right="1090"/>
              <w:spacing w:after="0"/>
              <w:rPr>
                <w:sz w:val="20"/>
                <w:szCs w:val="20"/>
                <w:color w:val="auto"/>
              </w:rPr>
            </w:pPr>
            <w:r>
              <w:rPr>
                <w:rFonts w:ascii="Arial" w:cs="Arial" w:eastAsia="Arial" w:hAnsi="Arial"/>
                <w:sz w:val="18"/>
                <w:szCs w:val="18"/>
                <w:color w:val="auto"/>
              </w:rPr>
              <w:t>92064</w:t>
            </w:r>
          </w:p>
        </w:tc>
      </w:tr>
      <w:tr>
        <w:trPr>
          <w:trHeight w:val="230"/>
        </w:trPr>
        <w:tc>
          <w:tcPr>
            <w:tcW w:w="200" w:type="dxa"/>
            <w:vAlign w:val="bottom"/>
          </w:tcPr>
          <w:p>
            <w:pPr>
              <w:spacing w:after="0"/>
              <w:rPr>
                <w:sz w:val="20"/>
                <w:szCs w:val="20"/>
                <w:color w:val="auto"/>
              </w:rPr>
            </w:pPr>
          </w:p>
        </w:tc>
        <w:tc>
          <w:tcPr>
            <w:tcW w:w="3740" w:type="dxa"/>
            <w:vAlign w:val="bottom"/>
            <w:gridSpan w:val="3"/>
          </w:tcPr>
          <w:p>
            <w:pPr>
              <w:jc w:val="center"/>
              <w:ind w:right="920"/>
              <w:spacing w:after="0"/>
              <w:rPr>
                <w:sz w:val="20"/>
                <w:szCs w:val="20"/>
                <w:color w:val="auto"/>
              </w:rPr>
            </w:pPr>
            <w:r>
              <w:rPr>
                <w:rFonts w:ascii="Arial" w:cs="Arial" w:eastAsia="Arial" w:hAnsi="Arial"/>
                <w:sz w:val="18"/>
                <w:szCs w:val="18"/>
                <w:color w:val="auto"/>
                <w:w w:val="97"/>
              </w:rPr>
              <w:t>California</w:t>
            </w:r>
          </w:p>
        </w:tc>
        <w:tc>
          <w:tcPr>
            <w:tcW w:w="1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195"/>
        </w:trPr>
        <w:tc>
          <w:tcPr>
            <w:tcW w:w="200" w:type="dxa"/>
            <w:vAlign w:val="bottom"/>
          </w:tcPr>
          <w:p>
            <w:pPr>
              <w:spacing w:after="0"/>
              <w:rPr>
                <w:sz w:val="16"/>
                <w:szCs w:val="16"/>
                <w:color w:val="auto"/>
              </w:rPr>
            </w:pPr>
          </w:p>
        </w:tc>
        <w:tc>
          <w:tcPr>
            <w:tcW w:w="2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(Address of principal executive</w:t>
            </w:r>
          </w:p>
        </w:tc>
        <w:tc>
          <w:tcPr>
            <w:tcW w:w="920" w:type="dxa"/>
            <w:vAlign w:val="bottom"/>
            <w:gridSpan w:val="2"/>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jc w:val="center"/>
              <w:ind w:right="290"/>
              <w:spacing w:after="0" w:line="195" w:lineRule="exact"/>
              <w:rPr>
                <w:sz w:val="20"/>
                <w:szCs w:val="20"/>
                <w:color w:val="auto"/>
              </w:rPr>
            </w:pPr>
            <w:r>
              <w:rPr>
                <w:rFonts w:ascii="Arial" w:cs="Arial" w:eastAsia="Arial" w:hAnsi="Arial"/>
                <w:sz w:val="18"/>
                <w:szCs w:val="18"/>
                <w:color w:val="auto"/>
                <w:w w:val="94"/>
              </w:rPr>
              <w:t>(Zip Code)</w:t>
            </w:r>
          </w:p>
        </w:tc>
      </w:tr>
      <w:tr>
        <w:trPr>
          <w:trHeight w:val="230"/>
        </w:trPr>
        <w:tc>
          <w:tcPr>
            <w:tcW w:w="200" w:type="dxa"/>
            <w:vAlign w:val="bottom"/>
          </w:tcPr>
          <w:p>
            <w:pPr>
              <w:spacing w:after="0"/>
              <w:rPr>
                <w:sz w:val="20"/>
                <w:szCs w:val="20"/>
                <w:color w:val="auto"/>
              </w:rPr>
            </w:pPr>
          </w:p>
        </w:tc>
        <w:tc>
          <w:tcPr>
            <w:tcW w:w="374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offices)</w:t>
            </w:r>
          </w:p>
        </w:tc>
        <w:tc>
          <w:tcPr>
            <w:tcW w:w="1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3940" w:type="dxa"/>
            <w:vAlign w:val="bottom"/>
            <w:gridSpan w:val="4"/>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jc w:val="right"/>
              <w:ind w:right="1090"/>
              <w:spacing w:after="0"/>
              <w:rPr>
                <w:sz w:val="20"/>
                <w:szCs w:val="20"/>
                <w:color w:val="auto"/>
              </w:rPr>
            </w:pPr>
            <w:r>
              <w:rPr>
                <w:rFonts w:ascii="Arial" w:cs="Arial" w:eastAsia="Arial" w:hAnsi="Arial"/>
                <w:sz w:val="18"/>
                <w:szCs w:val="18"/>
                <w:color w:val="auto"/>
              </w:rPr>
              <w:t>858-848-8100</w:t>
            </w:r>
          </w:p>
        </w:tc>
      </w:tr>
      <w:tr>
        <w:trPr>
          <w:trHeight w:val="432"/>
        </w:trPr>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center"/>
              <w:ind w:right="1320"/>
              <w:spacing w:after="0"/>
              <w:rPr>
                <w:sz w:val="20"/>
                <w:szCs w:val="20"/>
                <w:color w:val="auto"/>
              </w:rPr>
            </w:pPr>
            <w:r>
              <w:rPr>
                <w:rFonts w:ascii="Arial" w:cs="Arial" w:eastAsia="Arial" w:hAnsi="Arial"/>
                <w:sz w:val="18"/>
                <w:szCs w:val="18"/>
                <w:color w:val="auto"/>
                <w:w w:val="94"/>
              </w:rPr>
              <w:t>Not Applicable</w:t>
            </w:r>
          </w:p>
        </w:tc>
        <w:tc>
          <w:tcPr>
            <w:tcW w:w="2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449" w:right="49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400"/>
          </w:cols>
          <w:pgMar w:left="320" w:top="449" w:right="499" w:bottom="1440" w:gutter="0" w:footer="0" w:header="0"/>
          <w:type w:val="continuous"/>
        </w:sectPr>
      </w:pPr>
    </w:p>
    <w:p>
      <w:pPr>
        <w:spacing w:after="0" w:line="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discussed in greater detail below, Cohu, Inc. (“Cohu”) held its 2022 Annual Meeting of Stockholders on May 4, 2022 (the “Annual Meeting”). At the Annual Meeting, Cohu’s stockholders approved an amendment to Cohu’s Amended and Restated Certificate of Incorporation to increase the number of authorized shares of common stock from 60,000,000 to 90,000,000 shares. The amendment is discussed in greater detail in the definitive Proxy Statement for the Annual Meeting, which was filed with the Securities and Exchange Commission on March 25, 2022. Accordingly, on May 5, 2022, Cohu filed with the Secretary of State of the State of Delaware an Amended and Restated Certificate of Incorporation implementing the approved changes (the “Restated Certificate”), and the Restated Certificate was effective as of that date. This description of the Restated Certificate is qualified in its entirety by reference to the Restated Certificate filed herewith as Exhibit 3.1.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2022 Annual Meeting of Cohu, Inc. (“Cohu”) was held on May 4, 2022. At the Annual Meeting, Cohu’s stockholders cast their votes on four proposals, as set forth below. Cohu had 48,563,962 shares outstanding on the March 14, 2022 record date and 43,935,208 (90%) were represented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J. Bilodeau was elected as a Class 3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38,668,249; Votes Against – 1,494,582; Abstentions – 66,379; Broker Non-Votes – 3,705,998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 was elected as a Class 3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36,222,496; Votes Against – 3,940,789; Abstentions – 65,925; Broker Non-Votes – 3,705,998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remaining directors whose terms continue until 2023 are William E. Bendush and Nina L. Richardson, and until 2024 are Andrew M. Caggia, Yon 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Jorden and Luis A. Müller.</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advisory vote on executive compensation of Named Executive Officers, as disclosed in the Proxy Statement, was approved.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39,962,071; Votes Against – 172,894; Abstentions – 94,245; Broker Non-Votes – 3,705,998</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 The amendment to our Amended and Restated Certificate of Incorporation increasing the number of authorized shares of common stock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60,000,000 to 90,000,000 shares was approved. The results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43,403,301; Votes Against – 461,919; Abstentions – 69,988; Broker Non-Votes - 0</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Proposal 4</w:t>
      </w:r>
      <w:r>
        <w:rPr>
          <w:rFonts w:ascii="Arial" w:cs="Arial" w:eastAsia="Arial" w:hAnsi="Arial"/>
          <w:sz w:val="18"/>
          <w:szCs w:val="18"/>
          <w:color w:val="auto"/>
        </w:rPr>
        <w:t>. The ratification of the appointment of Ernst &amp; Young LLP as Cohu’s independent registered public accounting firm for fiscal year 2022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The results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41,498,707; Votes Against – 2,395,331; Abstentions – 41,170; Broker Non-Votes - 0</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9660" w:type="dxa"/>
            <w:vAlign w:val="bottom"/>
            <w:tcBorders>
              <w:bottom w:val="single" w:sz="8" w:color="auto"/>
            </w:tcBorders>
            <w:gridSpan w:val="2"/>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514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Amended and Restated Certificate of Incorporation, dated May 4, 2022</w:t>
              </w:r>
            </w:hyperlink>
          </w:p>
        </w:tc>
        <w:tc>
          <w:tcPr>
            <w:tcW w:w="4520" w:type="dxa"/>
            <w:vAlign w:val="bottom"/>
          </w:tcPr>
          <w:p>
            <w:pPr>
              <w:spacing w:after="0"/>
              <w:rPr>
                <w:sz w:val="24"/>
                <w:szCs w:val="24"/>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120" w:type="dxa"/>
            <w:vAlign w:val="bottom"/>
          </w:tcPr>
          <w:p>
            <w:pPr>
              <w:ind w:left="2340"/>
              <w:spacing w:after="0"/>
              <w:rPr>
                <w:sz w:val="20"/>
                <w:szCs w:val="20"/>
                <w:color w:val="auto"/>
              </w:rPr>
            </w:pPr>
            <w:r>
              <w:rPr>
                <w:rFonts w:ascii="Arial" w:cs="Arial" w:eastAsia="Arial" w:hAnsi="Arial"/>
                <w:sz w:val="18"/>
                <w:szCs w:val="18"/>
                <w:color w:val="auto"/>
              </w:rPr>
              <w:t>Cohu, Inc.</w:t>
            </w:r>
          </w:p>
        </w:tc>
      </w:tr>
      <w:tr>
        <w:trPr>
          <w:trHeight w:val="432"/>
        </w:trPr>
        <w:tc>
          <w:tcPr>
            <w:tcW w:w="3220" w:type="dxa"/>
            <w:vAlign w:val="bottom"/>
          </w:tcPr>
          <w:p>
            <w:pPr>
              <w:spacing w:after="0"/>
              <w:rPr>
                <w:sz w:val="20"/>
                <w:szCs w:val="20"/>
                <w:color w:val="auto"/>
              </w:rPr>
            </w:pPr>
            <w:r>
              <w:rPr>
                <w:rFonts w:ascii="Arial" w:cs="Arial" w:eastAsia="Arial" w:hAnsi="Arial"/>
                <w:sz w:val="18"/>
                <w:szCs w:val="18"/>
                <w:i w:val="1"/>
                <w:iCs w:val="1"/>
                <w:color w:val="auto"/>
              </w:rPr>
              <w:t>May 5, 2022</w:t>
            </w:r>
          </w:p>
        </w:tc>
        <w:tc>
          <w:tcPr>
            <w:tcW w:w="4120" w:type="dxa"/>
            <w:vAlign w:val="bottom"/>
          </w:tcPr>
          <w:p>
            <w:pPr>
              <w:ind w:left="2300"/>
              <w:spacing w:after="0"/>
              <w:rPr>
                <w:sz w:val="20"/>
                <w:szCs w:val="20"/>
                <w:color w:val="auto"/>
              </w:rPr>
            </w:pPr>
            <w:r>
              <w:rPr>
                <w:rFonts w:ascii="Arial" w:cs="Arial" w:eastAsia="Arial" w:hAnsi="Arial"/>
                <w:sz w:val="18"/>
                <w:szCs w:val="18"/>
                <w:i w:val="1"/>
                <w:iCs w:val="1"/>
                <w:color w:val="auto"/>
                <w:w w:val="92"/>
              </w:rPr>
              <w:t>By:   /s/ Jeffrey D.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Title: Senior VP Finance and Chief Financial Officer</w:t>
      </w:r>
    </w:p>
    <w:p>
      <w:pPr>
        <w:sectPr>
          <w:pgSz w:w="11900" w:h="16838" w:orient="portrait"/>
          <w:cols w:equalWidth="0" w:num="1">
            <w:col w:w="11200"/>
          </w:cols>
          <w:pgMar w:left="320" w:top="58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Cohu, Inc., a corporation organized and existing under and by virtue of the provisions of the General Corporation Law of the State of Delaware (the “General Corporation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ind w:right="20" w:firstLine="656"/>
        <w:spacing w:after="0" w:line="277" w:lineRule="auto"/>
        <w:tabs>
          <w:tab w:leader="none" w:pos="8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name of this corporation is Cohu, Inc., and that this corporation was originally incorporated pursuant to the General Corporation Law on January 2, 1957 under the name Cohu Electronics, Inc.</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6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Board of Directors of this corporation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that the Certificate of Incorporation of this corporation be amended and restated in its entirety to read as follows:</w:t>
      </w:r>
    </w:p>
    <w:p>
      <w:pPr>
        <w:spacing w:after="0" w:line="22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color w:val="auto"/>
        </w:rPr>
        <w:t>ARTICLE FIRST:</w:t>
      </w:r>
      <w:r>
        <w:rPr>
          <w:sz w:val="20"/>
          <w:szCs w:val="20"/>
          <w:color w:val="auto"/>
        </w:rPr>
        <w:tab/>
      </w:r>
      <w:r>
        <w:rPr>
          <w:rFonts w:ascii="Arial" w:cs="Arial" w:eastAsia="Arial" w:hAnsi="Arial"/>
          <w:sz w:val="16"/>
          <w:szCs w:val="16"/>
          <w:color w:val="auto"/>
        </w:rPr>
        <w:t>The name of the corporation is COHU,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SECOND: The name and address of its registered agent is The Corporation Trust Company, 1209 Orange Street, Wilmington, Delaware, 19801, located in New Castle County.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THIRD: The purpose of the Corporation is to engage in any lawful act or activity for which corporations may be organized under the General Corporation Law of the State of Delaware, as from time to time amended.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FOURTH: The total number of shares of all classes of stock which the Corporation shall have authority to issue is 91,000,000 shares, of which 1,000,000 shares shall constitute Preferred Stock having a par value of $1.00 per share and 90,000,000 shares shall constitute Common Stock having a par value of $1.00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56"/>
        <w:spacing w:after="0" w:line="270" w:lineRule="auto"/>
        <w:tabs>
          <w:tab w:leader="none" w:pos="1053"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liquidation or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80" w:lineRule="exact"/>
        <w:rPr>
          <w:rFonts w:ascii="Arial" w:cs="Arial" w:eastAsia="Arial" w:hAnsi="Arial"/>
          <w:sz w:val="17"/>
          <w:szCs w:val="17"/>
          <w:color w:val="auto"/>
        </w:rPr>
      </w:pPr>
    </w:p>
    <w:p>
      <w:pPr>
        <w:ind w:firstLine="656"/>
        <w:spacing w:after="0" w:line="277" w:lineRule="auto"/>
        <w:tabs>
          <w:tab w:leader="none" w:pos="1026"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all of the rights of the Preferred Stock, dividends may be paid upon the Common Stock as and when declared by the Board of Directors out of funds legally available for payment of dividends.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ARTICLE FIFTH:</w:t>
      </w:r>
      <w:r>
        <w:rPr>
          <w:sz w:val="20"/>
          <w:szCs w:val="20"/>
          <w:color w:val="auto"/>
        </w:rPr>
        <w:tab/>
      </w:r>
      <w:r>
        <w:rPr>
          <w:rFonts w:ascii="Arial" w:cs="Arial" w:eastAsia="Arial" w:hAnsi="Arial"/>
          <w:sz w:val="15"/>
          <w:szCs w:val="15"/>
          <w:color w:val="auto"/>
        </w:rPr>
        <w:t>Reserved.</w:t>
      </w:r>
    </w:p>
    <w:p>
      <w:pPr>
        <w:spacing w:after="0" w:line="225"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ARTICLE SIXTH:</w:t>
      </w:r>
      <w:r>
        <w:rPr>
          <w:sz w:val="20"/>
          <w:szCs w:val="20"/>
          <w:color w:val="auto"/>
        </w:rPr>
        <w:tab/>
      </w:r>
      <w:r>
        <w:rPr>
          <w:rFonts w:ascii="Arial" w:cs="Arial" w:eastAsia="Arial" w:hAnsi="Arial"/>
          <w:sz w:val="15"/>
          <w:szCs w:val="15"/>
          <w:color w:val="auto"/>
        </w:rPr>
        <w:t>Reserved.</w:t>
      </w:r>
    </w:p>
    <w:p>
      <w:pPr>
        <w:spacing w:after="0" w:line="225" w:lineRule="exact"/>
        <w:rPr>
          <w:sz w:val="20"/>
          <w:szCs w:val="20"/>
          <w:color w:val="auto"/>
        </w:rPr>
      </w:pPr>
    </w:p>
    <w:p>
      <w:pPr>
        <w:ind w:left="660"/>
        <w:spacing w:after="0"/>
        <w:tabs>
          <w:tab w:leader="none" w:pos="2480" w:val="left"/>
        </w:tabs>
        <w:rPr>
          <w:sz w:val="20"/>
          <w:szCs w:val="20"/>
          <w:color w:val="auto"/>
        </w:rPr>
      </w:pPr>
      <w:r>
        <w:rPr>
          <w:rFonts w:ascii="Arial" w:cs="Arial" w:eastAsia="Arial" w:hAnsi="Arial"/>
          <w:sz w:val="18"/>
          <w:szCs w:val="18"/>
          <w:color w:val="auto"/>
        </w:rPr>
        <w:t>ARTICLE SEVENTH:</w:t>
      </w:r>
      <w:r>
        <w:rPr>
          <w:sz w:val="20"/>
          <w:szCs w:val="20"/>
          <w:color w:val="auto"/>
        </w:rPr>
        <w:tab/>
      </w:r>
      <w:r>
        <w:rPr>
          <w:rFonts w:ascii="Arial" w:cs="Arial" w:eastAsia="Arial" w:hAnsi="Arial"/>
          <w:sz w:val="15"/>
          <w:szCs w:val="15"/>
          <w:color w:val="auto"/>
        </w:rPr>
        <w:t>Reserved.</w:t>
      </w:r>
    </w:p>
    <w:p>
      <w:pPr>
        <w:spacing w:after="0" w:line="225"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color w:val="auto"/>
        </w:rPr>
        <w:t>ARTICLE EIGHTH:</w:t>
      </w:r>
      <w:r>
        <w:rPr>
          <w:sz w:val="20"/>
          <w:szCs w:val="20"/>
          <w:color w:val="auto"/>
        </w:rPr>
        <w:tab/>
      </w:r>
      <w:r>
        <w:rPr>
          <w:rFonts w:ascii="Arial" w:cs="Arial" w:eastAsia="Arial" w:hAnsi="Arial"/>
          <w:sz w:val="16"/>
          <w:szCs w:val="16"/>
          <w:color w:val="auto"/>
        </w:rPr>
        <w:t>The corporation is to have perpetual existence.</w:t>
      </w:r>
    </w:p>
    <w:p>
      <w:pPr>
        <w:spacing w:after="0" w:line="22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ARTICLE NINTH:</w:t>
      </w:r>
      <w:r>
        <w:rPr>
          <w:sz w:val="20"/>
          <w:szCs w:val="20"/>
          <w:color w:val="auto"/>
        </w:rPr>
        <w:tab/>
      </w:r>
      <w:r>
        <w:rPr>
          <w:rFonts w:ascii="Arial" w:cs="Arial" w:eastAsia="Arial" w:hAnsi="Arial"/>
          <w:sz w:val="15"/>
          <w:szCs w:val="15"/>
          <w:color w:val="auto"/>
        </w:rPr>
        <w:t>Reserved.</w:t>
      </w:r>
    </w:p>
    <w:p>
      <w:pPr>
        <w:spacing w:after="0" w:line="22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color w:val="auto"/>
        </w:rPr>
        <w:t>ARTICLE TENTH:</w:t>
      </w:r>
      <w:r>
        <w:rPr>
          <w:sz w:val="20"/>
          <w:szCs w:val="20"/>
          <w:color w:val="auto"/>
        </w:rPr>
        <w:tab/>
      </w:r>
      <w:r>
        <w:rPr>
          <w:rFonts w:ascii="Arial" w:cs="Arial" w:eastAsia="Arial" w:hAnsi="Arial"/>
          <w:sz w:val="16"/>
          <w:szCs w:val="16"/>
          <w:color w:val="auto"/>
        </w:rPr>
        <w:t>In furtherance and not in limitation of the powers conferred by statute, the Board of Directors is expressly authorized: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make, alter or repeal the by laws of the 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 laws of the corporation. Elections of directors need not be by ballot unless the by laws of the corporation shall so provide.</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ARTICLE 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jc w:val="both"/>
        <w:ind w:firstLine="648"/>
        <w:spacing w:after="0" w:line="263" w:lineRule="auto"/>
        <w:rPr>
          <w:sz w:val="20"/>
          <w:szCs w:val="20"/>
          <w:color w:val="auto"/>
        </w:rPr>
      </w:pPr>
      <w:r>
        <w:rPr>
          <w:rFonts w:ascii="Arial" w:cs="Arial" w:eastAsia="Arial" w:hAnsi="Arial"/>
          <w:sz w:val="18"/>
          <w:szCs w:val="18"/>
          <w:color w:val="auto"/>
        </w:rPr>
        <w:t>ARTICLE 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ARTICLE 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as provided in this Certificate of Incorporation.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Director of the Corporation shall be removed from office as a Director by vote or other action of stockholders or otherwise, unless the Director to be removed has been convicted of a felony by a court of competent jurisdiction and such conviction is no longer subject to direct appeal, or unless the Director to be removed has been adjudged to be liable for negligence or misconduct in the performance of his duty to the Corporation by a court of competent jurisdiction and such adjudication is no longer subject to direct appeal.</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ARTICLE 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For the purposes hereof, the term “business combination” shall mean (a) any merger or consolidation of or with this Corporation, (b) any sale, 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SIXTEENTH: Action shall be taken by stockholders only at an annual or special meeting of stockholders, and stockholders may not act by written consent.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ARTICLE 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ARTICLE NINETEENTH: A director of the Corporation shall not be personally liable to the Corporation or its stockholders for monetary damages for breach of fiduciary duty as a director, except for liability (i) for any breach of director’s duty of loyalty to the Corporation or its stockholders,</w:t>
      </w:r>
    </w:p>
    <w:p>
      <w:pPr>
        <w:jc w:val="both"/>
        <w:ind w:firstLine="8"/>
        <w:spacing w:after="0" w:line="273" w:lineRule="auto"/>
        <w:tabs>
          <w:tab w:leader="none" w:pos="273"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 No amendment to or repeal of this Article Nineteenth shall apply to or have any effect on the liability or alleged liability of any director of the Corporation for or with respect to any acts or omissions of such director occurring prior to such amendment or repeal.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jc w:val="both"/>
        <w:ind w:firstLine="648"/>
        <w:spacing w:after="0" w:line="271" w:lineRule="auto"/>
        <w:rPr>
          <w:sz w:val="20"/>
          <w:szCs w:val="20"/>
          <w:color w:val="auto"/>
        </w:rPr>
      </w:pPr>
      <w:r>
        <w:rPr>
          <w:rFonts w:ascii="Arial" w:cs="Arial" w:eastAsia="Arial" w:hAnsi="Arial"/>
          <w:sz w:val="17"/>
          <w:szCs w:val="17"/>
          <w:color w:val="auto"/>
        </w:rPr>
        <w:t>ARTICLE TWENTIETH: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portion of any paragraph of this Certificate of Incorporation containing any such provision held to be invalid, illegal or unenforceable) shall be construed so as to permit the Company to protect its directors, officers, employees and agents from personal liability in respect of their good faith service or for the benefit of the Company to the fullest extent permitted by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firstLine="656"/>
        <w:spacing w:after="0" w:line="277" w:lineRule="auto"/>
        <w:tabs>
          <w:tab w:leader="none" w:pos="126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That this Certificate of Incorporation, which restates and integrates and further amends the provisions of the Corporation’s Certificate of Incorporation, has been duly adopted in accordance with Sections 242 and 245 of the General Corporation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This Amended and Restated Certificate of Incorporation has been executed by a duly authorized officer of the Corporation on May 4, 2022.</w:t>
      </w:r>
    </w:p>
    <w:p>
      <w:pPr>
        <w:sectPr>
          <w:pgSz w:w="11900" w:h="16838" w:orient="portrait"/>
          <w:cols w:equalWidth="0" w:num="1">
            <w:col w:w="10060"/>
          </w:cols>
          <w:pgMar w:left="980" w:top="584" w:right="8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Cohu, Inc.</w:t>
      </w:r>
    </w:p>
    <w:p>
      <w:pPr>
        <w:spacing w:after="0" w:line="200" w:lineRule="exact"/>
        <w:rPr>
          <w:sz w:val="20"/>
          <w:szCs w:val="20"/>
          <w:color w:val="auto"/>
        </w:rPr>
      </w:pPr>
    </w:p>
    <w:p>
      <w:pPr>
        <w:spacing w:after="0" w:line="2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Tom Kampfer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Tom Kampfer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VP Corporate Development, General</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Counsel and Secretary</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w:t>
      </w:r>
    </w:p>
    <w:sectPr>
      <w:pgSz w:w="11900" w:h="16838" w:orient="portrait"/>
      <w:cols w:equalWidth="0" w:num="1">
        <w:col w:w="10060"/>
      </w:cols>
      <w:pgMar w:left="980" w:top="584"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2022-05-06T12:27:09Z</dcterms:created>
  <dcterms:modified xsi:type="dcterms:W3CDTF">2022-05-06T12:27:09Z</dcterms:modified>
</cp:coreProperties>
</file>