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UNITED STATES</w:t>
      </w:r>
    </w:p>
    <w:p>
      <w:pPr>
        <w:jc w:val="center"/>
        <w:ind w:right="-17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w w:val="94"/>
              </w:rPr>
              <w:t>Date of Report (Date of Earliest Event Reported):</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20" w:type="dxa"/>
            <w:vAlign w:val="bottom"/>
            <w:gridSpan w:val="2"/>
          </w:tcPr>
          <w:p>
            <w:pPr>
              <w:ind w:left="280"/>
              <w:spacing w:after="0"/>
              <w:rPr>
                <w:sz w:val="20"/>
                <w:szCs w:val="20"/>
                <w:color w:val="auto"/>
              </w:rPr>
            </w:pPr>
            <w:r>
              <w:rPr>
                <w:rFonts w:ascii="Arial" w:cs="Arial" w:eastAsia="Arial" w:hAnsi="Arial"/>
                <w:sz w:val="18"/>
                <w:szCs w:val="18"/>
                <w:color w:val="auto"/>
              </w:rPr>
              <w:t>April 28, 2022</w:t>
            </w:r>
          </w:p>
        </w:tc>
      </w:tr>
      <w:tr>
        <w:trPr>
          <w:trHeight w:val="738"/>
        </w:trPr>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60" w:type="dxa"/>
            <w:vAlign w:val="bottom"/>
            <w:gridSpan w:val="4"/>
          </w:tcPr>
          <w:p>
            <w:pPr>
              <w:jc w:val="center"/>
              <w:ind w:right="460"/>
              <w:spacing w:after="0"/>
              <w:rPr>
                <w:sz w:val="20"/>
                <w:szCs w:val="20"/>
                <w:color w:val="auto"/>
              </w:rPr>
            </w:pPr>
            <w:r>
              <w:rPr>
                <w:rFonts w:ascii="Arial" w:cs="Arial" w:eastAsia="Arial" w:hAnsi="Arial"/>
                <w:sz w:val="43"/>
                <w:szCs w:val="43"/>
                <w:color w:val="auto"/>
                <w:w w:val="91"/>
              </w:rPr>
              <w:t>Cohu, Inc.</w:t>
            </w: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79"/>
        </w:trPr>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40" w:type="dxa"/>
            <w:vAlign w:val="bottom"/>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200" w:type="dxa"/>
            <w:vAlign w:val="bottom"/>
          </w:tcPr>
          <w:p>
            <w:pPr>
              <w:spacing w:after="0"/>
              <w:rPr>
                <w:sz w:val="24"/>
                <w:szCs w:val="24"/>
                <w:color w:val="auto"/>
              </w:rPr>
            </w:pPr>
          </w:p>
        </w:tc>
        <w:tc>
          <w:tcPr>
            <w:tcW w:w="2540" w:type="dxa"/>
            <w:vAlign w:val="bottom"/>
            <w:gridSpan w:val="2"/>
          </w:tcPr>
          <w:p>
            <w:pPr>
              <w:jc w:val="center"/>
              <w:ind w:right="1180"/>
              <w:spacing w:after="0"/>
              <w:rPr>
                <w:sz w:val="20"/>
                <w:szCs w:val="20"/>
                <w:color w:val="auto"/>
              </w:rPr>
            </w:pPr>
            <w:r>
              <w:rPr>
                <w:rFonts w:ascii="Arial" w:cs="Arial" w:eastAsia="Arial" w:hAnsi="Arial"/>
                <w:sz w:val="18"/>
                <w:szCs w:val="18"/>
                <w:color w:val="auto"/>
                <w:w w:val="89"/>
              </w:rPr>
              <w:t>Delaware</w:t>
            </w:r>
          </w:p>
        </w:tc>
        <w:tc>
          <w:tcPr>
            <w:tcW w:w="2560" w:type="dxa"/>
            <w:vAlign w:val="bottom"/>
            <w:gridSpan w:val="3"/>
          </w:tcPr>
          <w:p>
            <w:pPr>
              <w:jc w:val="right"/>
              <w:ind w:right="210"/>
              <w:spacing w:after="0"/>
              <w:rPr>
                <w:sz w:val="20"/>
                <w:szCs w:val="20"/>
                <w:color w:val="auto"/>
              </w:rPr>
            </w:pPr>
            <w:r>
              <w:rPr>
                <w:rFonts w:ascii="Arial" w:cs="Arial" w:eastAsia="Arial" w:hAnsi="Arial"/>
                <w:sz w:val="18"/>
                <w:szCs w:val="18"/>
                <w:color w:val="auto"/>
              </w:rPr>
              <w:t>001-04298</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95-1934119</w:t>
            </w:r>
          </w:p>
        </w:tc>
        <w:tc>
          <w:tcPr>
            <w:tcW w:w="20" w:type="dxa"/>
            <w:vAlign w:val="bottom"/>
          </w:tcPr>
          <w:p>
            <w:pPr>
              <w:spacing w:after="0"/>
              <w:rPr>
                <w:sz w:val="24"/>
                <w:szCs w:val="24"/>
                <w:color w:val="auto"/>
              </w:rPr>
            </w:pPr>
          </w:p>
        </w:tc>
      </w:tr>
      <w:tr>
        <w:trPr>
          <w:trHeight w:val="216"/>
        </w:trPr>
        <w:tc>
          <w:tcPr>
            <w:tcW w:w="3740" w:type="dxa"/>
            <w:vAlign w:val="bottom"/>
            <w:gridSpan w:val="3"/>
          </w:tcPr>
          <w:p>
            <w:pPr>
              <w:jc w:val="right"/>
              <w:ind w:right="920"/>
              <w:spacing w:after="0"/>
              <w:rPr>
                <w:sz w:val="20"/>
                <w:szCs w:val="20"/>
                <w:color w:val="auto"/>
              </w:rPr>
            </w:pPr>
            <w:r>
              <w:rPr>
                <w:rFonts w:ascii="Arial" w:cs="Arial" w:eastAsia="Arial" w:hAnsi="Arial"/>
                <w:sz w:val="18"/>
                <w:szCs w:val="18"/>
                <w:color w:val="auto"/>
              </w:rPr>
              <w:t>_____________________</w:t>
            </w:r>
          </w:p>
        </w:tc>
        <w:tc>
          <w:tcPr>
            <w:tcW w:w="2560" w:type="dxa"/>
            <w:vAlign w:val="bottom"/>
            <w:gridSpan w:val="3"/>
          </w:tcPr>
          <w:p>
            <w:pPr>
              <w:jc w:val="right"/>
              <w:ind w:right="10"/>
              <w:spacing w:after="0"/>
              <w:rPr>
                <w:sz w:val="20"/>
                <w:szCs w:val="20"/>
                <w:color w:val="auto"/>
              </w:rPr>
            </w:pPr>
            <w:r>
              <w:rPr>
                <w:rFonts w:ascii="Arial" w:cs="Arial" w:eastAsia="Arial" w:hAnsi="Arial"/>
                <w:sz w:val="18"/>
                <w:szCs w:val="18"/>
                <w:color w:val="auto"/>
              </w:rPr>
              <w:t>_____________</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______________</w:t>
            </w:r>
          </w:p>
        </w:tc>
        <w:tc>
          <w:tcPr>
            <w:tcW w:w="20" w:type="dxa"/>
            <w:vAlign w:val="bottom"/>
          </w:tcPr>
          <w:p>
            <w:pPr>
              <w:spacing w:after="0"/>
              <w:rPr>
                <w:sz w:val="18"/>
                <w:szCs w:val="18"/>
                <w:color w:val="auto"/>
              </w:rPr>
            </w:pPr>
          </w:p>
        </w:tc>
      </w:tr>
      <w:tr>
        <w:trPr>
          <w:trHeight w:val="216"/>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40" w:type="dxa"/>
            <w:vAlign w:val="bottom"/>
            <w:gridSpan w:val="3"/>
          </w:tcPr>
          <w:p>
            <w:pPr>
              <w:jc w:val="center"/>
              <w:ind w:right="1180"/>
              <w:spacing w:after="0"/>
              <w:rPr>
                <w:sz w:val="20"/>
                <w:szCs w:val="20"/>
                <w:color w:val="auto"/>
              </w:rPr>
            </w:pPr>
            <w:r>
              <w:rPr>
                <w:rFonts w:ascii="Arial" w:cs="Arial" w:eastAsia="Arial" w:hAnsi="Arial"/>
                <w:sz w:val="18"/>
                <w:szCs w:val="18"/>
                <w:color w:val="auto"/>
                <w:w w:val="91"/>
              </w:rPr>
              <w:t>(Commission</w:t>
            </w:r>
          </w:p>
        </w:tc>
        <w:tc>
          <w:tcPr>
            <w:tcW w:w="480" w:type="dxa"/>
            <w:vAlign w:val="bottom"/>
          </w:tcPr>
          <w:p>
            <w:pPr>
              <w:spacing w:after="0"/>
              <w:rPr>
                <w:sz w:val="18"/>
                <w:szCs w:val="18"/>
                <w:color w:val="auto"/>
              </w:rPr>
            </w:pPr>
          </w:p>
        </w:tc>
        <w:tc>
          <w:tcPr>
            <w:tcW w:w="28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(I.R.S. Employer</w:t>
            </w:r>
          </w:p>
        </w:tc>
      </w:tr>
      <w:tr>
        <w:trPr>
          <w:trHeight w:val="230"/>
        </w:trPr>
        <w:tc>
          <w:tcPr>
            <w:tcW w:w="1200" w:type="dxa"/>
            <w:vAlign w:val="bottom"/>
          </w:tcPr>
          <w:p>
            <w:pPr>
              <w:spacing w:after="0"/>
              <w:rPr>
                <w:sz w:val="20"/>
                <w:szCs w:val="20"/>
                <w:color w:val="auto"/>
              </w:rPr>
            </w:pPr>
          </w:p>
        </w:tc>
        <w:tc>
          <w:tcPr>
            <w:tcW w:w="2540" w:type="dxa"/>
            <w:vAlign w:val="bottom"/>
            <w:gridSpan w:val="2"/>
          </w:tcPr>
          <w:p>
            <w:pPr>
              <w:jc w:val="center"/>
              <w:ind w:right="1200"/>
              <w:spacing w:after="0"/>
              <w:rPr>
                <w:sz w:val="20"/>
                <w:szCs w:val="20"/>
                <w:color w:val="auto"/>
              </w:rPr>
            </w:pPr>
            <w:r>
              <w:rPr>
                <w:rFonts w:ascii="Arial" w:cs="Arial" w:eastAsia="Arial" w:hAnsi="Arial"/>
                <w:sz w:val="18"/>
                <w:szCs w:val="18"/>
                <w:color w:val="auto"/>
                <w:w w:val="93"/>
              </w:rPr>
              <w:t>of incorporation)</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4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File Number)</w:t>
            </w:r>
          </w:p>
        </w:tc>
        <w:tc>
          <w:tcPr>
            <w:tcW w:w="480" w:type="dxa"/>
            <w:vAlign w:val="bottom"/>
          </w:tcPr>
          <w:p>
            <w:pPr>
              <w:spacing w:after="0"/>
              <w:rPr>
                <w:sz w:val="20"/>
                <w:szCs w:val="20"/>
                <w:color w:val="auto"/>
              </w:rPr>
            </w:pP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2"/>
              </w:rPr>
              <w:t>12367 Crosthwaite Circle, Poway, California</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gridSpan w:val="2"/>
          </w:tcPr>
          <w:p>
            <w:pPr>
              <w:jc w:val="center"/>
              <w:ind w:left="390"/>
              <w:spacing w:after="0"/>
              <w:rPr>
                <w:sz w:val="20"/>
                <w:szCs w:val="20"/>
                <w:color w:val="auto"/>
              </w:rPr>
            </w:pPr>
            <w:r>
              <w:rPr>
                <w:rFonts w:ascii="Arial" w:cs="Arial" w:eastAsia="Arial" w:hAnsi="Arial"/>
                <w:sz w:val="18"/>
                <w:szCs w:val="18"/>
                <w:color w:val="auto"/>
                <w:w w:val="87"/>
              </w:rPr>
              <w:t>92064</w:t>
            </w:r>
          </w:p>
        </w:tc>
        <w:tc>
          <w:tcPr>
            <w:tcW w:w="20" w:type="dxa"/>
            <w:vAlign w:val="bottom"/>
          </w:tcPr>
          <w:p>
            <w:pPr>
              <w:spacing w:after="0"/>
              <w:rPr>
                <w:sz w:val="24"/>
                <w:szCs w:val="24"/>
                <w:color w:val="auto"/>
              </w:rPr>
            </w:pPr>
          </w:p>
        </w:tc>
      </w:tr>
      <w:tr>
        <w:trPr>
          <w:trHeight w:val="216"/>
        </w:trPr>
        <w:tc>
          <w:tcPr>
            <w:tcW w:w="3740" w:type="dxa"/>
            <w:vAlign w:val="bottom"/>
            <w:gridSpan w:val="3"/>
          </w:tcPr>
          <w:p>
            <w:pPr>
              <w:jc w:val="right"/>
              <w:ind w:right="380"/>
              <w:spacing w:after="0"/>
              <w:rPr>
                <w:sz w:val="20"/>
                <w:szCs w:val="20"/>
                <w:color w:val="auto"/>
              </w:rPr>
            </w:pPr>
            <w:r>
              <w:rPr>
                <w:rFonts w:ascii="Arial" w:cs="Arial" w:eastAsia="Arial" w:hAnsi="Arial"/>
                <w:sz w:val="18"/>
                <w:szCs w:val="18"/>
                <w:color w:val="auto"/>
              </w:rPr>
              <w:t>_________________________________</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___________</w:t>
            </w:r>
          </w:p>
        </w:tc>
        <w:tc>
          <w:tcPr>
            <w:tcW w:w="20" w:type="dxa"/>
            <w:vAlign w:val="bottom"/>
          </w:tcPr>
          <w:p>
            <w:pPr>
              <w:spacing w:after="0"/>
              <w:rPr>
                <w:sz w:val="18"/>
                <w:szCs w:val="18"/>
                <w:color w:val="auto"/>
              </w:rPr>
            </w:pPr>
          </w:p>
        </w:tc>
      </w:tr>
      <w:tr>
        <w:trPr>
          <w:trHeight w:val="230"/>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(Zip Code)</w:t>
            </w:r>
          </w:p>
        </w:tc>
      </w:tr>
      <w:tr>
        <w:trPr>
          <w:trHeight w:val="418"/>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0"/>
              </w:rPr>
              <w:t>Registrant’s telephone number, including area</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858-848-8100</w:t>
            </w:r>
          </w:p>
        </w:tc>
        <w:tc>
          <w:tcPr>
            <w:tcW w:w="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2540" w:type="dxa"/>
            <w:vAlign w:val="bottom"/>
            <w:gridSpan w:val="2"/>
          </w:tcPr>
          <w:p>
            <w:pPr>
              <w:jc w:val="center"/>
              <w:ind w:right="1180"/>
              <w:spacing w:after="0"/>
              <w:rPr>
                <w:sz w:val="20"/>
                <w:szCs w:val="20"/>
                <w:color w:val="auto"/>
              </w:rPr>
            </w:pPr>
            <w:r>
              <w:rPr>
                <w:rFonts w:ascii="Arial" w:cs="Arial" w:eastAsia="Arial" w:hAnsi="Arial"/>
                <w:sz w:val="18"/>
                <w:szCs w:val="18"/>
                <w:color w:val="auto"/>
                <w:w w:val="90"/>
              </w:rPr>
              <w:t>code:</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40" w:type="dxa"/>
            <w:vAlign w:val="bottom"/>
            <w:gridSpan w:val="3"/>
          </w:tcPr>
          <w:p>
            <w:pPr>
              <w:jc w:val="center"/>
              <w:ind w:right="1200"/>
              <w:spacing w:after="0"/>
              <w:rPr>
                <w:sz w:val="20"/>
                <w:szCs w:val="20"/>
                <w:color w:val="auto"/>
              </w:rPr>
            </w:pPr>
            <w:r>
              <w:rPr>
                <w:rFonts w:ascii="Arial" w:cs="Arial" w:eastAsia="Arial" w:hAnsi="Arial"/>
                <w:sz w:val="18"/>
                <w:szCs w:val="18"/>
                <w:color w:val="auto"/>
                <w:w w:val="94"/>
              </w:rPr>
              <w:t>Not Applicable</w:t>
            </w: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Borders>
              <w:bottom w:val="single" w:sz="8" w:color="auto"/>
            </w:tcBorders>
            <w:gridSpan w:val="2"/>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740" w:type="dxa"/>
            <w:vAlign w:val="bottom"/>
            <w:gridSpan w:val="5"/>
          </w:tcPr>
          <w:p>
            <w:pPr>
              <w:jc w:val="center"/>
              <w:spacing w:after="0" w:line="195" w:lineRule="exact"/>
              <w:rPr>
                <w:sz w:val="20"/>
                <w:szCs w:val="20"/>
                <w:color w:val="auto"/>
              </w:rPr>
            </w:pPr>
            <w:r>
              <w:rPr>
                <w:rFonts w:ascii="Arial" w:cs="Arial" w:eastAsia="Arial" w:hAnsi="Arial"/>
                <w:sz w:val="18"/>
                <w:szCs w:val="18"/>
                <w:color w:val="auto"/>
                <w:w w:val="89"/>
              </w:rPr>
              <w:t>Former name or former address, if changed since</w:t>
            </w:r>
          </w:p>
        </w:tc>
        <w:tc>
          <w:tcPr>
            <w:tcW w:w="4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4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last report</w:t>
            </w:r>
          </w:p>
        </w:tc>
        <w:tc>
          <w:tcPr>
            <w:tcW w:w="4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48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1200" w:type="dxa"/>
            <w:vAlign w:val="bottom"/>
          </w:tcPr>
          <w:p>
            <w:pPr>
              <w:spacing w:after="0"/>
              <w:rPr>
                <w:sz w:val="24"/>
                <w:szCs w:val="24"/>
                <w:color w:val="auto"/>
              </w:rPr>
            </w:pPr>
          </w:p>
        </w:tc>
        <w:tc>
          <w:tcPr>
            <w:tcW w:w="2540" w:type="dxa"/>
            <w:vAlign w:val="bottom"/>
            <w:gridSpan w:val="2"/>
          </w:tcPr>
          <w:p>
            <w:pPr>
              <w:jc w:val="center"/>
              <w:ind w:right="1180"/>
              <w:spacing w:after="0"/>
              <w:rPr>
                <w:sz w:val="20"/>
                <w:szCs w:val="20"/>
                <w:color w:val="auto"/>
              </w:rPr>
            </w:pPr>
            <w:r>
              <w:rPr>
                <w:rFonts w:ascii="Arial" w:cs="Arial" w:eastAsia="Arial" w:hAnsi="Arial"/>
                <w:sz w:val="18"/>
                <w:szCs w:val="18"/>
                <w:color w:val="auto"/>
                <w:w w:val="90"/>
              </w:rPr>
              <w:t>Title of Each Class</w:t>
            </w:r>
          </w:p>
        </w:tc>
        <w:tc>
          <w:tcPr>
            <w:tcW w:w="480" w:type="dxa"/>
            <w:vAlign w:val="bottom"/>
          </w:tcPr>
          <w:p>
            <w:pPr>
              <w:spacing w:after="0"/>
              <w:rPr>
                <w:sz w:val="24"/>
                <w:szCs w:val="24"/>
                <w:color w:val="auto"/>
              </w:rPr>
            </w:pPr>
          </w:p>
        </w:tc>
        <w:tc>
          <w:tcPr>
            <w:tcW w:w="3260" w:type="dxa"/>
            <w:vAlign w:val="bottom"/>
            <w:gridSpan w:val="4"/>
          </w:tcPr>
          <w:p>
            <w:pPr>
              <w:jc w:val="center"/>
              <w:ind w:right="460"/>
              <w:spacing w:after="0"/>
              <w:rPr>
                <w:sz w:val="20"/>
                <w:szCs w:val="20"/>
                <w:color w:val="auto"/>
              </w:rPr>
            </w:pPr>
            <w:r>
              <w:rPr>
                <w:rFonts w:ascii="Arial" w:cs="Arial" w:eastAsia="Arial" w:hAnsi="Arial"/>
                <w:sz w:val="18"/>
                <w:szCs w:val="18"/>
                <w:color w:val="auto"/>
                <w:w w:val="92"/>
              </w:rPr>
              <w:t>Trading Symbol(s)</w:t>
            </w:r>
          </w:p>
        </w:tc>
        <w:tc>
          <w:tcPr>
            <w:tcW w:w="480" w:type="dxa"/>
            <w:vAlign w:val="bottom"/>
          </w:tcPr>
          <w:p>
            <w:pPr>
              <w:spacing w:after="0"/>
              <w:rPr>
                <w:sz w:val="24"/>
                <w:szCs w:val="24"/>
                <w:color w:val="auto"/>
              </w:rPr>
            </w:pP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1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$1.00 par value</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40" w:type="dxa"/>
            <w:vAlign w:val="bottom"/>
            <w:gridSpan w:val="3"/>
          </w:tcPr>
          <w:p>
            <w:pPr>
              <w:jc w:val="center"/>
              <w:ind w:right="1180"/>
              <w:spacing w:after="0"/>
              <w:rPr>
                <w:sz w:val="20"/>
                <w:szCs w:val="20"/>
                <w:color w:val="auto"/>
              </w:rPr>
            </w:pPr>
            <w:r>
              <w:rPr>
                <w:rFonts w:ascii="Arial" w:cs="Arial" w:eastAsia="Arial" w:hAnsi="Arial"/>
                <w:sz w:val="18"/>
                <w:szCs w:val="18"/>
                <w:color w:val="auto"/>
                <w:w w:val="98"/>
              </w:rPr>
              <w:t>COHU</w:t>
            </w:r>
          </w:p>
        </w:tc>
        <w:tc>
          <w:tcPr>
            <w:tcW w:w="480" w:type="dxa"/>
            <w:vAlign w:val="bottom"/>
          </w:tcPr>
          <w:p>
            <w:pPr>
              <w:spacing w:after="0"/>
              <w:rPr>
                <w:sz w:val="20"/>
                <w:szCs w:val="20"/>
                <w:color w:val="auto"/>
              </w:rPr>
            </w:pPr>
          </w:p>
        </w:tc>
        <w:tc>
          <w:tcPr>
            <w:tcW w:w="282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On April 28, 2022, Cohu, Inc. (the “Company”) issued a press release regarding its financial results for the first quarter ended March 26, 2022. The Company’s press release is attached as Exhibit 99.1 to this Current Report on Form 8-K and incorporated by reference herein.</w:t>
      </w:r>
    </w:p>
    <w:p>
      <w:pPr>
        <w:spacing w:after="0" w:line="146"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Included within this current report are non-GAAP financial measures, including non-GAAP Gross Margin/Profit, Income and Income (adjusted earnings) per share, Operating Income, Operating Expense, effective tax rate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loss on sale of business, employer payroll taxes related to accelerated vesting share-based awards, depreciation of purchase accounting adjustments to property, plant and equipment, reduction of indemnification receivable, amortization of cloud-based software implementation costs (Adjusted EBITDA only) and gain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current report may be considered forward-looking statements within the meaning of the U.S. Private Securities Litigation Reform Act of 1995, including statements regarding tester design wins, record backlog expected to ship over multiple quarters, estimated test cell utilization, increasing demand for our products, opportunities for our Diamondx tester and Neon inspection &amp; metrology technology, expansion in test interface products, ongoing qualifications for DI-Core, broadening the tester addressable market, on pace to achieve our mid-term financial targets (mid-term means a 3-5 year time horizon), Cohu’s FY2022 outlook, % of incremental revenue expected to fall to operating income, estimated systems versus recurring sales, Cohu’s second quarter 2022 sales forecast, guidance, sales mix, non-GAAP operating expenses, gross margin, operating income, adjusted EBITDA, effective tax rate, free cash flow, cap ex, cash and shares outstanding, estimated minimum cash needed, estimated EBITDA breakeven point,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t>Actual results, including our 2022 and mid-term results, and future business conditions could differ materially from those contained in any forward-looking statement as a result of various factors, including, without limitation: political and economic instability and adverse worldwide impacts resulting from the military incursion into Ukraine by Russia; the ongoing global COVID-19 pandemic and its impact on our operations and the operations of our key suppliers, customers and other business partners; we are making investments in new products and product enhancements, which may adversely affect our operating results and these investments may not be commercially successful; we have manufacturing operations in Asia and any failure to effectively manage multiple manufacturing sites and to secure raw materials meeting our quality, cost and other requirements, or failures by our suppliers to perform, could harm our sales, service levels and reputation; any failure to perform or unexpected downtime experienced by our sole contract manufacturer for certain semiconductor automated test equipment; any failure of critical suppliers to deliver sufficient quantities of parts in a timely and cost-effective manner; we may not be able to increase prices to fully offset inflationary pressures on costs, such as raw and packaging materials, components and subassemblies, labor and distribution costs; the semiconductor industry we serve is seasonal, cyclical,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inherent uncertainty of backlog wherein customers may delay shipments or cancel orders; majority of our revenues are generated from exports to foreign countries, primarily in Asia, that are subject to economic and political instability and we compete against a number of Asia-based test contactor, test handler and automated test equipment suppliers; we are exposed to the risks of operating in certain foreign locations from where Cohu manufactures certain products, and supports our sales and services to the global semiconductor industry; increasingly restrictive trade and export regulations may materially harm or limit Cohu’s business and ability to sell its products; the remaining indebtedness in connection with our financing of the Xcerra acquisition may have an adverse impact on Cohu’s liquidity, access to capital and business flexibility; we are exposed to other risks associated with additional potential acquisitions, investments and divestitures such as integration difficulties, disruption to our core business, dilution of stockholder value, and diversion of management attention; our financial and operating results may vary and fall below analysts’ estimates, or credit rating agencies may change their ratings on Cohu, any of which may cause the price of our common stock to decline or make it difficult to obtain other financing; we have experienced significant volatility in our stock price; there may be changes in, and uncertainty with respect to, legislation, regulation and governmental policy in the United States; and impacts in the event of a cybersecurity breach.</w:t>
      </w:r>
    </w:p>
    <w:p>
      <w:pPr>
        <w:spacing w:after="0" w:line="3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990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ind w:right="5980"/>
        <w:spacing w:after="0" w:line="50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First Quarter 2022 Earnings Release, dated April 28, 2022, of Cohu, Inc.</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Exhibit No. - 104</w:t>
      </w:r>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180" w:val="left"/>
          <w:tab w:leader="none" w:pos="7480" w:val="left"/>
        </w:tabs>
        <w:rPr>
          <w:sz w:val="20"/>
          <w:szCs w:val="20"/>
          <w:color w:val="auto"/>
        </w:rPr>
      </w:pPr>
      <w:r>
        <w:rPr>
          <w:rFonts w:ascii="Arial" w:cs="Arial" w:eastAsia="Arial" w:hAnsi="Arial"/>
          <w:sz w:val="18"/>
          <w:szCs w:val="18"/>
          <w:color w:val="auto"/>
        </w:rPr>
        <w:t>April 28, 2022</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39" w:lineRule="exact"/>
        <w:rPr>
          <w:sz w:val="20"/>
          <w:szCs w:val="20"/>
          <w:color w:val="auto"/>
        </w:rPr>
      </w:pPr>
    </w:p>
    <w:p>
      <w:pPr>
        <w:ind w:left="736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Title: Senior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60" w:type="dxa"/>
            <w:vAlign w:val="bottom"/>
          </w:tcPr>
          <w:p>
            <w:pPr>
              <w:ind w:left="2060"/>
              <w:spacing w:after="0"/>
              <w:rPr>
                <w:sz w:val="20"/>
                <w:szCs w:val="20"/>
                <w:color w:val="auto"/>
              </w:rPr>
            </w:pPr>
            <w:r>
              <w:rPr>
                <w:rFonts w:ascii="Arial" w:cs="Arial" w:eastAsia="Arial" w:hAnsi="Arial"/>
                <w:sz w:val="18"/>
                <w:szCs w:val="18"/>
                <w:color w:val="auto"/>
              </w:rPr>
              <w:t>Exhibit Index</w:t>
            </w:r>
          </w:p>
        </w:tc>
      </w:tr>
      <w:tr>
        <w:trPr>
          <w:trHeight w:val="432"/>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4"/>
                <w:szCs w:val="24"/>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First Quarter 2022 Earnings Release, dated April 28, 2022, of Cohu, Inc.</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584"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168910</wp:posOffset>
            </wp:positionV>
            <wp:extent cx="3848735" cy="814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4873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-121920</wp:posOffset>
            </wp:positionV>
            <wp:extent cx="26035" cy="82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35" cy="822960"/>
                    </a:xfrm>
                    <a:prstGeom prst="rect">
                      <a:avLst/>
                    </a:prstGeom>
                    <a:noFill/>
                  </pic:spPr>
                </pic:pic>
              </a:graphicData>
            </a:graphic>
          </wp:anchor>
        </w:drawing>
      </w:r>
    </w:p>
    <w:p>
      <w:pPr>
        <w:spacing w:after="0" w:line="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www.cohu.com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First Quarter 2022 Results</w:t>
      </w:r>
    </w:p>
    <w:p>
      <w:pPr>
        <w:spacing w:after="0" w:line="229" w:lineRule="exact"/>
        <w:rPr>
          <w:sz w:val="20"/>
          <w:szCs w:val="20"/>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First quarter revenue $197.8 million, up 3.1% quarter-over-quarter</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Gross margin of 46.1%; non-GAAP gross margin of 46.1%</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$45 million incremental design-win orders from tester market diversification</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Record order backlog expected to ship over multiple quarters</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POWAY, Calif., April 28, 2022 -- Cohu, Inc. (NASDAQ: COHU), a global leader in back-end semiconductor equipment and services, today reported fiscal 2022 first quarter net sales of $197.8 million and GAAP income of $21.6 million or $0.44 per share. Cohu also reported first quarter 2022 non-GAAP income of $32.6 million or $0.66 per share.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448"/>
        </w:trPr>
        <w:tc>
          <w:tcPr>
            <w:tcW w:w="61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b w:val="1"/>
                <w:bCs w:val="1"/>
                <w:color w:val="auto"/>
              </w:rPr>
              <w:t>GAAP Results</w:t>
            </w:r>
          </w:p>
        </w:tc>
        <w:tc>
          <w:tcPr>
            <w:tcW w:w="1480" w:type="dxa"/>
            <w:vAlign w:val="bottom"/>
            <w:tcBorders>
              <w:top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Q1 FY 2022</w:t>
            </w: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Q4 FY 2021</w:t>
            </w:r>
          </w:p>
        </w:tc>
        <w:tc>
          <w:tcPr>
            <w:tcW w:w="22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gridSpan w:val="2"/>
            <w:vMerge w:val="restart"/>
          </w:tcPr>
          <w:p>
            <w:pPr>
              <w:ind w:left="300"/>
              <w:spacing w:after="0"/>
              <w:rPr>
                <w:sz w:val="20"/>
                <w:szCs w:val="20"/>
                <w:color w:val="auto"/>
              </w:rPr>
            </w:pPr>
            <w:r>
              <w:rPr>
                <w:rFonts w:ascii="Arial" w:cs="Arial" w:eastAsia="Arial" w:hAnsi="Arial"/>
                <w:sz w:val="18"/>
                <w:szCs w:val="18"/>
                <w:b w:val="1"/>
                <w:bCs w:val="1"/>
                <w:color w:val="auto"/>
              </w:rPr>
              <w:t>Q1 FY 2021</w:t>
            </w:r>
          </w:p>
        </w:tc>
        <w:tc>
          <w:tcPr>
            <w:tcW w:w="0" w:type="dxa"/>
            <w:vAlign w:val="bottom"/>
          </w:tcPr>
          <w:p>
            <w:pPr>
              <w:spacing w:after="0"/>
              <w:rPr>
                <w:sz w:val="1"/>
                <w:szCs w:val="1"/>
                <w:color w:val="auto"/>
              </w:rPr>
            </w:pPr>
          </w:p>
        </w:tc>
      </w:tr>
      <w:tr>
        <w:trPr>
          <w:trHeight w:val="217"/>
        </w:trPr>
        <w:tc>
          <w:tcPr>
            <w:tcW w:w="616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amounts)</w:t>
            </w:r>
          </w:p>
        </w:tc>
        <w:tc>
          <w:tcPr>
            <w:tcW w:w="1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left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$197.8</w:t>
            </w:r>
          </w:p>
        </w:tc>
        <w:tc>
          <w:tcPr>
            <w:tcW w:w="17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0"/>
              </w:rPr>
              <w:t>$191.9</w:t>
            </w:r>
          </w:p>
        </w:tc>
        <w:tc>
          <w:tcPr>
            <w:tcW w:w="1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$225.5</w:t>
            </w:r>
          </w:p>
        </w:tc>
        <w:tc>
          <w:tcPr>
            <w:tcW w:w="1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Net income</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8"/>
              </w:rPr>
              <w:t>$21.6</w:t>
            </w:r>
          </w:p>
        </w:tc>
        <w:tc>
          <w:tcPr>
            <w:tcW w:w="172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$20.9</w:t>
            </w:r>
          </w:p>
        </w:tc>
        <w:tc>
          <w:tcPr>
            <w:tcW w:w="174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$27.6</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income per share</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$0.44</w:t>
            </w:r>
          </w:p>
        </w:tc>
        <w:tc>
          <w:tcPr>
            <w:tcW w:w="17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3"/>
              </w:rPr>
              <w:t>$0.42</w:t>
            </w:r>
          </w:p>
        </w:tc>
        <w:tc>
          <w:tcPr>
            <w:tcW w:w="17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$0.61</w:t>
            </w:r>
          </w:p>
        </w:tc>
        <w:tc>
          <w:tcPr>
            <w:tcW w:w="1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tcBorders>
              <w:left w:val="single" w:sz="8" w:color="auto"/>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61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Non-GAAP Results</w:t>
            </w:r>
          </w:p>
        </w:tc>
        <w:tc>
          <w:tcPr>
            <w:tcW w:w="1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Q1 FY 2022</w:t>
            </w:r>
          </w:p>
        </w:tc>
        <w:tc>
          <w:tcPr>
            <w:tcW w:w="220" w:type="dxa"/>
            <w:vAlign w:val="bottom"/>
          </w:tcPr>
          <w:p>
            <w:pPr>
              <w:spacing w:after="0"/>
              <w:rPr>
                <w:sz w:val="24"/>
                <w:szCs w:val="24"/>
                <w:color w:val="auto"/>
              </w:rPr>
            </w:pPr>
          </w:p>
        </w:tc>
        <w:tc>
          <w:tcPr>
            <w:tcW w:w="150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Q4 FY 2021</w:t>
            </w:r>
          </w:p>
        </w:tc>
        <w:tc>
          <w:tcPr>
            <w:tcW w:w="220" w:type="dxa"/>
            <w:vAlign w:val="bottom"/>
          </w:tcPr>
          <w:p>
            <w:pPr>
              <w:spacing w:after="0"/>
              <w:rPr>
                <w:sz w:val="24"/>
                <w:szCs w:val="24"/>
                <w:color w:val="auto"/>
              </w:rPr>
            </w:pPr>
          </w:p>
        </w:tc>
        <w:tc>
          <w:tcPr>
            <w:tcW w:w="166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8"/>
                <w:szCs w:val="18"/>
                <w:b w:val="1"/>
                <w:bCs w:val="1"/>
                <w:color w:val="auto"/>
              </w:rPr>
              <w:t>Q1 FY 2021</w:t>
            </w:r>
          </w:p>
        </w:tc>
        <w:tc>
          <w:tcPr>
            <w:tcW w:w="0" w:type="dxa"/>
            <w:vAlign w:val="bottom"/>
          </w:tcPr>
          <w:p>
            <w:pPr>
              <w:spacing w:after="0"/>
              <w:rPr>
                <w:sz w:val="1"/>
                <w:szCs w:val="1"/>
                <w:color w:val="auto"/>
              </w:rPr>
            </w:pPr>
          </w:p>
        </w:tc>
      </w:tr>
      <w:tr>
        <w:trPr>
          <w:trHeight w:val="217"/>
        </w:trPr>
        <w:tc>
          <w:tcPr>
            <w:tcW w:w="616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amounts)</w:t>
            </w:r>
          </w:p>
        </w:tc>
        <w:tc>
          <w:tcPr>
            <w:tcW w:w="1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left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$32.6</w:t>
            </w:r>
          </w:p>
        </w:tc>
        <w:tc>
          <w:tcPr>
            <w:tcW w:w="17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3"/>
              </w:rPr>
              <w:t>$35.6</w:t>
            </w:r>
          </w:p>
        </w:tc>
        <w:tc>
          <w:tcPr>
            <w:tcW w:w="17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$40.6</w:t>
            </w:r>
          </w:p>
        </w:tc>
        <w:tc>
          <w:tcPr>
            <w:tcW w:w="1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Net income per share</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88"/>
              </w:rPr>
              <w:t>$0.66</w:t>
            </w:r>
          </w:p>
        </w:tc>
        <w:tc>
          <w:tcPr>
            <w:tcW w:w="172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$0.72</w:t>
            </w:r>
          </w:p>
        </w:tc>
        <w:tc>
          <w:tcPr>
            <w:tcW w:w="174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$0.89</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60" w:type="dxa"/>
            <w:vAlign w:val="bottom"/>
            <w:tcBorders>
              <w:left w:val="single" w:sz="8" w:color="auto"/>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-1561465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-1287145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-284480</wp:posOffset>
            </wp:positionV>
            <wp:extent cx="711517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178"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Total cash and investments at the end of first quarter 2022 were $358.6 million and our Term Loan B principal amount was $95.3 million. Cohu repurchased 213,706 shares of its common stock in the first quarter for an aggregate amount of approximately $6.4 million.</w:t>
      </w:r>
    </w:p>
    <w:p>
      <w:pPr>
        <w:spacing w:after="0" w:line="146"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“Cohu started 2022 on a strong note with revenue, gross margin and profitability exceeding expectations driven by customer acquisitions and effective supply chain management. Backlog is at record level after another strong booking quarter highlighted by key design-wins by our tester business in late 2021,” said Cohu President and CEO Luis Müller. “We are encouraged by the progress of our contactor manufacturing insourcing and the broadening of Cohu’s tester addressable market. We remain on pace to achieve our mid-term targets of 25% non-GAAP operating income at $1 billion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Cohu expects second quarter 2022 sales to be between $205 million and $221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will host a live conference call and webcast with slides to discuss first quarter 2022 results at 1:30 p.m. Pacific Time/4:30 p.m. Eastern Time on April 28, 2022. Interested investors and analysts are invited to dial into the conference call by using 1-866-434-5330 (domestic) or +1-213-660-0873 (international) and entering the pass code 3589745. Webcast access will be available on the Investor Information section of the Company’s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Included within this press release and accompanying materials are non-GAAP financial measures, including non-GAAP Gross Margin/Profit, Income and Income (adjusted earnings) per share, Operating Income, Operating Expense, effective tax rate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loss on sale of business, employer payroll taxes related to accelerated vesting share-based awards, depreciation of purchase accounting adjustments to property, plant and equipment, reduction of indemnification receivable, amortization of cloud-based software implementation costs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and gain (loss) on extinguishment of debt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contained in this release and accompanying materials may be considered forward-looking statements within the meaning of the U.S. Private Securities Litigation Reform Act of 1995, including statements regarding tester design wins, record backlog expected to ship over multiple quarters, estimated test cell utilization, increasing demand for our products, opportunities for our Diamondx tester and Neon inspection &amp; metrology technology, expansion in test interface products, ongoing qualifications for DI-Core, broadening the tester addressable market, on pace to achieve our mid-term financial targets (mid-term means a 3-5 year time horizon), Cohu’s FY2022 outlook, % of incremental revenue expected to fall to operating income, estimated systems versus recurring sales, Cohu’s second quarter 2022 sales forecast, guidance, sales mix, non-GAAP operating expenses, gross margin, operating income, adjusted EBITDA, effective tax rate, free cash flow, cap ex, cash and shares outstanding, estimated minimum cash needed, estimated EBITDA breakeven point,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t>Actual results, including our 2022 and mid-term results, and future business conditions could differ materially from those contained in any forward-looking statement as a result of various factors, including, without limitation: political and economic instability and adverse worldwide impacts resulting from the military incursion into Ukraine by Russia; the ongoing global COVID-19 pandemic and its impact on our operations and the operations of our key suppliers, customers and other business partners; we are making investments in new products and product enhancements, which may adversely affect our operating results and these investments may not be commercially successful; we have manufacturing operations in Asia and any failure to effectively manage multiple manufacturing sites and to secure raw materials meeting our quality, cost and other requirements, or failures by our suppliers to perform, could harm our sales, service levels and reputation; any failure to perform or unexpected downtime experienced by our sole contract manufacturer for certain semiconductor automated test equipment; any failure of critical suppliers to deliver sufficient quantities of parts in a timely and cost-effective manner; we may not be able to increase prices to fully offset inflationary pressures on costs, such as raw and packaging materials, components and subassemblies, labor and distribution costs; the semiconductor industry we serve is seasonal, cyclical,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inherent uncertainty of backlog wherein customers may delay shipments or cancel orders; majority of our revenues are generated from exports to foreign countries, primarily in Asia, that are subject to economic and political instability and we compete against a number of Asia-based test contactor, test handler and automated test equipment suppliers; we are exposed to the risks of operating in certain foreign locations from where Cohu manufactures certain products, and supports our sales and services to the global semiconductor industry; increasingly restrictive trade and export regulations may materially harm or limit Cohu’s business and ability to sell its products; the remaining indebtedness in connection with our financing of the Xcerra acquisition may have an adverse impact on Cohu’s liquidity, access to capital and business flexibility; we are exposed to other risks associated with additional potential acquisitions, investments and divestitures such as integration difficulties, disruption to our core business, dilution of stockholder value, and diversion of management attention; our financial and operating results may vary and fall below analysts’ estimates, or credit rating agencies may change their ratings on Cohu, any of which may cause the price of our common stock to decline or make it difficult to obtain other financing; we have experienced significant volatility in our stock price; there may be changes in, and uncertainty with respect to, legislation, regulation and governmental policy in the United States; and impacts in the event of a cybersecurity breach.</w:t>
      </w:r>
    </w:p>
    <w:p>
      <w:pPr>
        <w:spacing w:after="0" w:line="3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7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6"/>
          </w:tcPr>
          <w:p>
            <w:pPr>
              <w:jc w:val="right"/>
              <w:ind w:right="840"/>
              <w:spacing w:after="0"/>
              <w:rPr>
                <w:sz w:val="20"/>
                <w:szCs w:val="20"/>
                <w:color w:val="auto"/>
              </w:rPr>
            </w:pPr>
            <w:r>
              <w:rPr>
                <w:rFonts w:ascii="Arial" w:cs="Arial" w:eastAsia="Arial" w:hAnsi="Arial"/>
                <w:sz w:val="18"/>
                <w:szCs w:val="18"/>
                <w:color w:val="auto"/>
              </w:rPr>
              <w:t xml:space="preserve">Three Months Ended </w:t>
            </w:r>
            <w:r>
              <w:rPr>
                <w:rFonts w:ascii="Arial" w:cs="Arial" w:eastAsia="Arial" w:hAnsi="Arial"/>
                <w:sz w:val="29"/>
                <w:szCs w:val="29"/>
                <w:color w:val="auto"/>
                <w:vertAlign w:val="superscript"/>
              </w:rPr>
              <w:t>(1)</w:t>
            </w:r>
          </w:p>
        </w:tc>
      </w:tr>
      <w:tr>
        <w:trPr>
          <w:trHeight w:val="229"/>
        </w:trPr>
        <w:tc>
          <w:tcPr>
            <w:tcW w:w="7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March 27,</w:t>
            </w:r>
          </w:p>
        </w:tc>
      </w:tr>
      <w:tr>
        <w:trPr>
          <w:trHeight w:val="234"/>
        </w:trPr>
        <w:tc>
          <w:tcPr>
            <w:tcW w:w="7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10"/>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197,757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225,488</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Cost and expenses: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(excluding amortization)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123,283</w:t>
            </w: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23,106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23,152</w:t>
            </w: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32,624</w:t>
            </w: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8,535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9,244</w:t>
            </w:r>
          </w:p>
        </w:tc>
      </w:tr>
      <w:tr>
        <w:trPr>
          <w:trHeight w:val="216"/>
        </w:trPr>
        <w:tc>
          <w:tcPr>
            <w:tcW w:w="794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Loss on sale of PCB Test business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8"/>
                <w:szCs w:val="18"/>
                <w:color w:val="auto"/>
              </w:rPr>
            </w:pPr>
          </w:p>
        </w:tc>
      </w:tr>
      <w:tr>
        <w:trPr>
          <w:trHeight w:val="210"/>
        </w:trPr>
        <w:tc>
          <w:tcPr>
            <w:tcW w:w="7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170,064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189,758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27,693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35,730</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(2,575)</w:t>
            </w: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Foreign transaction gain (loss)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(1,761)</w:t>
            </w:r>
          </w:p>
        </w:tc>
      </w:tr>
      <w:tr>
        <w:trPr>
          <w:trHeight w:val="209"/>
        </w:trPr>
        <w:tc>
          <w:tcPr>
            <w:tcW w:w="7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operations before taxes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27,863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31,182</w:t>
            </w:r>
          </w:p>
        </w:tc>
        <w:tc>
          <w:tcPr>
            <w:tcW w:w="120" w:type="dxa"/>
            <w:vAlign w:val="bottom"/>
            <w:tcBorders>
              <w:top w:val="single" w:sz="8" w:color="CCEEFF"/>
            </w:tcBorders>
          </w:tcPr>
          <w:p>
            <w:pPr>
              <w:spacing w:after="0"/>
              <w:rPr>
                <w:sz w:val="18"/>
                <w:szCs w:val="18"/>
                <w:color w:val="auto"/>
              </w:rPr>
            </w:pPr>
          </w:p>
        </w:tc>
      </w:tr>
      <w:tr>
        <w:trPr>
          <w:trHeight w:val="21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9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21,569</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27,607</w:t>
            </w:r>
          </w:p>
        </w:tc>
      </w:tr>
      <w:tr>
        <w:trPr>
          <w:trHeight w:val="20"/>
        </w:trPr>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Income per share: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0.44</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0.63</w:t>
            </w:r>
          </w:p>
        </w:tc>
      </w:tr>
      <w:tr>
        <w:trPr>
          <w:trHeight w:val="20"/>
        </w:trPr>
        <w:tc>
          <w:tcPr>
            <w:tcW w:w="7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794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0.44</w:t>
            </w:r>
          </w:p>
        </w:tc>
        <w:tc>
          <w:tcPr>
            <w:tcW w:w="140" w:type="dxa"/>
            <w:vAlign w:val="bottom"/>
          </w:tcPr>
          <w:p>
            <w:pPr>
              <w:spacing w:after="0"/>
              <w:rPr>
                <w:sz w:val="17"/>
                <w:szCs w:val="17"/>
                <w:color w:val="auto"/>
              </w:rPr>
            </w:pPr>
          </w:p>
        </w:tc>
        <w:tc>
          <w:tcPr>
            <w:tcW w:w="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0.61</w:t>
            </w:r>
          </w:p>
        </w:tc>
      </w:tr>
      <w:tr>
        <w:trPr>
          <w:trHeight w:val="20"/>
        </w:trPr>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Weighted average shares used in computing income per share: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48,778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196"/>
        </w:trPr>
        <w:tc>
          <w:tcPr>
            <w:tcW w:w="794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49,569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45,482</w:t>
            </w:r>
          </w:p>
        </w:tc>
      </w:tr>
      <w:tr>
        <w:trPr>
          <w:trHeight w:val="20"/>
        </w:trPr>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three- month periods ended March 26, 2022 and March 27, 2021 were both comprised of 13 weeks.</w:t>
      </w:r>
    </w:p>
    <w:p>
      <w:pPr>
        <w:spacing w:after="0" w:line="252" w:lineRule="exact"/>
        <w:rPr>
          <w:rFonts w:ascii="Arial" w:cs="Arial" w:eastAsia="Arial" w:hAnsi="Arial"/>
          <w:sz w:val="18"/>
          <w:szCs w:val="18"/>
          <w:color w:val="auto"/>
        </w:rPr>
      </w:pPr>
    </w:p>
    <w:p>
      <w:pPr>
        <w:ind w:left="500" w:right="80" w:hanging="330"/>
        <w:spacing w:after="0" w:line="301"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June 24, 2021, the Company completed the divestment of its PCB Test business. The divestment of this business did not qualify for presentation as discontinued operations and the results of the PCB Test business are included in continuing operations for all periods presented. During the three-month period ended March 27, 2021, the Company incurred approximately $0.1 million of costs related to the sale of this business and were previously included in SG&amp;A. With the completion of the sale these amounts have been reclassified to loss on sale of PCB Test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26,</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December 25,</w:t>
            </w:r>
          </w:p>
        </w:tc>
      </w:tr>
      <w:tr>
        <w:trPr>
          <w:trHeight w:val="234"/>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358,570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379,905</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210,742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192,873</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161,053</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22,481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16,962</w:t>
            </w:r>
          </w:p>
        </w:tc>
        <w:tc>
          <w:tcPr>
            <w:tcW w:w="120" w:type="dxa"/>
            <w:vAlign w:val="bottom"/>
          </w:tcPr>
          <w:p>
            <w:pPr>
              <w:spacing w:after="0"/>
              <w:rPr>
                <w:sz w:val="18"/>
                <w:szCs w:val="18"/>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752,156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750,793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63,912</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63,957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216,234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219,791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166,743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177,320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24,870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19,430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22,123</w:t>
            </w:r>
          </w:p>
        </w:tc>
        <w:tc>
          <w:tcPr>
            <w:tcW w:w="120" w:type="dxa"/>
            <w:vAlign w:val="bottom"/>
          </w:tcPr>
          <w:p>
            <w:pPr>
              <w:spacing w:after="0"/>
              <w:rPr>
                <w:sz w:val="18"/>
                <w:szCs w:val="18"/>
                <w:color w:val="auto"/>
              </w:rPr>
            </w:pPr>
          </w:p>
        </w:tc>
      </w:tr>
      <w:tr>
        <w:trPr>
          <w:trHeight w:val="24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1,243,345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1,259,044</w:t>
            </w:r>
          </w:p>
        </w:tc>
      </w:tr>
      <w:tr>
        <w:trPr>
          <w:trHeight w:val="197"/>
        </w:trPr>
        <w:tc>
          <w:tcPr>
            <w:tcW w:w="78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3,059</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4,310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11,338</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11,001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13,208</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159,110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164,854</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176,469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192,459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101,959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103,393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21,782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56,238</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58,650</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886,897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882,502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1,243,345</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1,259,044</w:t>
            </w: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4"/>
        </w:trPr>
        <w:tc>
          <w:tcPr>
            <w:tcW w:w="7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0" w:name="page11"/>
    <w:bookmarkEnd w:id="10"/>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Arial" w:cs="Arial" w:eastAsia="Arial" w:hAnsi="Arial"/>
                <w:sz w:val="18"/>
                <w:szCs w:val="18"/>
                <w:color w:val="auto"/>
                <w:w w:val="99"/>
              </w:rPr>
              <w:t>Three Months Ended</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December 25,</w:t>
            </w:r>
          </w:p>
        </w:tc>
        <w:tc>
          <w:tcPr>
            <w:tcW w:w="24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March 27,</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27,693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35,730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2,329</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8,535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8,246</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Restructuring charges included in operating expenses (d):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COS</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SG&amp;A</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charges (f)</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Loss on sale of PCB Test business (g)</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4,939</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PP&amp;E step-up included in SG&amp;A (h)</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Reduction of indemnification receivable included in SG&amp;A (i)</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Payroll taxes related to accelerated vesting of share-based awards included in</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SG&amp;A (j)</w:t>
            </w:r>
          </w:p>
        </w:tc>
        <w:tc>
          <w:tcPr>
            <w:tcW w:w="2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ind w:left="180"/>
              <w:spacing w:after="0"/>
              <w:rPr>
                <w:sz w:val="20"/>
                <w:szCs w:val="20"/>
                <w:color w:val="auto"/>
              </w:rPr>
            </w:pPr>
            <w:r>
              <w:rPr>
                <w:rFonts w:ascii="Arial" w:cs="Arial" w:eastAsia="Arial" w:hAnsi="Arial"/>
                <w:sz w:val="18"/>
                <w:szCs w:val="18"/>
                <w:color w:val="auto"/>
              </w:rPr>
              <w:t>Income from operations - non-GAAP basis (k)</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40,183</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33,941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50,797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Income from operations - GAAP basis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21,569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20,889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27,607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16,386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15,067</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Tax effect of non-GAAP adjustments (l)</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(1,650)</w:t>
            </w:r>
          </w:p>
        </w:tc>
        <w:tc>
          <w:tcPr>
            <w:tcW w:w="2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non-GAAP basis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32,576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40,629</w:t>
            </w:r>
          </w:p>
        </w:tc>
        <w:tc>
          <w:tcPr>
            <w:tcW w:w="0" w:type="dxa"/>
            <w:vAlign w:val="bottom"/>
          </w:tcPr>
          <w:p>
            <w:pPr>
              <w:spacing w:after="0"/>
              <w:rPr>
                <w:sz w:val="1"/>
                <w:szCs w:val="1"/>
                <w:color w:val="auto"/>
              </w:rPr>
            </w:pPr>
          </w:p>
        </w:tc>
      </w:tr>
      <w:tr>
        <w:trPr>
          <w:trHeight w:val="197"/>
        </w:trPr>
        <w:tc>
          <w:tcPr>
            <w:tcW w:w="6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 per share - diluted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operations per share - diluted (m)</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The impact from the sale of the PCB Test business, impairment charges and reduction of indemnification receivable have been excluded as these amounts are infrequent and are unrelated to the operational performance of Cohu.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PP&amp;E step-up costs have been excluded by management as they are unrelated to the core operating activities of the Company.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0" w:lineRule="exact"/>
        <w:rPr>
          <w:sz w:val="20"/>
          <w:szCs w:val="20"/>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14.0%, 9.1% and 15.8% of net sales, respectively.</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 and the Company’s German operations.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manufacturing and sales transition and severance costs.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impairment charges recorded to adjust IPR&amp;D assets obtained in the acquisition of Xcerra to current fair value.</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impact of the sale of the PCB Test business.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accelerated depreciation from the property, plant &amp; equipment step-up related to the acquisition of Xcerra.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impact of the reduction of an uncertain tax position liability and related indemnification receivable.</w:t>
      </w:r>
    </w:p>
    <w:p>
      <w:pPr>
        <w:spacing w:after="0" w:line="9" w:lineRule="exact"/>
        <w:rPr>
          <w:rFonts w:ascii="Arial" w:cs="Arial" w:eastAsia="Arial" w:hAnsi="Arial"/>
          <w:sz w:val="18"/>
          <w:szCs w:val="18"/>
          <w:color w:val="auto"/>
        </w:rPr>
      </w:pPr>
    </w:p>
    <w:p>
      <w:pPr>
        <w:ind w:left="420" w:right="640" w:hanging="331"/>
        <w:spacing w:after="0" w:line="250"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impact of employer payroll taxes associated with the acceleration of Pascal Rondé share-based awards under the terms of his separation agreement.</w:t>
      </w: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20.3%, 17.7% and 22.5% of net sales, respectively.</w:t>
      </w:r>
    </w:p>
    <w:p>
      <w:pPr>
        <w:sectPr>
          <w:pgSz w:w="11900" w:h="16841" w:orient="portrait"/>
          <w:cols w:equalWidth="0" w:num="1">
            <w:col w:w="11240"/>
          </w:cols>
          <w:pgMar w:left="320" w:top="580" w:right="339" w:bottom="0" w:gutter="0" w:footer="0" w:header="0"/>
        </w:sectPr>
      </w:pPr>
    </w:p>
    <w:bookmarkStart w:id="11" w:name="page12"/>
    <w:bookmarkEnd w:id="11"/>
    <w:p>
      <w:pPr>
        <w:ind w:left="331" w:hanging="331"/>
        <w:spacing w:after="0"/>
        <w:tabs>
          <w:tab w:leader="none" w:pos="331"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adjust the provision for income taxes related to the adjustments described above based on applicable tax rates.</w:t>
      </w:r>
    </w:p>
    <w:p>
      <w:pPr>
        <w:spacing w:after="0" w:line="46" w:lineRule="exact"/>
        <w:rPr>
          <w:rFonts w:ascii="Arial" w:cs="Arial" w:eastAsia="Arial" w:hAnsi="Arial"/>
          <w:sz w:val="16"/>
          <w:szCs w:val="16"/>
          <w:color w:val="auto"/>
        </w:rPr>
      </w:pPr>
    </w:p>
    <w:p>
      <w:pPr>
        <w:ind w:left="331" w:hanging="331"/>
        <w:spacing w:after="0"/>
        <w:tabs>
          <w:tab w:leader="none" w:pos="331"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365760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50"/>
          </w:cols>
          <w:pgMar w:left="409" w:top="125"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COHU, INC.</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00" w:type="dxa"/>
            <w:vAlign w:val="bottom"/>
            <w:gridSpan w:val="4"/>
          </w:tcPr>
          <w:p>
            <w:pPr>
              <w:spacing w:after="0"/>
              <w:rPr>
                <w:sz w:val="20"/>
                <w:szCs w:val="20"/>
                <w:color w:val="auto"/>
              </w:rPr>
            </w:pPr>
            <w:r>
              <w:rPr>
                <w:rFonts w:ascii="Arial" w:cs="Arial" w:eastAsia="Arial" w:hAnsi="Arial"/>
                <w:sz w:val="18"/>
                <w:szCs w:val="18"/>
                <w:b w:val="1"/>
                <w:bCs w:val="1"/>
                <w:color w:val="auto"/>
                <w:w w:val="98"/>
              </w:rPr>
              <w:t>Supplemental Reconciliation of GAAP Results to Non-GAAP Financial Measures (Unaudited)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Three Months Ended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March 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December 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March 27,</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91,156</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84,394</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102,205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Gross profit - Non-GAAP basis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91,126</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84,664</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102,867</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 GAAP Basis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21,569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20,889</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27,607</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6,294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(3,607)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3,219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44,937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38,373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54,083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 GAAP Basis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63,463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61,900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66,360</w:t>
            </w:r>
          </w:p>
        </w:tc>
        <w:tc>
          <w:tcPr>
            <w:tcW w:w="0" w:type="dxa"/>
            <w:vAlign w:val="bottom"/>
          </w:tcPr>
          <w:p>
            <w:pPr>
              <w:spacing w:after="0"/>
              <w:rPr>
                <w:sz w:val="1"/>
                <w:szCs w:val="1"/>
                <w:color w:val="auto"/>
              </w:rPr>
            </w:pP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(12,520)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(11,177)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(14,290)</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 - Non-GAAP basis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0"/>
          <w:szCs w:val="20"/>
          <w:color w:val="auto"/>
        </w:rPr>
      </w:pPr>
    </w:p>
    <w:p>
      <w:pPr>
        <w:ind w:left="300" w:right="900" w:hanging="255"/>
        <w:spacing w:after="0" w:line="258"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amortization of $6,696, $6,376 and $7,101 for the three months ending March 26, 2022, December 25, 2021 and March 27, 2021, respectively.</w:t>
      </w:r>
    </w:p>
    <w:p>
      <w:pPr>
        <w:spacing w:after="0" w:line="1" w:lineRule="exact"/>
        <w:rPr>
          <w:rFonts w:ascii="Arial" w:cs="Arial" w:eastAsia="Arial" w:hAnsi="Arial"/>
          <w:sz w:val="18"/>
          <w:szCs w:val="18"/>
          <w:color w:val="auto"/>
        </w:rPr>
      </w:pPr>
    </w:p>
    <w:p>
      <w:pPr>
        <w:ind w:left="300" w:hanging="255"/>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2022-04-28T16:27:58Z</dcterms:created>
  <dcterms:modified xsi:type="dcterms:W3CDTF">2022-04-28T16:27:58Z</dcterms:modified>
</cp:coreProperties>
</file>