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SCHEDULE 14A INFORMATION</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Proxy Statement Pursuant to Section 14(a) of the</w:t>
      </w:r>
    </w:p>
    <w:p>
      <w:pPr>
        <w:spacing w:after="0" w:line="5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4"/>
          <w:szCs w:val="24"/>
          <w:color w:val="auto"/>
        </w:rPr>
      </w:pPr>
    </w:p>
    <w:p>
      <w:pPr>
        <w:jc w:val="center"/>
        <w:ind w:right="-79"/>
        <w:spacing w:after="0"/>
        <w:tabs>
          <w:tab w:leader="none" w:pos="160" w:val="left"/>
        </w:tabs>
        <w:rPr>
          <w:sz w:val="20"/>
          <w:szCs w:val="20"/>
          <w:color w:val="auto"/>
        </w:rPr>
      </w:pPr>
      <w:r>
        <w:rPr>
          <w:rFonts w:ascii="Arial" w:cs="Arial" w:eastAsia="Arial" w:hAnsi="Arial"/>
          <w:sz w:val="18"/>
          <w:szCs w:val="18"/>
          <w:b w:val="1"/>
          <w:bCs w:val="1"/>
          <w:color w:val="auto"/>
        </w:rPr>
        <w:t>(Amendment No.</w:t>
        <w:tab/>
        <w:t>)</w:t>
      </w:r>
    </w:p>
    <w:p>
      <w:pPr>
        <w:sectPr>
          <w:pgSz w:w="11900" w:h="16838" w:orient="portrait"/>
          <w:cols w:equalWidth="0" w:num="1">
            <w:col w:w="11160"/>
          </w:cols>
          <w:pgMar w:left="320" w:top="445" w:right="419" w:bottom="1440" w:gutter="0" w:footer="0" w:header="0"/>
        </w:sectPr>
      </w:pPr>
    </w:p>
    <w:p>
      <w:pPr>
        <w:spacing w:after="0" w:line="17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6"/>
          <w:szCs w:val="16"/>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3">
            <w:col w:w="2400" w:space="720"/>
            <w:col w:w="2960" w:space="100"/>
            <w:col w:w="4980"/>
          </w:cols>
          <w:pgMar w:left="320" w:top="445" w:right="41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w:t>
      </w:r>
    </w:p>
    <w:p>
      <w:pPr>
        <w:sectPr>
          <w:pgSz w:w="11900" w:h="16838" w:orient="portrait"/>
          <w:cols w:equalWidth="0" w:num="1">
            <w:col w:w="11160"/>
          </w:cols>
          <w:pgMar w:left="320" w:top="445" w:right="419" w:bottom="1440" w:gutter="0" w:footer="0" w:header="0"/>
          <w:type w:val="continuous"/>
        </w:sectPr>
      </w:pPr>
    </w:p>
    <w:p>
      <w:pPr>
        <w:spacing w:after="0" w:line="248"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25"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under Rule 14a-12</w:t>
      </w:r>
    </w:p>
    <w:p>
      <w:pPr>
        <w:spacing w:after="0" w:line="248"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7" w:lineRule="exact"/>
        <w:rPr>
          <w:sz w:val="24"/>
          <w:szCs w:val="24"/>
          <w:color w:val="auto"/>
        </w:rPr>
      </w:pPr>
    </w:p>
    <w:p>
      <w:pPr>
        <w:ind w:left="294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249" w:lineRule="exact"/>
        <w:rPr>
          <w:sz w:val="24"/>
          <w:szCs w:val="24"/>
          <w:color w:val="auto"/>
        </w:rPr>
      </w:pPr>
    </w:p>
    <w:p>
      <w:pPr>
        <w:spacing w:after="0"/>
        <w:rPr>
          <w:sz w:val="20"/>
          <w:szCs w:val="20"/>
          <w:color w:val="auto"/>
        </w:rPr>
      </w:pPr>
      <w:r>
        <w:rPr>
          <w:rFonts w:ascii="Arial" w:cs="Arial" w:eastAsia="Arial" w:hAnsi="Arial"/>
          <w:sz w:val="22"/>
          <w:szCs w:val="22"/>
          <w:color w:val="auto"/>
        </w:rPr>
        <w:t>Payment of Filing Fee (Check the appropriate box):</w:t>
      </w:r>
    </w:p>
    <w:p>
      <w:pPr>
        <w:spacing w:after="0" w:line="240"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14a-6(i)(4) and 0-11.</w:t>
      </w:r>
    </w:p>
    <w:p>
      <w:pPr>
        <w:spacing w:after="0" w:line="225" w:lineRule="exact"/>
        <w:rPr>
          <w:rFonts w:ascii="MS PGothic" w:cs="MS PGothic" w:eastAsia="MS PGothic" w:hAnsi="MS PGothic"/>
          <w:sz w:val="18"/>
          <w:szCs w:val="18"/>
          <w:color w:val="auto"/>
        </w:rPr>
      </w:pPr>
    </w:p>
    <w:p>
      <w:pPr>
        <w:ind w:left="920" w:hanging="453"/>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25" w:lineRule="exact"/>
        <w:rPr>
          <w:rFonts w:ascii="Arial" w:cs="Arial" w:eastAsia="Arial" w:hAnsi="Arial"/>
          <w:sz w:val="18"/>
          <w:szCs w:val="18"/>
          <w:color w:val="auto"/>
        </w:rPr>
      </w:pPr>
    </w:p>
    <w:p>
      <w:pPr>
        <w:ind w:left="920" w:hanging="453"/>
        <w:spacing w:after="0" w:line="277" w:lineRule="auto"/>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70" w:lineRule="exact"/>
        <w:rPr>
          <w:rFonts w:ascii="Arial" w:cs="Arial" w:eastAsia="Arial" w:hAnsi="Arial"/>
          <w:sz w:val="18"/>
          <w:szCs w:val="18"/>
          <w:color w:val="auto"/>
        </w:rPr>
      </w:pPr>
    </w:p>
    <w:p>
      <w:pPr>
        <w:ind w:left="920" w:hanging="453"/>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460" w:right="180" w:hanging="452"/>
        <w:spacing w:after="0" w:line="308" w:lineRule="auto"/>
        <w:tabs>
          <w:tab w:leader="none" w:pos="46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46" w:lineRule="exact"/>
        <w:rPr>
          <w:rFonts w:ascii="MS PGothic" w:cs="MS PGothic" w:eastAsia="MS PGothic" w:hAnsi="MS PGothic"/>
          <w:sz w:val="17"/>
          <w:szCs w:val="17"/>
          <w:color w:val="auto"/>
        </w:rPr>
      </w:pPr>
    </w:p>
    <w:p>
      <w:pPr>
        <w:ind w:left="920" w:hanging="453"/>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445" w:right="419" w:bottom="1440"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4524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4524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ind w:right="19"/>
        <w:spacing w:after="0"/>
        <w:rPr>
          <w:sz w:val="20"/>
          <w:szCs w:val="20"/>
          <w:color w:val="auto"/>
        </w:rPr>
      </w:pPr>
      <w:r>
        <w:rPr>
          <w:rFonts w:ascii="Arial" w:cs="Arial" w:eastAsia="Arial" w:hAnsi="Arial"/>
          <w:sz w:val="16"/>
          <w:szCs w:val="16"/>
          <w:color w:val="auto"/>
        </w:rPr>
        <w:t>This page is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663575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016"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548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54864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1066165</wp:posOffset>
            </wp:positionV>
            <wp:extent cx="1714500" cy="6261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714500"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March 15,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Cohu Stockholders,</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We cordially invite you to attend the Cohu, Inc. 2022 Annual Meeting of Stockholders (the “Meeting”). The Meeting will be held on Wednesday, May 4, 2022, at 1:00 p.m. Pacific Time. The Meeting will be a completely ‘‘virtual meeting’’ of stockholders. You will be able to attend the Meeting as well as vote and submit your questions during the live webcast of the Meeting by visiting </w:t>
      </w:r>
      <w:r>
        <w:rPr>
          <w:rFonts w:ascii="Arial" w:cs="Arial" w:eastAsia="Arial" w:hAnsi="Arial"/>
          <w:sz w:val="18"/>
          <w:szCs w:val="18"/>
          <w:u w:val="single" w:color="auto"/>
          <w:color w:val="auto"/>
        </w:rPr>
        <w:t>www.virtualshareholdermeeting.com/COHU2022</w:t>
      </w:r>
      <w:r>
        <w:rPr>
          <w:rFonts w:ascii="Arial" w:cs="Arial" w:eastAsia="Arial" w:hAnsi="Arial"/>
          <w:sz w:val="18"/>
          <w:szCs w:val="18"/>
          <w:color w:val="auto"/>
        </w:rPr>
        <w:t xml:space="preserve"> and entering the 16-digit control number included in our notice of Internet availability of the proxy materials, on your proxy card or in the instructions that accompanied your proxy materials.</w:t>
      </w:r>
    </w:p>
    <w:p>
      <w:pPr>
        <w:spacing w:after="0" w:line="188"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At this year’s annual meeting, stockholders will be asked to elect the two (2) Class 3 nominees named in the attached proxy statement as directors each for a three-year term; to cast an advisory vote to approve our named executive officer compensation, or “Say-on-Pay”; to approve an amendment to our Amended and Restated Certificate of Incorporation to increase the number of authorized shares of our common stock; and to ratify the appointment of Ernst &amp; Young LLP as our independent registered public accounting firm for fiscal year 2022. The Board of Directors unanimously recommends that you vote in favor of each director nominee and each of these proposals.</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Please refer to the proxy statement for detailed information about the annual meeting, each director nominee, and each of the proposals, as well as voting instructions. Your vote is important, and we strongly urge you to cast your vote as soon as possible by the internet, telephone, or mail, even if you plan to attend the Meeting.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Sincerely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151765</wp:posOffset>
            </wp:positionV>
            <wp:extent cx="1971675" cy="4540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71675"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Thomas D. Kampfer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365760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20"/>
          </w:cols>
          <w:pgMar w:left="980" w:top="1440" w:right="399" w:bottom="1440" w:gutter="0" w:footer="0" w:header="0"/>
        </w:sectPr>
      </w:pPr>
    </w:p>
    <w:bookmarkStart w:id="4" w:name="page5"/>
    <w:bookmarkEnd w:id="4"/>
    <w:p>
      <w:pPr>
        <w:spacing w:after="0"/>
        <w:rPr>
          <w:sz w:val="20"/>
          <w:szCs w:val="20"/>
          <w:color w:val="auto"/>
        </w:rPr>
      </w:pPr>
      <w:r>
        <w:rPr>
          <w:rFonts w:ascii="Arial" w:cs="Arial" w:eastAsia="Arial" w:hAnsi="Arial"/>
          <w:sz w:val="32"/>
          <w:szCs w:val="32"/>
          <w:b w:val="1"/>
          <w:bCs w:val="1"/>
          <w:color w:val="FFFFFF"/>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5060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506095"/>
                    </a:xfrm>
                    <a:prstGeom prst="rect">
                      <a:avLst/>
                    </a:prstGeom>
                    <a:noFill/>
                  </pic:spPr>
                </pic:pic>
              </a:graphicData>
            </a:graphic>
          </wp:anchor>
        </w:drawing>
        <w:t>Notice of 2022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298450</wp:posOffset>
            </wp:positionV>
            <wp:extent cx="1714500" cy="6261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14500"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00" w:type="dxa"/>
            <w:vAlign w:val="bottom"/>
          </w:tcPr>
          <w:p>
            <w:pPr>
              <w:spacing w:after="0"/>
              <w:rPr>
                <w:sz w:val="20"/>
                <w:szCs w:val="20"/>
                <w:color w:val="auto"/>
              </w:rPr>
            </w:pPr>
          </w:p>
        </w:tc>
        <w:tc>
          <w:tcPr>
            <w:tcW w:w="7880" w:type="dxa"/>
            <w:vAlign w:val="bottom"/>
            <w:gridSpan w:val="4"/>
          </w:tcPr>
          <w:p>
            <w:pPr>
              <w:ind w:left="1180"/>
              <w:spacing w:after="0"/>
              <w:rPr>
                <w:sz w:val="20"/>
                <w:szCs w:val="20"/>
                <w:color w:val="auto"/>
              </w:rPr>
            </w:pPr>
            <w:r>
              <w:rPr>
                <w:rFonts w:ascii="Arial" w:cs="Arial" w:eastAsia="Arial" w:hAnsi="Arial"/>
                <w:sz w:val="18"/>
                <w:szCs w:val="18"/>
                <w:color w:val="auto"/>
              </w:rPr>
              <w:t>12367 Crosthwaite Circle, Poway, CA 92064 | Telephone: +1-858-848-8000</w:t>
            </w: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700" w:type="dxa"/>
            <w:vAlign w:val="bottom"/>
            <w:tcBorders>
              <w:right w:val="single" w:sz="8" w:color="2D53A6"/>
            </w:tcBorders>
            <w:vMerge w:val="restart"/>
            <w:shd w:val="clear" w:color="auto" w:fill="2D53A6"/>
          </w:tcPr>
          <w:p>
            <w:pPr>
              <w:spacing w:after="0"/>
              <w:rPr>
                <w:sz w:val="20"/>
                <w:szCs w:val="20"/>
                <w:color w:val="auto"/>
              </w:rPr>
            </w:pPr>
            <w:r>
              <w:rPr>
                <w:rFonts w:ascii="Arial" w:cs="Arial" w:eastAsia="Arial" w:hAnsi="Arial"/>
                <w:sz w:val="18"/>
                <w:szCs w:val="18"/>
                <w:b w:val="1"/>
                <w:bCs w:val="1"/>
                <w:color w:val="FFFFFF"/>
              </w:rPr>
              <w:t>Category</w:t>
            </w:r>
          </w:p>
        </w:tc>
        <w:tc>
          <w:tcPr>
            <w:tcW w:w="3700" w:type="dxa"/>
            <w:vAlign w:val="bottom"/>
            <w:vMerge w:val="restart"/>
            <w:shd w:val="clear" w:color="auto" w:fill="2D53A6"/>
          </w:tcPr>
          <w:p>
            <w:pPr>
              <w:spacing w:after="0"/>
              <w:rPr>
                <w:sz w:val="20"/>
                <w:szCs w:val="20"/>
                <w:color w:val="auto"/>
              </w:rPr>
            </w:pPr>
            <w:r>
              <w:rPr>
                <w:rFonts w:ascii="Arial" w:cs="Arial" w:eastAsia="Arial" w:hAnsi="Arial"/>
                <w:sz w:val="18"/>
                <w:szCs w:val="18"/>
                <w:b w:val="1"/>
                <w:bCs w:val="1"/>
                <w:color w:val="FFFFFF"/>
              </w:rPr>
              <w:t>Details</w:t>
            </w:r>
          </w:p>
        </w:tc>
        <w:tc>
          <w:tcPr>
            <w:tcW w:w="820" w:type="dxa"/>
            <w:vAlign w:val="bottom"/>
            <w:tcBorders>
              <w:right w:val="single" w:sz="8" w:color="2D53A6"/>
            </w:tcBorders>
            <w:gridSpan w:val="2"/>
            <w:vMerge w:val="restart"/>
            <w:shd w:val="clear" w:color="auto" w:fill="2D53A6"/>
          </w:tcPr>
          <w:p>
            <w:pPr>
              <w:jc w:val="right"/>
              <w:ind w:right="140"/>
              <w:spacing w:after="0"/>
              <w:rPr>
                <w:sz w:val="20"/>
                <w:szCs w:val="20"/>
                <w:color w:val="auto"/>
              </w:rPr>
            </w:pPr>
            <w:r>
              <w:rPr>
                <w:rFonts w:ascii="Arial" w:cs="Arial" w:eastAsia="Arial" w:hAnsi="Arial"/>
                <w:sz w:val="18"/>
                <w:szCs w:val="18"/>
                <w:b w:val="1"/>
                <w:bCs w:val="1"/>
                <w:color w:val="FFFFFF"/>
              </w:rPr>
              <w:t>#</w:t>
            </w:r>
          </w:p>
        </w:tc>
        <w:tc>
          <w:tcPr>
            <w:tcW w:w="3360" w:type="dxa"/>
            <w:vAlign w:val="bottom"/>
            <w:tcBorders>
              <w:right w:val="single" w:sz="8" w:color="2D53A6"/>
            </w:tcBorders>
            <w:vMerge w:val="restart"/>
            <w:shd w:val="clear" w:color="auto" w:fill="2D53A6"/>
          </w:tcPr>
          <w:p>
            <w:pPr>
              <w:spacing w:after="0"/>
              <w:rPr>
                <w:sz w:val="20"/>
                <w:szCs w:val="20"/>
                <w:color w:val="auto"/>
              </w:rPr>
            </w:pPr>
            <w:r>
              <w:rPr>
                <w:rFonts w:ascii="Arial" w:cs="Arial" w:eastAsia="Arial" w:hAnsi="Arial"/>
                <w:sz w:val="18"/>
                <w:szCs w:val="18"/>
                <w:b w:val="1"/>
                <w:bCs w:val="1"/>
                <w:color w:val="FFFFFF"/>
              </w:rPr>
              <w:t>Proposal</w:t>
            </w:r>
          </w:p>
        </w:tc>
        <w:tc>
          <w:tcPr>
            <w:tcW w:w="1660" w:type="dxa"/>
            <w:vAlign w:val="bottom"/>
            <w:shd w:val="clear" w:color="auto" w:fill="2D53A6"/>
          </w:tcPr>
          <w:p>
            <w:pPr>
              <w:jc w:val="center"/>
              <w:spacing w:after="0"/>
              <w:rPr>
                <w:sz w:val="20"/>
                <w:szCs w:val="20"/>
                <w:color w:val="auto"/>
              </w:rPr>
            </w:pPr>
            <w:r>
              <w:rPr>
                <w:rFonts w:ascii="Arial" w:cs="Arial" w:eastAsia="Arial" w:hAnsi="Arial"/>
                <w:sz w:val="18"/>
                <w:szCs w:val="18"/>
                <w:b w:val="1"/>
                <w:bCs w:val="1"/>
                <w:color w:val="FFFFFF"/>
                <w:w w:val="95"/>
              </w:rPr>
              <w:t>Our Board</w:t>
            </w:r>
            <w:r>
              <w:rPr>
                <w:rFonts w:ascii="Arial" w:cs="Arial" w:eastAsia="Arial" w:hAnsi="Arial"/>
                <w:sz w:val="18"/>
                <w:szCs w:val="18"/>
                <w:color w:val="FFFFFF"/>
                <w:w w:val="95"/>
              </w:rPr>
              <w:t>’</w:t>
            </w:r>
            <w:r>
              <w:rPr>
                <w:rFonts w:ascii="Arial" w:cs="Arial" w:eastAsia="Arial" w:hAnsi="Arial"/>
                <w:sz w:val="18"/>
                <w:szCs w:val="18"/>
                <w:b w:val="1"/>
                <w:bCs w:val="1"/>
                <w:color w:val="FFFFFF"/>
                <w:w w:val="95"/>
              </w:rPr>
              <w:t>s</w:t>
            </w:r>
          </w:p>
        </w:tc>
        <w:tc>
          <w:tcPr>
            <w:tcW w:w="0" w:type="dxa"/>
            <w:vAlign w:val="bottom"/>
          </w:tcPr>
          <w:p>
            <w:pPr>
              <w:spacing w:after="0"/>
              <w:rPr>
                <w:sz w:val="1"/>
                <w:szCs w:val="1"/>
                <w:color w:val="auto"/>
              </w:rPr>
            </w:pPr>
          </w:p>
        </w:tc>
      </w:tr>
      <w:tr>
        <w:trPr>
          <w:trHeight w:val="126"/>
        </w:trPr>
        <w:tc>
          <w:tcPr>
            <w:tcW w:w="1700" w:type="dxa"/>
            <w:vAlign w:val="bottom"/>
            <w:tcBorders>
              <w:right w:val="single" w:sz="8" w:color="2D53A6"/>
            </w:tcBorders>
            <w:vMerge w:val="continue"/>
            <w:shd w:val="clear" w:color="auto" w:fill="2D53A6"/>
          </w:tcPr>
          <w:p>
            <w:pPr>
              <w:spacing w:after="0"/>
              <w:rPr>
                <w:sz w:val="10"/>
                <w:szCs w:val="10"/>
                <w:color w:val="auto"/>
              </w:rPr>
            </w:pPr>
          </w:p>
        </w:tc>
        <w:tc>
          <w:tcPr>
            <w:tcW w:w="3700" w:type="dxa"/>
            <w:vAlign w:val="bottom"/>
            <w:vMerge w:val="continue"/>
            <w:shd w:val="clear" w:color="auto" w:fill="2D53A6"/>
          </w:tcPr>
          <w:p>
            <w:pPr>
              <w:spacing w:after="0"/>
              <w:rPr>
                <w:sz w:val="10"/>
                <w:szCs w:val="10"/>
                <w:color w:val="auto"/>
              </w:rPr>
            </w:pPr>
          </w:p>
        </w:tc>
        <w:tc>
          <w:tcPr>
            <w:tcW w:w="820" w:type="dxa"/>
            <w:vAlign w:val="bottom"/>
            <w:tcBorders>
              <w:right w:val="single" w:sz="8" w:color="2D53A6"/>
            </w:tcBorders>
            <w:gridSpan w:val="2"/>
            <w:vMerge w:val="continue"/>
            <w:shd w:val="clear" w:color="auto" w:fill="2D53A6"/>
          </w:tcPr>
          <w:p>
            <w:pPr>
              <w:spacing w:after="0"/>
              <w:rPr>
                <w:sz w:val="10"/>
                <w:szCs w:val="10"/>
                <w:color w:val="auto"/>
              </w:rPr>
            </w:pPr>
          </w:p>
        </w:tc>
        <w:tc>
          <w:tcPr>
            <w:tcW w:w="3360" w:type="dxa"/>
            <w:vAlign w:val="bottom"/>
            <w:tcBorders>
              <w:right w:val="single" w:sz="8" w:color="2D53A6"/>
            </w:tcBorders>
            <w:vMerge w:val="continue"/>
            <w:shd w:val="clear" w:color="auto" w:fill="2D53A6"/>
          </w:tcPr>
          <w:p>
            <w:pPr>
              <w:spacing w:after="0"/>
              <w:rPr>
                <w:sz w:val="10"/>
                <w:szCs w:val="10"/>
                <w:color w:val="auto"/>
              </w:rPr>
            </w:pPr>
          </w:p>
        </w:tc>
        <w:tc>
          <w:tcPr>
            <w:tcW w:w="1660" w:type="dxa"/>
            <w:vAlign w:val="bottom"/>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90"/>
              </w:rPr>
              <w:t>Recommendation</w:t>
            </w:r>
          </w:p>
        </w:tc>
        <w:tc>
          <w:tcPr>
            <w:tcW w:w="0" w:type="dxa"/>
            <w:vAlign w:val="bottom"/>
          </w:tcPr>
          <w:p>
            <w:pPr>
              <w:spacing w:after="0"/>
              <w:rPr>
                <w:sz w:val="1"/>
                <w:szCs w:val="1"/>
                <w:color w:val="auto"/>
              </w:rPr>
            </w:pPr>
          </w:p>
        </w:tc>
      </w:tr>
      <w:tr>
        <w:trPr>
          <w:trHeight w:val="122"/>
        </w:trPr>
        <w:tc>
          <w:tcPr>
            <w:tcW w:w="1700" w:type="dxa"/>
            <w:vAlign w:val="bottom"/>
            <w:tcBorders>
              <w:right w:val="single" w:sz="8" w:color="2D53A6"/>
            </w:tcBorders>
            <w:shd w:val="clear" w:color="auto" w:fill="2D53A6"/>
          </w:tcPr>
          <w:p>
            <w:pPr>
              <w:spacing w:after="0"/>
              <w:rPr>
                <w:sz w:val="10"/>
                <w:szCs w:val="10"/>
                <w:color w:val="auto"/>
              </w:rPr>
            </w:pPr>
          </w:p>
        </w:tc>
        <w:tc>
          <w:tcPr>
            <w:tcW w:w="3700" w:type="dxa"/>
            <w:vAlign w:val="bottom"/>
            <w:shd w:val="clear" w:color="auto" w:fill="2D53A6"/>
          </w:tcPr>
          <w:p>
            <w:pPr>
              <w:spacing w:after="0"/>
              <w:rPr>
                <w:sz w:val="10"/>
                <w:szCs w:val="10"/>
                <w:color w:val="auto"/>
              </w:rPr>
            </w:pPr>
          </w:p>
        </w:tc>
        <w:tc>
          <w:tcPr>
            <w:tcW w:w="460" w:type="dxa"/>
            <w:vAlign w:val="bottom"/>
            <w:shd w:val="clear" w:color="auto" w:fill="2D53A6"/>
          </w:tcPr>
          <w:p>
            <w:pPr>
              <w:spacing w:after="0"/>
              <w:rPr>
                <w:sz w:val="10"/>
                <w:szCs w:val="10"/>
                <w:color w:val="auto"/>
              </w:rPr>
            </w:pPr>
          </w:p>
        </w:tc>
        <w:tc>
          <w:tcPr>
            <w:tcW w:w="360" w:type="dxa"/>
            <w:vAlign w:val="bottom"/>
            <w:tcBorders>
              <w:right w:val="single" w:sz="8" w:color="2D53A6"/>
            </w:tcBorders>
            <w:shd w:val="clear" w:color="auto" w:fill="2D53A6"/>
          </w:tcPr>
          <w:p>
            <w:pPr>
              <w:spacing w:after="0"/>
              <w:rPr>
                <w:sz w:val="10"/>
                <w:szCs w:val="10"/>
                <w:color w:val="auto"/>
              </w:rPr>
            </w:pPr>
          </w:p>
        </w:tc>
        <w:tc>
          <w:tcPr>
            <w:tcW w:w="3360" w:type="dxa"/>
            <w:vAlign w:val="bottom"/>
            <w:tcBorders>
              <w:right w:val="single" w:sz="8" w:color="2D53A6"/>
            </w:tcBorders>
            <w:shd w:val="clear" w:color="auto" w:fill="2D53A6"/>
          </w:tcPr>
          <w:p>
            <w:pPr>
              <w:spacing w:after="0"/>
              <w:rPr>
                <w:sz w:val="10"/>
                <w:szCs w:val="10"/>
                <w:color w:val="auto"/>
              </w:rPr>
            </w:pPr>
          </w:p>
        </w:tc>
        <w:tc>
          <w:tcPr>
            <w:tcW w:w="1660" w:type="dxa"/>
            <w:vAlign w:val="bottom"/>
            <w:vMerge w:val="continue"/>
            <w:shd w:val="clear" w:color="auto" w:fill="2D53A6"/>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1700" w:type="dxa"/>
            <w:vAlign w:val="bottom"/>
            <w:tcBorders>
              <w:right w:val="single" w:sz="8" w:color="2D53A6"/>
            </w:tcBorders>
          </w:tcPr>
          <w:p>
            <w:pPr>
              <w:spacing w:after="0" w:line="198" w:lineRule="exact"/>
              <w:rPr>
                <w:sz w:val="20"/>
                <w:szCs w:val="20"/>
                <w:color w:val="auto"/>
              </w:rPr>
            </w:pPr>
            <w:r>
              <w:rPr>
                <w:rFonts w:ascii="Arial" w:cs="Arial" w:eastAsia="Arial" w:hAnsi="Arial"/>
                <w:sz w:val="18"/>
                <w:szCs w:val="18"/>
                <w:b w:val="1"/>
                <w:bCs w:val="1"/>
                <w:color w:val="auto"/>
              </w:rPr>
              <w:t>Date and Time</w:t>
            </w:r>
          </w:p>
        </w:tc>
        <w:tc>
          <w:tcPr>
            <w:tcW w:w="3700" w:type="dxa"/>
            <w:vAlign w:val="bottom"/>
          </w:tcPr>
          <w:p>
            <w:pPr>
              <w:spacing w:after="0" w:line="198" w:lineRule="exact"/>
              <w:rPr>
                <w:sz w:val="20"/>
                <w:szCs w:val="20"/>
                <w:color w:val="auto"/>
              </w:rPr>
            </w:pPr>
            <w:r>
              <w:rPr>
                <w:rFonts w:ascii="Arial" w:cs="Arial" w:eastAsia="Arial" w:hAnsi="Arial"/>
                <w:sz w:val="18"/>
                <w:szCs w:val="18"/>
                <w:color w:val="auto"/>
                <w:w w:val="93"/>
              </w:rPr>
              <w:t>Wednesday, May 4, 2022, 1:00 p.m. Pacific Time</w:t>
            </w:r>
          </w:p>
        </w:tc>
        <w:tc>
          <w:tcPr>
            <w:tcW w:w="820" w:type="dxa"/>
            <w:vAlign w:val="bottom"/>
            <w:tcBorders>
              <w:right w:val="single" w:sz="8" w:color="2D53A6"/>
            </w:tcBorders>
            <w:gridSpan w:val="2"/>
          </w:tcPr>
          <w:p>
            <w:pPr>
              <w:jc w:val="right"/>
              <w:ind w:right="140"/>
              <w:spacing w:after="0" w:line="198" w:lineRule="exact"/>
              <w:rPr>
                <w:sz w:val="20"/>
                <w:szCs w:val="20"/>
                <w:color w:val="auto"/>
              </w:rPr>
            </w:pPr>
            <w:r>
              <w:rPr>
                <w:rFonts w:ascii="Arial" w:cs="Arial" w:eastAsia="Arial" w:hAnsi="Arial"/>
                <w:sz w:val="18"/>
                <w:szCs w:val="18"/>
                <w:b w:val="1"/>
                <w:bCs w:val="1"/>
                <w:color w:val="auto"/>
              </w:rPr>
              <w:t>1</w:t>
            </w:r>
          </w:p>
        </w:tc>
        <w:tc>
          <w:tcPr>
            <w:tcW w:w="3360" w:type="dxa"/>
            <w:vAlign w:val="bottom"/>
            <w:tcBorders>
              <w:right w:val="single" w:sz="8" w:color="2D53A6"/>
            </w:tcBorders>
          </w:tcPr>
          <w:p>
            <w:pPr>
              <w:spacing w:after="0" w:line="198" w:lineRule="exact"/>
              <w:rPr>
                <w:sz w:val="20"/>
                <w:szCs w:val="20"/>
                <w:color w:val="auto"/>
              </w:rPr>
            </w:pPr>
            <w:r>
              <w:rPr>
                <w:rFonts w:ascii="Arial" w:cs="Arial" w:eastAsia="Arial" w:hAnsi="Arial"/>
                <w:sz w:val="18"/>
                <w:szCs w:val="18"/>
                <w:color w:val="auto"/>
              </w:rPr>
              <w:t>Election of two (2) Class 3 directors, for a</w:t>
            </w:r>
          </w:p>
        </w:tc>
        <w:tc>
          <w:tcPr>
            <w:tcW w:w="166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2"/>
              </w:rPr>
              <w:t>√ FOR each Director</w:t>
            </w:r>
          </w:p>
        </w:tc>
        <w:tc>
          <w:tcPr>
            <w:tcW w:w="0" w:type="dxa"/>
            <w:vAlign w:val="bottom"/>
          </w:tcPr>
          <w:p>
            <w:pPr>
              <w:spacing w:after="0"/>
              <w:rPr>
                <w:sz w:val="1"/>
                <w:szCs w:val="1"/>
                <w:color w:val="auto"/>
              </w:rPr>
            </w:pPr>
          </w:p>
        </w:tc>
      </w:tr>
      <w:tr>
        <w:trPr>
          <w:trHeight w:val="234"/>
        </w:trPr>
        <w:tc>
          <w:tcPr>
            <w:tcW w:w="1700" w:type="dxa"/>
            <w:vAlign w:val="bottom"/>
            <w:tcBorders>
              <w:bottom w:val="single" w:sz="8" w:color="2D53A6"/>
              <w:right w:val="single" w:sz="8" w:color="2D53A6"/>
            </w:tcBorders>
          </w:tcPr>
          <w:p>
            <w:pPr>
              <w:spacing w:after="0"/>
              <w:rPr>
                <w:sz w:val="20"/>
                <w:szCs w:val="20"/>
                <w:color w:val="auto"/>
              </w:rPr>
            </w:pPr>
          </w:p>
        </w:tc>
        <w:tc>
          <w:tcPr>
            <w:tcW w:w="3700" w:type="dxa"/>
            <w:vAlign w:val="bottom"/>
            <w:tcBorders>
              <w:bottom w:val="single" w:sz="8" w:color="2D53A6"/>
            </w:tcBorders>
          </w:tcPr>
          <w:p>
            <w:pPr>
              <w:spacing w:after="0"/>
              <w:rPr>
                <w:sz w:val="20"/>
                <w:szCs w:val="20"/>
                <w:color w:val="auto"/>
              </w:rPr>
            </w:pPr>
          </w:p>
        </w:tc>
        <w:tc>
          <w:tcPr>
            <w:tcW w:w="460" w:type="dxa"/>
            <w:vAlign w:val="bottom"/>
          </w:tcPr>
          <w:p>
            <w:pPr>
              <w:spacing w:after="0"/>
              <w:rPr>
                <w:sz w:val="20"/>
                <w:szCs w:val="20"/>
                <w:color w:val="auto"/>
              </w:rPr>
            </w:pPr>
          </w:p>
        </w:tc>
        <w:tc>
          <w:tcPr>
            <w:tcW w:w="360" w:type="dxa"/>
            <w:vAlign w:val="bottom"/>
            <w:tcBorders>
              <w:bottom w:val="single" w:sz="8" w:color="2D53A6"/>
              <w:right w:val="single" w:sz="8" w:color="2D53A6"/>
            </w:tcBorders>
          </w:tcPr>
          <w:p>
            <w:pPr>
              <w:spacing w:after="0"/>
              <w:rPr>
                <w:sz w:val="20"/>
                <w:szCs w:val="20"/>
                <w:color w:val="auto"/>
              </w:rPr>
            </w:pPr>
          </w:p>
        </w:tc>
        <w:tc>
          <w:tcPr>
            <w:tcW w:w="3360" w:type="dxa"/>
            <w:vAlign w:val="bottom"/>
            <w:tcBorders>
              <w:bottom w:val="single" w:sz="8" w:color="2D53A6"/>
              <w:right w:val="single" w:sz="8" w:color="2D53A6"/>
            </w:tcBorders>
          </w:tcPr>
          <w:p>
            <w:pPr>
              <w:spacing w:after="0"/>
              <w:rPr>
                <w:sz w:val="20"/>
                <w:szCs w:val="20"/>
                <w:color w:val="auto"/>
              </w:rPr>
            </w:pPr>
            <w:r>
              <w:rPr>
                <w:rFonts w:ascii="Arial" w:cs="Arial" w:eastAsia="Arial" w:hAnsi="Arial"/>
                <w:sz w:val="18"/>
                <w:szCs w:val="18"/>
                <w:color w:val="auto"/>
              </w:rPr>
              <w:t>term of three years each</w:t>
            </w:r>
          </w:p>
        </w:tc>
        <w:tc>
          <w:tcPr>
            <w:tcW w:w="1660" w:type="dxa"/>
            <w:vAlign w:val="bottom"/>
            <w:tcBorders>
              <w:bottom w:val="single" w:sz="8" w:color="2D53A6"/>
            </w:tcBorders>
          </w:tcPr>
          <w:p>
            <w:pPr>
              <w:jc w:val="center"/>
              <w:spacing w:after="0"/>
              <w:rPr>
                <w:sz w:val="20"/>
                <w:szCs w:val="20"/>
                <w:color w:val="auto"/>
              </w:rPr>
            </w:pPr>
            <w:r>
              <w:rPr>
                <w:rFonts w:ascii="Arial" w:cs="Arial" w:eastAsia="Arial" w:hAnsi="Arial"/>
                <w:sz w:val="18"/>
                <w:szCs w:val="18"/>
                <w:b w:val="1"/>
                <w:bCs w:val="1"/>
                <w:color w:val="auto"/>
                <w:w w:val="89"/>
              </w:rPr>
              <w:t>Nominee</w:t>
            </w:r>
          </w:p>
        </w:tc>
        <w:tc>
          <w:tcPr>
            <w:tcW w:w="0" w:type="dxa"/>
            <w:vAlign w:val="bottom"/>
          </w:tcPr>
          <w:p>
            <w:pPr>
              <w:spacing w:after="0"/>
              <w:rPr>
                <w:sz w:val="1"/>
                <w:szCs w:val="1"/>
                <w:color w:val="auto"/>
              </w:rPr>
            </w:pPr>
          </w:p>
        </w:tc>
      </w:tr>
      <w:tr>
        <w:trPr>
          <w:trHeight w:val="195"/>
        </w:trPr>
        <w:tc>
          <w:tcPr>
            <w:tcW w:w="1700" w:type="dxa"/>
            <w:vAlign w:val="bottom"/>
            <w:tcBorders>
              <w:right w:val="single" w:sz="8" w:color="2D53A6"/>
            </w:tcBorders>
            <w:shd w:val="clear" w:color="auto" w:fill="E6E6E6"/>
          </w:tcPr>
          <w:p>
            <w:pPr>
              <w:spacing w:after="0" w:line="195" w:lineRule="exact"/>
              <w:rPr>
                <w:sz w:val="20"/>
                <w:szCs w:val="20"/>
                <w:color w:val="auto"/>
              </w:rPr>
            </w:pPr>
            <w:r>
              <w:rPr>
                <w:rFonts w:ascii="Arial" w:cs="Arial" w:eastAsia="Arial" w:hAnsi="Arial"/>
                <w:sz w:val="18"/>
                <w:szCs w:val="18"/>
                <w:b w:val="1"/>
                <w:bCs w:val="1"/>
                <w:color w:val="auto"/>
              </w:rPr>
              <w:t>Place</w:t>
            </w:r>
          </w:p>
        </w:tc>
        <w:tc>
          <w:tcPr>
            <w:tcW w:w="3700" w:type="dxa"/>
            <w:vAlign w:val="bottom"/>
            <w:shd w:val="clear" w:color="auto" w:fill="E6E6E6"/>
          </w:tcPr>
          <w:p>
            <w:pPr>
              <w:spacing w:after="0" w:line="195" w:lineRule="exact"/>
              <w:rPr>
                <w:sz w:val="20"/>
                <w:szCs w:val="20"/>
                <w:color w:val="auto"/>
              </w:rPr>
            </w:pPr>
            <w:r>
              <w:rPr>
                <w:rFonts w:ascii="Arial" w:cs="Arial" w:eastAsia="Arial" w:hAnsi="Arial"/>
                <w:sz w:val="18"/>
                <w:szCs w:val="18"/>
                <w:color w:val="auto"/>
              </w:rPr>
              <w:t>Meeting will be held virtually</w:t>
            </w:r>
          </w:p>
        </w:tc>
        <w:tc>
          <w:tcPr>
            <w:tcW w:w="820" w:type="dxa"/>
            <w:vAlign w:val="bottom"/>
            <w:tcBorders>
              <w:right w:val="single" w:sz="8" w:color="2D53A6"/>
            </w:tcBorders>
            <w:gridSpan w:val="2"/>
            <w:shd w:val="clear" w:color="auto" w:fill="E6E6E6"/>
          </w:tcPr>
          <w:p>
            <w:pPr>
              <w:jc w:val="right"/>
              <w:ind w:right="140"/>
              <w:spacing w:after="0" w:line="195" w:lineRule="exact"/>
              <w:rPr>
                <w:sz w:val="20"/>
                <w:szCs w:val="20"/>
                <w:color w:val="auto"/>
              </w:rPr>
            </w:pPr>
            <w:r>
              <w:rPr>
                <w:rFonts w:ascii="Arial" w:cs="Arial" w:eastAsia="Arial" w:hAnsi="Arial"/>
                <w:sz w:val="18"/>
                <w:szCs w:val="18"/>
                <w:b w:val="1"/>
                <w:bCs w:val="1"/>
                <w:color w:val="auto"/>
              </w:rPr>
              <w:t>2</w:t>
            </w:r>
          </w:p>
        </w:tc>
        <w:tc>
          <w:tcPr>
            <w:tcW w:w="3360" w:type="dxa"/>
            <w:vAlign w:val="bottom"/>
            <w:tcBorders>
              <w:right w:val="single" w:sz="8" w:color="2D53A6"/>
            </w:tcBorders>
            <w:shd w:val="clear" w:color="auto" w:fill="E6E6E6"/>
          </w:tcPr>
          <w:p>
            <w:pPr>
              <w:spacing w:after="0" w:line="195" w:lineRule="exact"/>
              <w:rPr>
                <w:sz w:val="20"/>
                <w:szCs w:val="20"/>
                <w:color w:val="auto"/>
              </w:rPr>
            </w:pPr>
            <w:r>
              <w:rPr>
                <w:rFonts w:ascii="Arial" w:cs="Arial" w:eastAsia="Arial" w:hAnsi="Arial"/>
                <w:sz w:val="18"/>
                <w:szCs w:val="18"/>
                <w:color w:val="auto"/>
              </w:rPr>
              <w:t>Advisory vote to approve our Named</w:t>
            </w:r>
          </w:p>
        </w:tc>
        <w:tc>
          <w:tcPr>
            <w:tcW w:w="1660" w:type="dxa"/>
            <w:vAlign w:val="bottom"/>
            <w:vMerge w:val="restart"/>
            <w:shd w:val="clear" w:color="auto" w:fill="E6E6E6"/>
          </w:tcPr>
          <w:p>
            <w:pPr>
              <w:jc w:val="center"/>
              <w:spacing w:after="0"/>
              <w:rPr>
                <w:sz w:val="20"/>
                <w:szCs w:val="20"/>
                <w:color w:val="auto"/>
              </w:rPr>
            </w:pPr>
            <w:r>
              <w:rPr>
                <w:rFonts w:ascii="Arial" w:cs="Arial" w:eastAsia="Arial" w:hAnsi="Arial"/>
                <w:sz w:val="18"/>
                <w:szCs w:val="18"/>
                <w:b w:val="1"/>
                <w:bCs w:val="1"/>
                <w:color w:val="auto"/>
                <w:w w:val="98"/>
              </w:rPr>
              <w:t>√ FOR</w:t>
            </w:r>
          </w:p>
        </w:tc>
        <w:tc>
          <w:tcPr>
            <w:tcW w:w="0" w:type="dxa"/>
            <w:vAlign w:val="bottom"/>
          </w:tcPr>
          <w:p>
            <w:pPr>
              <w:spacing w:after="0"/>
              <w:rPr>
                <w:sz w:val="1"/>
                <w:szCs w:val="1"/>
                <w:color w:val="auto"/>
              </w:rPr>
            </w:pPr>
          </w:p>
        </w:tc>
      </w:tr>
      <w:tr>
        <w:trPr>
          <w:trHeight w:val="216"/>
        </w:trPr>
        <w:tc>
          <w:tcPr>
            <w:tcW w:w="1700" w:type="dxa"/>
            <w:vAlign w:val="bottom"/>
            <w:tcBorders>
              <w:right w:val="single" w:sz="8" w:color="2D53A6"/>
            </w:tcBorders>
            <w:shd w:val="clear" w:color="auto" w:fill="E6E6E6"/>
          </w:tcPr>
          <w:p>
            <w:pPr>
              <w:spacing w:after="0"/>
              <w:rPr>
                <w:sz w:val="18"/>
                <w:szCs w:val="18"/>
                <w:color w:val="auto"/>
              </w:rPr>
            </w:pPr>
          </w:p>
        </w:tc>
        <w:tc>
          <w:tcPr>
            <w:tcW w:w="3700" w:type="dxa"/>
            <w:vAlign w:val="bottom"/>
            <w:shd w:val="clear" w:color="auto" w:fill="E6E6E6"/>
          </w:tcPr>
          <w:p>
            <w:pPr>
              <w:spacing w:after="0"/>
              <w:rPr>
                <w:sz w:val="18"/>
                <w:szCs w:val="18"/>
                <w:color w:val="auto"/>
              </w:rPr>
            </w:pPr>
          </w:p>
        </w:tc>
        <w:tc>
          <w:tcPr>
            <w:tcW w:w="460" w:type="dxa"/>
            <w:vAlign w:val="bottom"/>
            <w:shd w:val="clear" w:color="auto" w:fill="E6E6E6"/>
          </w:tcPr>
          <w:p>
            <w:pPr>
              <w:spacing w:after="0"/>
              <w:rPr>
                <w:sz w:val="18"/>
                <w:szCs w:val="18"/>
                <w:color w:val="auto"/>
              </w:rPr>
            </w:pPr>
          </w:p>
        </w:tc>
        <w:tc>
          <w:tcPr>
            <w:tcW w:w="360" w:type="dxa"/>
            <w:vAlign w:val="bottom"/>
            <w:tcBorders>
              <w:right w:val="single" w:sz="8" w:color="2D53A6"/>
            </w:tcBorders>
            <w:shd w:val="clear" w:color="auto" w:fill="E6E6E6"/>
          </w:tcPr>
          <w:p>
            <w:pPr>
              <w:spacing w:after="0"/>
              <w:rPr>
                <w:sz w:val="18"/>
                <w:szCs w:val="18"/>
                <w:color w:val="auto"/>
              </w:rPr>
            </w:pPr>
          </w:p>
        </w:tc>
        <w:tc>
          <w:tcPr>
            <w:tcW w:w="3360" w:type="dxa"/>
            <w:vAlign w:val="bottom"/>
            <w:tcBorders>
              <w:right w:val="single" w:sz="8" w:color="2D53A6"/>
            </w:tcBorders>
            <w:shd w:val="clear" w:color="auto" w:fill="E6E6E6"/>
          </w:tcPr>
          <w:p>
            <w:pPr>
              <w:spacing w:after="0"/>
              <w:rPr>
                <w:sz w:val="20"/>
                <w:szCs w:val="20"/>
                <w:color w:val="auto"/>
              </w:rPr>
            </w:pPr>
            <w:r>
              <w:rPr>
                <w:rFonts w:ascii="Arial" w:cs="Arial" w:eastAsia="Arial" w:hAnsi="Arial"/>
                <w:sz w:val="18"/>
                <w:szCs w:val="18"/>
                <w:color w:val="auto"/>
                <w:w w:val="94"/>
              </w:rPr>
              <w:t>Executive Officer compensation, or “Say-on-</w:t>
            </w:r>
          </w:p>
        </w:tc>
        <w:tc>
          <w:tcPr>
            <w:tcW w:w="1660" w:type="dxa"/>
            <w:vAlign w:val="bottom"/>
            <w:vMerge w:val="continue"/>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00" w:type="dxa"/>
            <w:vAlign w:val="bottom"/>
            <w:tcBorders>
              <w:bottom w:val="single" w:sz="8" w:color="2D53A6"/>
              <w:right w:val="single" w:sz="8" w:color="2D53A6"/>
            </w:tcBorders>
            <w:shd w:val="clear" w:color="auto" w:fill="E6E6E6"/>
          </w:tcPr>
          <w:p>
            <w:pPr>
              <w:spacing w:after="0"/>
              <w:rPr>
                <w:sz w:val="20"/>
                <w:szCs w:val="20"/>
                <w:color w:val="auto"/>
              </w:rPr>
            </w:pPr>
          </w:p>
        </w:tc>
        <w:tc>
          <w:tcPr>
            <w:tcW w:w="3700" w:type="dxa"/>
            <w:vAlign w:val="bottom"/>
            <w:tcBorders>
              <w:bottom w:val="single" w:sz="8" w:color="2D53A6"/>
            </w:tcBorders>
            <w:shd w:val="clear" w:color="auto" w:fill="E6E6E6"/>
          </w:tcPr>
          <w:p>
            <w:pPr>
              <w:spacing w:after="0"/>
              <w:rPr>
                <w:sz w:val="20"/>
                <w:szCs w:val="20"/>
                <w:color w:val="auto"/>
              </w:rPr>
            </w:pPr>
          </w:p>
        </w:tc>
        <w:tc>
          <w:tcPr>
            <w:tcW w:w="460" w:type="dxa"/>
            <w:vAlign w:val="bottom"/>
            <w:tcBorders>
              <w:bottom w:val="single" w:sz="8" w:color="E6E6E6"/>
            </w:tcBorders>
            <w:shd w:val="clear" w:color="auto" w:fill="E6E6E6"/>
          </w:tcPr>
          <w:p>
            <w:pPr>
              <w:spacing w:after="0"/>
              <w:rPr>
                <w:sz w:val="20"/>
                <w:szCs w:val="20"/>
                <w:color w:val="auto"/>
              </w:rPr>
            </w:pPr>
          </w:p>
        </w:tc>
        <w:tc>
          <w:tcPr>
            <w:tcW w:w="360" w:type="dxa"/>
            <w:vAlign w:val="bottom"/>
            <w:tcBorders>
              <w:bottom w:val="single" w:sz="8" w:color="2D53A6"/>
              <w:right w:val="single" w:sz="8" w:color="2D53A6"/>
            </w:tcBorders>
            <w:shd w:val="clear" w:color="auto" w:fill="E6E6E6"/>
          </w:tcPr>
          <w:p>
            <w:pPr>
              <w:spacing w:after="0"/>
              <w:rPr>
                <w:sz w:val="20"/>
                <w:szCs w:val="20"/>
                <w:color w:val="auto"/>
              </w:rPr>
            </w:pPr>
          </w:p>
        </w:tc>
        <w:tc>
          <w:tcPr>
            <w:tcW w:w="3360" w:type="dxa"/>
            <w:vAlign w:val="bottom"/>
            <w:tcBorders>
              <w:bottom w:val="single" w:sz="8" w:color="2D53A6"/>
              <w:right w:val="single" w:sz="8" w:color="2D53A6"/>
            </w:tcBorders>
            <w:shd w:val="clear" w:color="auto" w:fill="E6E6E6"/>
          </w:tcPr>
          <w:p>
            <w:pPr>
              <w:spacing w:after="0"/>
              <w:rPr>
                <w:sz w:val="20"/>
                <w:szCs w:val="20"/>
                <w:color w:val="auto"/>
              </w:rPr>
            </w:pPr>
            <w:r>
              <w:rPr>
                <w:rFonts w:ascii="Arial" w:cs="Arial" w:eastAsia="Arial" w:hAnsi="Arial"/>
                <w:sz w:val="18"/>
                <w:szCs w:val="18"/>
                <w:color w:val="auto"/>
              </w:rPr>
              <w:t>Pay”</w:t>
            </w:r>
          </w:p>
        </w:tc>
        <w:tc>
          <w:tcPr>
            <w:tcW w:w="1660" w:type="dxa"/>
            <w:vAlign w:val="bottom"/>
            <w:tcBorders>
              <w:bottom w:val="single" w:sz="8" w:color="2D53A6"/>
            </w:tcBorders>
            <w:shd w:val="clear" w:color="auto" w:fill="E6E6E6"/>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1700" w:type="dxa"/>
            <w:vAlign w:val="bottom"/>
            <w:tcBorders>
              <w:right w:val="single" w:sz="8" w:color="2D53A6"/>
            </w:tcBorders>
          </w:tcPr>
          <w:p>
            <w:pPr>
              <w:spacing w:after="0" w:line="195" w:lineRule="exact"/>
              <w:rPr>
                <w:sz w:val="20"/>
                <w:szCs w:val="20"/>
                <w:color w:val="auto"/>
              </w:rPr>
            </w:pPr>
            <w:r>
              <w:rPr>
                <w:rFonts w:ascii="Arial" w:cs="Arial" w:eastAsia="Arial" w:hAnsi="Arial"/>
                <w:sz w:val="18"/>
                <w:szCs w:val="18"/>
                <w:b w:val="1"/>
                <w:bCs w:val="1"/>
                <w:color w:val="auto"/>
              </w:rPr>
              <w:t>Record Date</w:t>
            </w:r>
          </w:p>
        </w:tc>
        <w:tc>
          <w:tcPr>
            <w:tcW w:w="3700" w:type="dxa"/>
            <w:vAlign w:val="bottom"/>
          </w:tcPr>
          <w:p>
            <w:pPr>
              <w:spacing w:after="0" w:line="195" w:lineRule="exact"/>
              <w:rPr>
                <w:sz w:val="20"/>
                <w:szCs w:val="20"/>
                <w:color w:val="auto"/>
              </w:rPr>
            </w:pPr>
            <w:r>
              <w:rPr>
                <w:rFonts w:ascii="Arial" w:cs="Arial" w:eastAsia="Arial" w:hAnsi="Arial"/>
                <w:sz w:val="18"/>
                <w:szCs w:val="18"/>
                <w:color w:val="auto"/>
              </w:rPr>
              <w:t>Only stockholders of record at the close of</w:t>
            </w:r>
          </w:p>
        </w:tc>
        <w:tc>
          <w:tcPr>
            <w:tcW w:w="820" w:type="dxa"/>
            <w:vAlign w:val="bottom"/>
            <w:tcBorders>
              <w:right w:val="single" w:sz="8" w:color="2D53A6"/>
            </w:tcBorders>
            <w:gridSpan w:val="2"/>
          </w:tcPr>
          <w:p>
            <w:pPr>
              <w:jc w:val="right"/>
              <w:ind w:right="140"/>
              <w:spacing w:after="0" w:line="195" w:lineRule="exact"/>
              <w:rPr>
                <w:sz w:val="20"/>
                <w:szCs w:val="20"/>
                <w:color w:val="auto"/>
              </w:rPr>
            </w:pPr>
            <w:r>
              <w:rPr>
                <w:rFonts w:ascii="Arial" w:cs="Arial" w:eastAsia="Arial" w:hAnsi="Arial"/>
                <w:sz w:val="18"/>
                <w:szCs w:val="18"/>
                <w:b w:val="1"/>
                <w:bCs w:val="1"/>
                <w:color w:val="auto"/>
              </w:rPr>
              <w:t>3</w:t>
            </w:r>
          </w:p>
        </w:tc>
        <w:tc>
          <w:tcPr>
            <w:tcW w:w="3360" w:type="dxa"/>
            <w:vAlign w:val="bottom"/>
            <w:tcBorders>
              <w:right w:val="single" w:sz="8" w:color="2D53A6"/>
            </w:tcBorders>
          </w:tcPr>
          <w:p>
            <w:pPr>
              <w:spacing w:after="0" w:line="195" w:lineRule="exact"/>
              <w:rPr>
                <w:sz w:val="20"/>
                <w:szCs w:val="20"/>
                <w:color w:val="auto"/>
              </w:rPr>
            </w:pPr>
            <w:r>
              <w:rPr>
                <w:rFonts w:ascii="Arial" w:cs="Arial" w:eastAsia="Arial" w:hAnsi="Arial"/>
                <w:sz w:val="18"/>
                <w:szCs w:val="18"/>
                <w:color w:val="auto"/>
                <w:w w:val="92"/>
              </w:rPr>
              <w:t>Approve an amendment to our Amended and</w:t>
            </w: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00" w:type="dxa"/>
            <w:vAlign w:val="bottom"/>
            <w:tcBorders>
              <w:right w:val="single" w:sz="8" w:color="2D53A6"/>
            </w:tcBorders>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business on March 14, 2022, the “Record</w:t>
            </w:r>
          </w:p>
        </w:tc>
        <w:tc>
          <w:tcPr>
            <w:tcW w:w="460" w:type="dxa"/>
            <w:vAlign w:val="bottom"/>
          </w:tcPr>
          <w:p>
            <w:pPr>
              <w:spacing w:after="0"/>
              <w:rPr>
                <w:sz w:val="18"/>
                <w:szCs w:val="18"/>
                <w:color w:val="auto"/>
              </w:rPr>
            </w:pPr>
          </w:p>
        </w:tc>
        <w:tc>
          <w:tcPr>
            <w:tcW w:w="360" w:type="dxa"/>
            <w:vAlign w:val="bottom"/>
            <w:tcBorders>
              <w:right w:val="single" w:sz="8" w:color="2D53A6"/>
            </w:tcBorders>
          </w:tcPr>
          <w:p>
            <w:pPr>
              <w:spacing w:after="0"/>
              <w:rPr>
                <w:sz w:val="18"/>
                <w:szCs w:val="18"/>
                <w:color w:val="auto"/>
              </w:rPr>
            </w:pPr>
          </w:p>
        </w:tc>
        <w:tc>
          <w:tcPr>
            <w:tcW w:w="3360" w:type="dxa"/>
            <w:vAlign w:val="bottom"/>
            <w:tcBorders>
              <w:right w:val="single" w:sz="8" w:color="2D53A6"/>
            </w:tcBorders>
          </w:tcPr>
          <w:p>
            <w:pPr>
              <w:spacing w:after="0"/>
              <w:rPr>
                <w:sz w:val="20"/>
                <w:szCs w:val="20"/>
                <w:color w:val="auto"/>
              </w:rPr>
            </w:pPr>
            <w:r>
              <w:rPr>
                <w:rFonts w:ascii="Arial" w:cs="Arial" w:eastAsia="Arial" w:hAnsi="Arial"/>
                <w:sz w:val="18"/>
                <w:szCs w:val="18"/>
                <w:color w:val="auto"/>
              </w:rPr>
              <w:t>Restated Certificate of Incorporation</w:t>
            </w:r>
          </w:p>
        </w:tc>
        <w:tc>
          <w:tcPr>
            <w:tcW w:w="16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8"/>
              </w:rPr>
              <w:t>√ FOR</w:t>
            </w:r>
          </w:p>
        </w:tc>
        <w:tc>
          <w:tcPr>
            <w:tcW w:w="0" w:type="dxa"/>
            <w:vAlign w:val="bottom"/>
          </w:tcPr>
          <w:p>
            <w:pPr>
              <w:spacing w:after="0"/>
              <w:rPr>
                <w:sz w:val="1"/>
                <w:szCs w:val="1"/>
                <w:color w:val="auto"/>
              </w:rPr>
            </w:pPr>
          </w:p>
        </w:tc>
      </w:tr>
      <w:tr>
        <w:trPr>
          <w:trHeight w:val="216"/>
        </w:trPr>
        <w:tc>
          <w:tcPr>
            <w:tcW w:w="1700" w:type="dxa"/>
            <w:vAlign w:val="bottom"/>
            <w:tcBorders>
              <w:right w:val="single" w:sz="8" w:color="2D53A6"/>
            </w:tcBorders>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4"/>
              </w:rPr>
              <w:t>Date,” are entitled to notice of, and to vote at, the</w:t>
            </w:r>
          </w:p>
        </w:tc>
        <w:tc>
          <w:tcPr>
            <w:tcW w:w="460" w:type="dxa"/>
            <w:vAlign w:val="bottom"/>
          </w:tcPr>
          <w:p>
            <w:pPr>
              <w:spacing w:after="0"/>
              <w:rPr>
                <w:sz w:val="18"/>
                <w:szCs w:val="18"/>
                <w:color w:val="auto"/>
              </w:rPr>
            </w:pPr>
          </w:p>
        </w:tc>
        <w:tc>
          <w:tcPr>
            <w:tcW w:w="360" w:type="dxa"/>
            <w:vAlign w:val="bottom"/>
            <w:tcBorders>
              <w:right w:val="single" w:sz="8" w:color="2D53A6"/>
            </w:tcBorders>
          </w:tcPr>
          <w:p>
            <w:pPr>
              <w:spacing w:after="0"/>
              <w:rPr>
                <w:sz w:val="18"/>
                <w:szCs w:val="18"/>
                <w:color w:val="auto"/>
              </w:rPr>
            </w:pPr>
          </w:p>
        </w:tc>
        <w:tc>
          <w:tcPr>
            <w:tcW w:w="3360" w:type="dxa"/>
            <w:vAlign w:val="bottom"/>
            <w:tcBorders>
              <w:right w:val="single" w:sz="8" w:color="2D53A6"/>
            </w:tcBorders>
          </w:tcPr>
          <w:p>
            <w:pPr>
              <w:spacing w:after="0"/>
              <w:rPr>
                <w:sz w:val="20"/>
                <w:szCs w:val="20"/>
                <w:color w:val="auto"/>
              </w:rPr>
            </w:pPr>
            <w:r>
              <w:rPr>
                <w:rFonts w:ascii="Arial" w:cs="Arial" w:eastAsia="Arial" w:hAnsi="Arial"/>
                <w:sz w:val="18"/>
                <w:szCs w:val="18"/>
                <w:color w:val="auto"/>
                <w:w w:val="90"/>
              </w:rPr>
              <w:t>increasing the number of authorized shares of</w:t>
            </w:r>
          </w:p>
        </w:tc>
        <w:tc>
          <w:tcPr>
            <w:tcW w:w="1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Borders>
              <w:right w:val="single" w:sz="8" w:color="2D53A6"/>
            </w:tcBorders>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annual meeting</w:t>
            </w:r>
          </w:p>
        </w:tc>
        <w:tc>
          <w:tcPr>
            <w:tcW w:w="460" w:type="dxa"/>
            <w:vAlign w:val="bottom"/>
          </w:tcPr>
          <w:p>
            <w:pPr>
              <w:spacing w:after="0"/>
              <w:rPr>
                <w:sz w:val="18"/>
                <w:szCs w:val="18"/>
                <w:color w:val="auto"/>
              </w:rPr>
            </w:pPr>
          </w:p>
        </w:tc>
        <w:tc>
          <w:tcPr>
            <w:tcW w:w="360" w:type="dxa"/>
            <w:vAlign w:val="bottom"/>
            <w:tcBorders>
              <w:right w:val="single" w:sz="8" w:color="2D53A6"/>
            </w:tcBorders>
          </w:tcPr>
          <w:p>
            <w:pPr>
              <w:spacing w:after="0"/>
              <w:rPr>
                <w:sz w:val="18"/>
                <w:szCs w:val="18"/>
                <w:color w:val="auto"/>
              </w:rPr>
            </w:pPr>
          </w:p>
        </w:tc>
        <w:tc>
          <w:tcPr>
            <w:tcW w:w="3360" w:type="dxa"/>
            <w:vAlign w:val="bottom"/>
            <w:tcBorders>
              <w:right w:val="single" w:sz="8" w:color="2D53A6"/>
            </w:tcBorders>
          </w:tcPr>
          <w:p>
            <w:pPr>
              <w:spacing w:after="0"/>
              <w:rPr>
                <w:sz w:val="20"/>
                <w:szCs w:val="20"/>
                <w:color w:val="auto"/>
              </w:rPr>
            </w:pPr>
            <w:r>
              <w:rPr>
                <w:rFonts w:ascii="Arial" w:cs="Arial" w:eastAsia="Arial" w:hAnsi="Arial"/>
                <w:sz w:val="18"/>
                <w:szCs w:val="18"/>
                <w:color w:val="auto"/>
                <w:w w:val="90"/>
              </w:rPr>
              <w:t>common stock from 60,000,000 to 90,000,000</w:t>
            </w: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00" w:type="dxa"/>
            <w:vAlign w:val="bottom"/>
            <w:tcBorders>
              <w:bottom w:val="single" w:sz="8" w:color="2D53A6"/>
              <w:right w:val="single" w:sz="8" w:color="2D53A6"/>
            </w:tcBorders>
          </w:tcPr>
          <w:p>
            <w:pPr>
              <w:spacing w:after="0"/>
              <w:rPr>
                <w:sz w:val="20"/>
                <w:szCs w:val="20"/>
                <w:color w:val="auto"/>
              </w:rPr>
            </w:pPr>
          </w:p>
        </w:tc>
        <w:tc>
          <w:tcPr>
            <w:tcW w:w="3700" w:type="dxa"/>
            <w:vAlign w:val="bottom"/>
            <w:tcBorders>
              <w:bottom w:val="single" w:sz="8" w:color="2D53A6"/>
            </w:tcBorders>
          </w:tcPr>
          <w:p>
            <w:pPr>
              <w:spacing w:after="0"/>
              <w:rPr>
                <w:sz w:val="20"/>
                <w:szCs w:val="20"/>
                <w:color w:val="auto"/>
              </w:rPr>
            </w:pPr>
          </w:p>
        </w:tc>
        <w:tc>
          <w:tcPr>
            <w:tcW w:w="460" w:type="dxa"/>
            <w:vAlign w:val="bottom"/>
          </w:tcPr>
          <w:p>
            <w:pPr>
              <w:spacing w:after="0"/>
              <w:rPr>
                <w:sz w:val="20"/>
                <w:szCs w:val="20"/>
                <w:color w:val="auto"/>
              </w:rPr>
            </w:pPr>
          </w:p>
        </w:tc>
        <w:tc>
          <w:tcPr>
            <w:tcW w:w="360" w:type="dxa"/>
            <w:vAlign w:val="bottom"/>
            <w:tcBorders>
              <w:bottom w:val="single" w:sz="8" w:color="2D53A6"/>
              <w:right w:val="single" w:sz="8" w:color="2D53A6"/>
            </w:tcBorders>
          </w:tcPr>
          <w:p>
            <w:pPr>
              <w:spacing w:after="0"/>
              <w:rPr>
                <w:sz w:val="20"/>
                <w:szCs w:val="20"/>
                <w:color w:val="auto"/>
              </w:rPr>
            </w:pPr>
          </w:p>
        </w:tc>
        <w:tc>
          <w:tcPr>
            <w:tcW w:w="3360" w:type="dxa"/>
            <w:vAlign w:val="bottom"/>
            <w:tcBorders>
              <w:bottom w:val="single" w:sz="8" w:color="2D53A6"/>
              <w:right w:val="single" w:sz="8" w:color="2D53A6"/>
            </w:tcBorders>
          </w:tcPr>
          <w:p>
            <w:pPr>
              <w:spacing w:after="0"/>
              <w:rPr>
                <w:sz w:val="20"/>
                <w:szCs w:val="20"/>
                <w:color w:val="auto"/>
              </w:rPr>
            </w:pPr>
            <w:r>
              <w:rPr>
                <w:rFonts w:ascii="Arial" w:cs="Arial" w:eastAsia="Arial" w:hAnsi="Arial"/>
                <w:sz w:val="18"/>
                <w:szCs w:val="18"/>
                <w:color w:val="auto"/>
              </w:rPr>
              <w:t>shares</w:t>
            </w:r>
          </w:p>
        </w:tc>
        <w:tc>
          <w:tcPr>
            <w:tcW w:w="1660" w:type="dxa"/>
            <w:vAlign w:val="bottom"/>
            <w:tcBorders>
              <w:bottom w:val="single" w:sz="8" w:color="2D53A6"/>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5400" w:type="dxa"/>
            <w:vAlign w:val="bottom"/>
            <w:gridSpan w:val="2"/>
            <w:vMerge w:val="restart"/>
            <w:shd w:val="clear" w:color="auto" w:fill="E6E6E6"/>
          </w:tcPr>
          <w:p>
            <w:pPr>
              <w:spacing w:after="0"/>
              <w:rPr>
                <w:sz w:val="20"/>
                <w:szCs w:val="20"/>
                <w:color w:val="auto"/>
              </w:rPr>
            </w:pPr>
            <w:r>
              <w:rPr>
                <w:rFonts w:ascii="Arial" w:cs="Arial" w:eastAsia="Arial" w:hAnsi="Arial"/>
                <w:sz w:val="18"/>
                <w:szCs w:val="18"/>
                <w:b w:val="1"/>
                <w:bCs w:val="1"/>
                <w:color w:val="auto"/>
              </w:rPr>
              <w:t>Proxy and Annual Report Materials</w:t>
            </w:r>
          </w:p>
        </w:tc>
        <w:tc>
          <w:tcPr>
            <w:tcW w:w="820" w:type="dxa"/>
            <w:vAlign w:val="bottom"/>
            <w:tcBorders>
              <w:right w:val="single" w:sz="8" w:color="2D53A6"/>
            </w:tcBorders>
            <w:gridSpan w:val="2"/>
            <w:shd w:val="clear" w:color="auto" w:fill="E6E6E6"/>
          </w:tcPr>
          <w:p>
            <w:pPr>
              <w:jc w:val="right"/>
              <w:ind w:right="140"/>
              <w:spacing w:after="0" w:line="195" w:lineRule="exact"/>
              <w:rPr>
                <w:sz w:val="20"/>
                <w:szCs w:val="20"/>
                <w:color w:val="auto"/>
              </w:rPr>
            </w:pPr>
            <w:r>
              <w:rPr>
                <w:rFonts w:ascii="Arial" w:cs="Arial" w:eastAsia="Arial" w:hAnsi="Arial"/>
                <w:sz w:val="18"/>
                <w:szCs w:val="18"/>
                <w:b w:val="1"/>
                <w:bCs w:val="1"/>
                <w:color w:val="auto"/>
              </w:rPr>
              <w:t>4</w:t>
            </w:r>
          </w:p>
        </w:tc>
        <w:tc>
          <w:tcPr>
            <w:tcW w:w="3360" w:type="dxa"/>
            <w:vAlign w:val="bottom"/>
            <w:tcBorders>
              <w:right w:val="single" w:sz="8" w:color="2D53A6"/>
            </w:tcBorders>
            <w:shd w:val="clear" w:color="auto" w:fill="E6E6E6"/>
          </w:tcPr>
          <w:p>
            <w:pPr>
              <w:spacing w:after="0" w:line="195" w:lineRule="exact"/>
              <w:rPr>
                <w:sz w:val="20"/>
                <w:szCs w:val="20"/>
                <w:color w:val="auto"/>
              </w:rPr>
            </w:pPr>
            <w:r>
              <w:rPr>
                <w:rFonts w:ascii="Arial" w:cs="Arial" w:eastAsia="Arial" w:hAnsi="Arial"/>
                <w:sz w:val="18"/>
                <w:szCs w:val="18"/>
                <w:color w:val="auto"/>
              </w:rPr>
              <w:t>Ratification of the appointment of Ernst &amp;</w:t>
            </w:r>
          </w:p>
        </w:tc>
        <w:tc>
          <w:tcPr>
            <w:tcW w:w="1660" w:type="dxa"/>
            <w:vAlign w:val="bottom"/>
            <w:vMerge w:val="restart"/>
            <w:shd w:val="clear" w:color="auto" w:fill="E6E6E6"/>
          </w:tcPr>
          <w:p>
            <w:pPr>
              <w:jc w:val="center"/>
              <w:spacing w:after="0"/>
              <w:rPr>
                <w:sz w:val="20"/>
                <w:szCs w:val="20"/>
                <w:color w:val="auto"/>
              </w:rPr>
            </w:pPr>
            <w:r>
              <w:rPr>
                <w:rFonts w:ascii="Arial" w:cs="Arial" w:eastAsia="Arial" w:hAnsi="Arial"/>
                <w:sz w:val="18"/>
                <w:szCs w:val="18"/>
                <w:b w:val="1"/>
                <w:bCs w:val="1"/>
                <w:color w:val="auto"/>
                <w:w w:val="98"/>
              </w:rPr>
              <w:t>√ FOR</w:t>
            </w:r>
          </w:p>
        </w:tc>
        <w:tc>
          <w:tcPr>
            <w:tcW w:w="0" w:type="dxa"/>
            <w:vAlign w:val="bottom"/>
          </w:tcPr>
          <w:p>
            <w:pPr>
              <w:spacing w:after="0"/>
              <w:rPr>
                <w:sz w:val="1"/>
                <w:szCs w:val="1"/>
                <w:color w:val="auto"/>
              </w:rPr>
            </w:pPr>
          </w:p>
        </w:tc>
      </w:tr>
      <w:tr>
        <w:trPr>
          <w:trHeight w:val="216"/>
        </w:trPr>
        <w:tc>
          <w:tcPr>
            <w:tcW w:w="5400" w:type="dxa"/>
            <w:vAlign w:val="bottom"/>
            <w:gridSpan w:val="2"/>
            <w:vMerge w:val="continue"/>
            <w:shd w:val="clear" w:color="auto" w:fill="E6E6E6"/>
          </w:tcPr>
          <w:p>
            <w:pPr>
              <w:spacing w:after="0"/>
              <w:rPr>
                <w:sz w:val="18"/>
                <w:szCs w:val="18"/>
                <w:color w:val="auto"/>
              </w:rPr>
            </w:pPr>
          </w:p>
        </w:tc>
        <w:tc>
          <w:tcPr>
            <w:tcW w:w="460" w:type="dxa"/>
            <w:vAlign w:val="bottom"/>
            <w:shd w:val="clear" w:color="auto" w:fill="E6E6E6"/>
          </w:tcPr>
          <w:p>
            <w:pPr>
              <w:spacing w:after="0"/>
              <w:rPr>
                <w:sz w:val="18"/>
                <w:szCs w:val="18"/>
                <w:color w:val="auto"/>
              </w:rPr>
            </w:pPr>
          </w:p>
        </w:tc>
        <w:tc>
          <w:tcPr>
            <w:tcW w:w="360" w:type="dxa"/>
            <w:vAlign w:val="bottom"/>
            <w:tcBorders>
              <w:right w:val="single" w:sz="8" w:color="2D53A6"/>
            </w:tcBorders>
            <w:shd w:val="clear" w:color="auto" w:fill="E6E6E6"/>
          </w:tcPr>
          <w:p>
            <w:pPr>
              <w:spacing w:after="0"/>
              <w:rPr>
                <w:sz w:val="18"/>
                <w:szCs w:val="18"/>
                <w:color w:val="auto"/>
              </w:rPr>
            </w:pPr>
          </w:p>
        </w:tc>
        <w:tc>
          <w:tcPr>
            <w:tcW w:w="3360" w:type="dxa"/>
            <w:vAlign w:val="bottom"/>
            <w:tcBorders>
              <w:right w:val="single" w:sz="8" w:color="2D53A6"/>
            </w:tcBorders>
            <w:shd w:val="clear" w:color="auto" w:fill="E6E6E6"/>
          </w:tcPr>
          <w:p>
            <w:pPr>
              <w:spacing w:after="0"/>
              <w:rPr>
                <w:sz w:val="20"/>
                <w:szCs w:val="20"/>
                <w:color w:val="auto"/>
              </w:rPr>
            </w:pPr>
            <w:r>
              <w:rPr>
                <w:rFonts w:ascii="Arial" w:cs="Arial" w:eastAsia="Arial" w:hAnsi="Arial"/>
                <w:sz w:val="18"/>
                <w:szCs w:val="18"/>
                <w:color w:val="auto"/>
                <w:w w:val="99"/>
              </w:rPr>
              <w:t>Young LLP as our independent registered</w:t>
            </w:r>
          </w:p>
        </w:tc>
        <w:tc>
          <w:tcPr>
            <w:tcW w:w="1660" w:type="dxa"/>
            <w:vAlign w:val="bottom"/>
            <w:vMerge w:val="continue"/>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0" w:type="dxa"/>
            <w:vAlign w:val="bottom"/>
            <w:tcBorders>
              <w:bottom w:val="single" w:sz="8" w:color="E6E6E6"/>
            </w:tcBorders>
            <w:gridSpan w:val="2"/>
            <w:vMerge w:val="restart"/>
            <w:shd w:val="clear" w:color="auto" w:fill="E6E6E6"/>
          </w:tcPr>
          <w:p>
            <w:pPr>
              <w:spacing w:after="0"/>
              <w:rPr>
                <w:sz w:val="20"/>
                <w:szCs w:val="20"/>
                <w:color w:val="auto"/>
              </w:rPr>
            </w:pPr>
            <w:r>
              <w:rPr>
                <w:rFonts w:ascii="Arial" w:cs="Arial" w:eastAsia="Arial" w:hAnsi="Arial"/>
                <w:sz w:val="18"/>
                <w:szCs w:val="18"/>
                <w:b w:val="1"/>
                <w:bCs w:val="1"/>
                <w:color w:val="auto"/>
              </w:rPr>
              <w:t>IMPORTANT NOTICE REGARDING THE AVAILABILITY OF</w:t>
            </w:r>
          </w:p>
        </w:tc>
        <w:tc>
          <w:tcPr>
            <w:tcW w:w="460" w:type="dxa"/>
            <w:vAlign w:val="bottom"/>
            <w:tcBorders>
              <w:bottom w:val="single" w:sz="8" w:color="E6E6E6"/>
            </w:tcBorders>
            <w:shd w:val="clear" w:color="auto" w:fill="E6E6E6"/>
          </w:tcPr>
          <w:p>
            <w:pPr>
              <w:spacing w:after="0"/>
              <w:rPr>
                <w:sz w:val="20"/>
                <w:szCs w:val="20"/>
                <w:color w:val="auto"/>
              </w:rPr>
            </w:pPr>
          </w:p>
        </w:tc>
        <w:tc>
          <w:tcPr>
            <w:tcW w:w="360" w:type="dxa"/>
            <w:vAlign w:val="bottom"/>
            <w:tcBorders>
              <w:bottom w:val="single" w:sz="8" w:color="2D53A6"/>
              <w:right w:val="single" w:sz="8" w:color="2D53A6"/>
            </w:tcBorders>
            <w:shd w:val="clear" w:color="auto" w:fill="E6E6E6"/>
          </w:tcPr>
          <w:p>
            <w:pPr>
              <w:spacing w:after="0"/>
              <w:rPr>
                <w:sz w:val="20"/>
                <w:szCs w:val="20"/>
                <w:color w:val="auto"/>
              </w:rPr>
            </w:pPr>
          </w:p>
        </w:tc>
        <w:tc>
          <w:tcPr>
            <w:tcW w:w="3360" w:type="dxa"/>
            <w:vAlign w:val="bottom"/>
            <w:tcBorders>
              <w:bottom w:val="single" w:sz="8" w:color="2D53A6"/>
              <w:right w:val="single" w:sz="8" w:color="2D53A6"/>
            </w:tcBorders>
            <w:shd w:val="clear" w:color="auto" w:fill="E6E6E6"/>
          </w:tcPr>
          <w:p>
            <w:pPr>
              <w:spacing w:after="0"/>
              <w:rPr>
                <w:sz w:val="20"/>
                <w:szCs w:val="20"/>
                <w:color w:val="auto"/>
              </w:rPr>
            </w:pPr>
            <w:r>
              <w:rPr>
                <w:rFonts w:ascii="Arial" w:cs="Arial" w:eastAsia="Arial" w:hAnsi="Arial"/>
                <w:sz w:val="18"/>
                <w:szCs w:val="18"/>
                <w:color w:val="auto"/>
              </w:rPr>
              <w:t>public accounting firm for fiscal year 2022</w:t>
            </w:r>
          </w:p>
        </w:tc>
        <w:tc>
          <w:tcPr>
            <w:tcW w:w="1660" w:type="dxa"/>
            <w:vAlign w:val="bottom"/>
            <w:tcBorders>
              <w:bottom w:val="single" w:sz="8" w:color="2D53A6"/>
            </w:tcBorders>
            <w:shd w:val="clear" w:color="auto" w:fill="E6E6E6"/>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5400" w:type="dxa"/>
            <w:vAlign w:val="bottom"/>
            <w:gridSpan w:val="2"/>
            <w:vMerge w:val="continue"/>
            <w:shd w:val="clear" w:color="auto" w:fill="E6E6E6"/>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Borders>
              <w:right w:val="single" w:sz="8" w:color="2D53A6"/>
            </w:tcBorders>
          </w:tcPr>
          <w:p>
            <w:pPr>
              <w:spacing w:after="0"/>
              <w:rPr>
                <w:sz w:val="15"/>
                <w:szCs w:val="15"/>
                <w:color w:val="auto"/>
              </w:rPr>
            </w:pPr>
          </w:p>
        </w:tc>
        <w:tc>
          <w:tcPr>
            <w:tcW w:w="3360" w:type="dxa"/>
            <w:vAlign w:val="bottom"/>
            <w:tcBorders>
              <w:right w:val="single" w:sz="8" w:color="2D53A6"/>
            </w:tcBorders>
          </w:tcPr>
          <w:p>
            <w:pPr>
              <w:spacing w:after="0" w:line="177" w:lineRule="exact"/>
              <w:rPr>
                <w:sz w:val="20"/>
                <w:szCs w:val="20"/>
                <w:color w:val="auto"/>
              </w:rPr>
            </w:pPr>
            <w:r>
              <w:rPr>
                <w:rFonts w:ascii="Arial" w:cs="Arial" w:eastAsia="Arial" w:hAnsi="Arial"/>
                <w:sz w:val="18"/>
                <w:szCs w:val="18"/>
                <w:color w:val="auto"/>
                <w:w w:val="89"/>
              </w:rPr>
              <w:t>Transaction of other business as may properly</w:t>
            </w: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E6E6E6"/>
          </w:tcPr>
          <w:p>
            <w:pPr>
              <w:spacing w:after="0"/>
              <w:rPr>
                <w:sz w:val="20"/>
                <w:szCs w:val="20"/>
                <w:color w:val="auto"/>
              </w:rPr>
            </w:pPr>
            <w:r>
              <w:rPr>
                <w:rFonts w:ascii="Arial" w:cs="Arial" w:eastAsia="Arial" w:hAnsi="Arial"/>
                <w:sz w:val="18"/>
                <w:szCs w:val="18"/>
                <w:b w:val="1"/>
                <w:bCs w:val="1"/>
                <w:color w:val="auto"/>
              </w:rPr>
              <w:t>PROXY MATERIALS FOR THE 2022 ANNUAL MEETING OF</w:t>
            </w:r>
          </w:p>
        </w:tc>
        <w:tc>
          <w:tcPr>
            <w:tcW w:w="460" w:type="dxa"/>
            <w:vAlign w:val="bottom"/>
          </w:tcPr>
          <w:p>
            <w:pPr>
              <w:spacing w:after="0"/>
              <w:rPr>
                <w:sz w:val="18"/>
                <w:szCs w:val="18"/>
                <w:color w:val="auto"/>
              </w:rPr>
            </w:pPr>
          </w:p>
        </w:tc>
        <w:tc>
          <w:tcPr>
            <w:tcW w:w="360" w:type="dxa"/>
            <w:vAlign w:val="bottom"/>
            <w:tcBorders>
              <w:right w:val="single" w:sz="8" w:color="2D53A6"/>
            </w:tcBorders>
          </w:tcPr>
          <w:p>
            <w:pPr>
              <w:spacing w:after="0"/>
              <w:rPr>
                <w:sz w:val="18"/>
                <w:szCs w:val="18"/>
                <w:color w:val="auto"/>
              </w:rPr>
            </w:pPr>
          </w:p>
        </w:tc>
        <w:tc>
          <w:tcPr>
            <w:tcW w:w="3360" w:type="dxa"/>
            <w:vAlign w:val="bottom"/>
            <w:tcBorders>
              <w:right w:val="single" w:sz="8" w:color="2D53A6"/>
            </w:tcBorders>
          </w:tcPr>
          <w:p>
            <w:pPr>
              <w:spacing w:after="0"/>
              <w:rPr>
                <w:sz w:val="20"/>
                <w:szCs w:val="20"/>
                <w:color w:val="auto"/>
              </w:rPr>
            </w:pPr>
            <w:r>
              <w:rPr>
                <w:rFonts w:ascii="Arial" w:cs="Arial" w:eastAsia="Arial" w:hAnsi="Arial"/>
                <w:sz w:val="18"/>
                <w:szCs w:val="18"/>
                <w:color w:val="auto"/>
                <w:w w:val="97"/>
              </w:rPr>
              <w:t>come before the annual meeting (including</w:t>
            </w: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400" w:type="dxa"/>
            <w:vAlign w:val="bottom"/>
            <w:tcBorders>
              <w:bottom w:val="single" w:sz="8" w:color="E6E6E6"/>
            </w:tcBorders>
            <w:gridSpan w:val="2"/>
            <w:shd w:val="clear" w:color="auto" w:fill="E6E6E6"/>
          </w:tcPr>
          <w:p>
            <w:pPr>
              <w:spacing w:after="0"/>
              <w:rPr>
                <w:sz w:val="20"/>
                <w:szCs w:val="20"/>
                <w:color w:val="auto"/>
              </w:rPr>
            </w:pPr>
            <w:r>
              <w:rPr>
                <w:rFonts w:ascii="Arial" w:cs="Arial" w:eastAsia="Arial" w:hAnsi="Arial"/>
                <w:sz w:val="18"/>
                <w:szCs w:val="18"/>
                <w:b w:val="1"/>
                <w:bCs w:val="1"/>
                <w:color w:val="auto"/>
              </w:rPr>
              <w:t>STOCKHOLDERS TO BE HELD MAY 4, 2022</w:t>
            </w:r>
          </w:p>
        </w:tc>
        <w:tc>
          <w:tcPr>
            <w:tcW w:w="460" w:type="dxa"/>
            <w:vAlign w:val="bottom"/>
          </w:tcPr>
          <w:p>
            <w:pPr>
              <w:spacing w:after="0"/>
              <w:rPr>
                <w:sz w:val="21"/>
                <w:szCs w:val="21"/>
                <w:color w:val="auto"/>
              </w:rPr>
            </w:pPr>
          </w:p>
        </w:tc>
        <w:tc>
          <w:tcPr>
            <w:tcW w:w="360" w:type="dxa"/>
            <w:vAlign w:val="bottom"/>
            <w:tcBorders>
              <w:bottom w:val="single" w:sz="8" w:color="2D53A6"/>
              <w:right w:val="single" w:sz="8" w:color="2D53A6"/>
            </w:tcBorders>
          </w:tcPr>
          <w:p>
            <w:pPr>
              <w:spacing w:after="0"/>
              <w:rPr>
                <w:sz w:val="21"/>
                <w:szCs w:val="21"/>
                <w:color w:val="auto"/>
              </w:rPr>
            </w:pPr>
          </w:p>
        </w:tc>
        <w:tc>
          <w:tcPr>
            <w:tcW w:w="3360" w:type="dxa"/>
            <w:vAlign w:val="bottom"/>
            <w:tcBorders>
              <w:bottom w:val="single" w:sz="8" w:color="2D53A6"/>
              <w:right w:val="single" w:sz="8" w:color="2D53A6"/>
            </w:tcBorders>
          </w:tcPr>
          <w:p>
            <w:pPr>
              <w:spacing w:after="0"/>
              <w:rPr>
                <w:sz w:val="20"/>
                <w:szCs w:val="20"/>
                <w:color w:val="auto"/>
              </w:rPr>
            </w:pPr>
            <w:r>
              <w:rPr>
                <w:rFonts w:ascii="Arial" w:cs="Arial" w:eastAsia="Arial" w:hAnsi="Arial"/>
                <w:sz w:val="18"/>
                <w:szCs w:val="18"/>
                <w:color w:val="auto"/>
                <w:w w:val="97"/>
              </w:rPr>
              <w:t>any adjournment or postponement thereof)</w:t>
            </w:r>
          </w:p>
        </w:tc>
        <w:tc>
          <w:tcPr>
            <w:tcW w:w="1660" w:type="dxa"/>
            <w:vAlign w:val="bottom"/>
            <w:tcBorders>
              <w:bottom w:val="single" w:sz="8" w:color="2D53A6"/>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-2528570</wp:posOffset>
            </wp:positionV>
            <wp:extent cx="291465" cy="2914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91465" cy="29146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-1953895</wp:posOffset>
            </wp:positionV>
            <wp:extent cx="291465" cy="4203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1465" cy="4203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-839470</wp:posOffset>
            </wp:positionV>
            <wp:extent cx="3720465" cy="8401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720465" cy="84010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Our notice of 2022 Annual Meeting of Stockholders, proxy statement, and annual report to stockholders are available at </w:t>
      </w:r>
      <w:r>
        <w:rPr>
          <w:rFonts w:ascii="Arial" w:cs="Arial" w:eastAsia="Arial" w:hAnsi="Arial"/>
          <w:sz w:val="18"/>
          <w:szCs w:val="18"/>
          <w:u w:val="single" w:color="auto"/>
          <w:color w:val="auto"/>
        </w:rPr>
        <w:t>http://materials.proxyvote.com/192576</w:t>
      </w:r>
      <w:r>
        <w:rPr>
          <w:rFonts w:ascii="Arial" w:cs="Arial" w:eastAsia="Arial" w:hAnsi="Arial"/>
          <w:sz w:val="18"/>
          <w:szCs w:val="18"/>
          <w:color w:val="auto"/>
        </w:rPr>
        <w:t xml:space="preserve"> and on Cohu’s website at </w:t>
      </w:r>
      <w:r>
        <w:rPr>
          <w:rFonts w:ascii="Arial" w:cs="Arial" w:eastAsia="Arial" w:hAnsi="Arial"/>
          <w:sz w:val="18"/>
          <w:szCs w:val="18"/>
          <w:u w:val="single" w:color="auto"/>
          <w:color w:val="auto"/>
        </w:rPr>
        <w:t>www.cohu.com</w:t>
      </w:r>
      <w:r>
        <w:rPr>
          <w:rFonts w:ascii="Arial" w:cs="Arial" w:eastAsia="Arial" w:hAnsi="Arial"/>
          <w:sz w:val="18"/>
          <w:szCs w:val="18"/>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Elect Electronic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3429000" cy="16459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00" cy="164592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FFFFFF"/>
        </w:rPr>
        <w:t>Save Time, Money &amp; Trees</w:t>
      </w:r>
    </w:p>
    <w:p>
      <w:pPr>
        <w:spacing w:after="0" w:line="23"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FFFFFF"/>
        </w:rPr>
        <w:t>As part of our efforts to be an environmentally responsible corporate citizen, we encourage Cohu stockholders to voluntarily elect to receive future proxy and annual report materials electronically.</w:t>
      </w:r>
    </w:p>
    <w:p>
      <w:pPr>
        <w:spacing w:after="0" w:line="155" w:lineRule="exact"/>
        <w:rPr>
          <w:sz w:val="20"/>
          <w:szCs w:val="20"/>
          <w:color w:val="auto"/>
        </w:rPr>
      </w:pPr>
    </w:p>
    <w:p>
      <w:pPr>
        <w:ind w:left="500" w:right="1520" w:hanging="168"/>
        <w:spacing w:after="0" w:line="274" w:lineRule="auto"/>
        <w:tabs>
          <w:tab w:leader="none" w:pos="491" w:val="left"/>
        </w:tabs>
        <w:numPr>
          <w:ilvl w:val="0"/>
          <w:numId w:val="5"/>
        </w:numPr>
        <w:rPr>
          <w:rFonts w:ascii="Arial" w:cs="Arial" w:eastAsia="Arial" w:hAnsi="Arial"/>
          <w:sz w:val="17"/>
          <w:szCs w:val="17"/>
          <w:color w:val="FFFFFF"/>
        </w:rPr>
      </w:pPr>
      <w:r>
        <w:rPr>
          <w:rFonts w:ascii="Arial" w:cs="Arial" w:eastAsia="Arial" w:hAnsi="Arial"/>
          <w:sz w:val="17"/>
          <w:szCs w:val="17"/>
          <w:color w:val="FFFFFF"/>
        </w:rPr>
        <w:t>If you are a registered stockholder, please visit www.proxyvote.com for instructions.</w:t>
      </w:r>
    </w:p>
    <w:p>
      <w:pPr>
        <w:ind w:left="500" w:right="520" w:hanging="168"/>
        <w:spacing w:after="0" w:line="216" w:lineRule="exact"/>
        <w:tabs>
          <w:tab w:leader="none" w:pos="491" w:val="left"/>
        </w:tabs>
        <w:numPr>
          <w:ilvl w:val="0"/>
          <w:numId w:val="5"/>
        </w:numPr>
        <w:rPr>
          <w:rFonts w:ascii="Arial" w:cs="Arial" w:eastAsia="Arial" w:hAnsi="Arial"/>
          <w:sz w:val="18"/>
          <w:szCs w:val="18"/>
          <w:color w:val="FFFFFF"/>
        </w:rPr>
      </w:pPr>
      <w:r>
        <w:rPr>
          <w:rFonts w:ascii="Arial" w:cs="Arial" w:eastAsia="Arial" w:hAnsi="Arial"/>
          <w:sz w:val="18"/>
          <w:szCs w:val="18"/>
          <w:color w:val="FFFFFF"/>
        </w:rPr>
        <w:t>If you are a stockholder who owns stock through a broker or brokerage account, please opt for e</w:t>
      </w:r>
      <w:r>
        <w:rPr>
          <w:rFonts w:ascii="MS PGothic" w:cs="MS PGothic" w:eastAsia="MS PGothic" w:hAnsi="MS PGothic"/>
          <w:sz w:val="18"/>
          <w:szCs w:val="18"/>
          <w:color w:val="FFFFFF"/>
        </w:rPr>
        <w:t>‑</w:t>
      </w:r>
      <w:r>
        <w:rPr>
          <w:rFonts w:ascii="Arial" w:cs="Arial" w:eastAsia="Arial" w:hAnsi="Arial"/>
          <w:sz w:val="18"/>
          <w:szCs w:val="18"/>
          <w:color w:val="FFFFFF"/>
        </w:rPr>
        <w:t>delivery at www.proxyvote.com or by contacting your nominee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of Distribution</w:t>
      </w:r>
    </w:p>
    <w:p>
      <w:pPr>
        <w:spacing w:after="0" w:line="22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This notice, proxy statement and proxy card are first being made available and/or mailed to our stockholders on or about March 15, 2022.</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229" w:lineRule="exact"/>
        <w:rPr>
          <w:sz w:val="20"/>
          <w:szCs w:val="20"/>
          <w:color w:val="auto"/>
        </w:rPr>
      </w:pPr>
    </w:p>
    <w:p>
      <w:pPr>
        <w:ind w:right="440"/>
        <w:spacing w:after="0" w:line="286" w:lineRule="auto"/>
        <w:rPr>
          <w:sz w:val="20"/>
          <w:szCs w:val="20"/>
          <w:color w:val="auto"/>
        </w:rPr>
      </w:pPr>
      <w:r>
        <w:rPr>
          <w:rFonts w:ascii="Arial" w:cs="Arial" w:eastAsia="Arial" w:hAnsi="Arial"/>
          <w:sz w:val="17"/>
          <w:szCs w:val="17"/>
          <w:color w:val="auto"/>
        </w:rPr>
        <w:t>Please vote as soon as possible, even if you plan to attend the annual meeting, on all of the voting matters. You have three options for submitting your vote before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114300</wp:posOffset>
            </wp:positionV>
            <wp:extent cx="3128645" cy="7112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128645" cy="711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proxy statement and the accompanying proxy card provide detailed voting instructions.</w:t>
      </w:r>
    </w:p>
    <w:p>
      <w:pPr>
        <w:spacing w:after="0" w:line="166"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b w:val="1"/>
          <w:bCs w:val="1"/>
          <w:color w:val="auto"/>
        </w:rPr>
        <w:t xml:space="preserve">IT IS IMPORTANT THAT YOU VOTE </w:t>
      </w:r>
      <w:r>
        <w:rPr>
          <w:rFonts w:ascii="Arial" w:cs="Arial" w:eastAsia="Arial" w:hAnsi="Arial"/>
          <w:sz w:val="18"/>
          <w:szCs w:val="18"/>
          <w:color w:val="auto"/>
        </w:rPr>
        <w:t>to play a part in the future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Please carefully review the proxy materials for the 2022 Annual Meeting of Stockholders.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Thomas D. Kampfer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391795</wp:posOffset>
            </wp:positionV>
            <wp:extent cx="71323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-3715385</wp:posOffset>
            </wp:positionH>
            <wp:positionV relativeFrom="paragraph">
              <wp:posOffset>889000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360" w:space="500"/>
            <w:col w:w="5380"/>
          </w:cols>
          <w:pgMar w:left="320" w:top="773"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22"/>
          <w:szCs w:val="22"/>
          <w:i w:val="1"/>
          <w:iCs w:val="1"/>
          <w:color w:val="2D53A6"/>
        </w:rPr>
        <w:t>Proxy Statement for 2022 Annual Meeting of Stockholders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TABLE OF CONTENTS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9720" w:type="dxa"/>
            <w:vAlign w:val="bottom"/>
            <w:shd w:val="clear" w:color="auto" w:fill="2D53A6"/>
          </w:tcPr>
          <w:p>
            <w:pPr>
              <w:spacing w:after="0"/>
              <w:rPr>
                <w:sz w:val="20"/>
                <w:szCs w:val="20"/>
                <w:color w:val="auto"/>
              </w:rPr>
            </w:pPr>
            <w:r>
              <w:rPr>
                <w:rFonts w:ascii="Arial" w:cs="Arial" w:eastAsia="Arial" w:hAnsi="Arial"/>
                <w:sz w:val="18"/>
                <w:szCs w:val="18"/>
                <w:b w:val="1"/>
                <w:bCs w:val="1"/>
                <w:color w:val="FFFFFF"/>
              </w:rPr>
              <w:t>Proxy Statement Summary</w:t>
            </w:r>
          </w:p>
        </w:tc>
        <w:tc>
          <w:tcPr>
            <w:tcW w:w="1520" w:type="dxa"/>
            <w:vAlign w:val="bottom"/>
            <w:shd w:val="clear" w:color="auto" w:fill="2D53A6"/>
          </w:tcPr>
          <w:p>
            <w:pPr>
              <w:ind w:left="400"/>
              <w:spacing w:after="0"/>
              <w:rPr>
                <w:sz w:val="20"/>
                <w:szCs w:val="20"/>
                <w:color w:val="auto"/>
              </w:rPr>
            </w:pPr>
            <w:r>
              <w:rPr>
                <w:rFonts w:ascii="Arial" w:cs="Arial" w:eastAsia="Arial" w:hAnsi="Arial"/>
                <w:sz w:val="18"/>
                <w:szCs w:val="18"/>
                <w:b w:val="1"/>
                <w:bCs w:val="1"/>
                <w:color w:val="FFFFFF"/>
              </w:rPr>
              <w:t>Page 1</w:t>
            </w:r>
          </w:p>
        </w:tc>
      </w:tr>
      <w:tr>
        <w:trPr>
          <w:trHeight w:val="202"/>
        </w:trPr>
        <w:tc>
          <w:tcPr>
            <w:tcW w:w="9720" w:type="dxa"/>
            <w:vAlign w:val="bottom"/>
          </w:tcPr>
          <w:p>
            <w:pPr>
              <w:ind w:left="280"/>
              <w:spacing w:after="0" w:line="201" w:lineRule="exact"/>
              <w:rPr>
                <w:sz w:val="20"/>
                <w:szCs w:val="20"/>
                <w:color w:val="auto"/>
              </w:rPr>
            </w:pPr>
            <w:r>
              <w:rPr>
                <w:rFonts w:ascii="Arial" w:cs="Arial" w:eastAsia="Arial" w:hAnsi="Arial"/>
                <w:sz w:val="18"/>
                <w:szCs w:val="18"/>
                <w:color w:val="auto"/>
              </w:rPr>
              <w:t>About Cohu</w:t>
            </w:r>
          </w:p>
        </w:tc>
        <w:tc>
          <w:tcPr>
            <w:tcW w:w="1520" w:type="dxa"/>
            <w:vAlign w:val="bottom"/>
          </w:tcPr>
          <w:p>
            <w:pPr>
              <w:spacing w:after="0"/>
              <w:rPr>
                <w:sz w:val="17"/>
                <w:szCs w:val="17"/>
                <w:color w:val="auto"/>
              </w:rPr>
            </w:pPr>
          </w:p>
        </w:tc>
      </w:tr>
      <w:tr>
        <w:trPr>
          <w:trHeight w:val="216"/>
        </w:trPr>
        <w:tc>
          <w:tcPr>
            <w:tcW w:w="9720" w:type="dxa"/>
            <w:vAlign w:val="bottom"/>
          </w:tcPr>
          <w:p>
            <w:pPr>
              <w:ind w:left="280"/>
              <w:spacing w:after="0"/>
              <w:rPr>
                <w:sz w:val="20"/>
                <w:szCs w:val="20"/>
                <w:color w:val="auto"/>
              </w:rPr>
            </w:pPr>
            <w:r>
              <w:rPr>
                <w:rFonts w:ascii="Arial" w:cs="Arial" w:eastAsia="Arial" w:hAnsi="Arial"/>
                <w:sz w:val="18"/>
                <w:szCs w:val="18"/>
                <w:color w:val="auto"/>
              </w:rPr>
              <w:t>Fiscal Year 2021 Financial Highlights</w:t>
            </w:r>
          </w:p>
        </w:tc>
        <w:tc>
          <w:tcPr>
            <w:tcW w:w="1520" w:type="dxa"/>
            <w:vAlign w:val="bottom"/>
          </w:tcPr>
          <w:p>
            <w:pPr>
              <w:spacing w:after="0"/>
              <w:rPr>
                <w:sz w:val="18"/>
                <w:szCs w:val="18"/>
                <w:color w:val="auto"/>
              </w:rPr>
            </w:pPr>
          </w:p>
        </w:tc>
      </w:tr>
      <w:tr>
        <w:trPr>
          <w:trHeight w:val="216"/>
        </w:trPr>
        <w:tc>
          <w:tcPr>
            <w:tcW w:w="9720" w:type="dxa"/>
            <w:vAlign w:val="bottom"/>
          </w:tcPr>
          <w:p>
            <w:pPr>
              <w:ind w:left="280"/>
              <w:spacing w:after="0"/>
              <w:rPr>
                <w:sz w:val="20"/>
                <w:szCs w:val="20"/>
                <w:color w:val="auto"/>
              </w:rPr>
            </w:pPr>
            <w:r>
              <w:rPr>
                <w:rFonts w:ascii="Arial" w:cs="Arial" w:eastAsia="Arial" w:hAnsi="Arial"/>
                <w:sz w:val="18"/>
                <w:szCs w:val="18"/>
                <w:color w:val="auto"/>
              </w:rPr>
              <w:t>Proposals and Voting Recommendations</w:t>
            </w:r>
          </w:p>
        </w:tc>
        <w:tc>
          <w:tcPr>
            <w:tcW w:w="1520" w:type="dxa"/>
            <w:vAlign w:val="bottom"/>
          </w:tcPr>
          <w:p>
            <w:pPr>
              <w:spacing w:after="0"/>
              <w:rPr>
                <w:sz w:val="18"/>
                <w:szCs w:val="18"/>
                <w:color w:val="auto"/>
              </w:rPr>
            </w:pPr>
          </w:p>
        </w:tc>
      </w:tr>
      <w:tr>
        <w:trPr>
          <w:trHeight w:val="216"/>
        </w:trPr>
        <w:tc>
          <w:tcPr>
            <w:tcW w:w="9720" w:type="dxa"/>
            <w:vAlign w:val="bottom"/>
          </w:tcPr>
          <w:p>
            <w:pPr>
              <w:ind w:left="280"/>
              <w:spacing w:after="0"/>
              <w:rPr>
                <w:sz w:val="20"/>
                <w:szCs w:val="20"/>
                <w:color w:val="auto"/>
              </w:rPr>
            </w:pPr>
            <w:r>
              <w:rPr>
                <w:rFonts w:ascii="Arial" w:cs="Arial" w:eastAsia="Arial" w:hAnsi="Arial"/>
                <w:sz w:val="18"/>
                <w:szCs w:val="18"/>
                <w:color w:val="auto"/>
              </w:rPr>
              <w:t>Summary Information Regarding our Directors</w:t>
            </w:r>
          </w:p>
        </w:tc>
        <w:tc>
          <w:tcPr>
            <w:tcW w:w="1520" w:type="dxa"/>
            <w:vAlign w:val="bottom"/>
          </w:tcPr>
          <w:p>
            <w:pPr>
              <w:spacing w:after="0"/>
              <w:rPr>
                <w:sz w:val="18"/>
                <w:szCs w:val="18"/>
                <w:color w:val="auto"/>
              </w:rPr>
            </w:pPr>
          </w:p>
        </w:tc>
      </w:tr>
      <w:tr>
        <w:trPr>
          <w:trHeight w:val="216"/>
        </w:trPr>
        <w:tc>
          <w:tcPr>
            <w:tcW w:w="9720" w:type="dxa"/>
            <w:vAlign w:val="bottom"/>
          </w:tcPr>
          <w:p>
            <w:pPr>
              <w:ind w:left="280"/>
              <w:spacing w:after="0"/>
              <w:rPr>
                <w:sz w:val="20"/>
                <w:szCs w:val="20"/>
                <w:color w:val="auto"/>
              </w:rPr>
            </w:pPr>
            <w:r>
              <w:rPr>
                <w:rFonts w:ascii="Arial" w:cs="Arial" w:eastAsia="Arial" w:hAnsi="Arial"/>
                <w:sz w:val="18"/>
                <w:szCs w:val="18"/>
                <w:color w:val="auto"/>
              </w:rPr>
              <w:t>Director Key Requirements, Skills and Experience Highlights</w:t>
            </w:r>
          </w:p>
        </w:tc>
        <w:tc>
          <w:tcPr>
            <w:tcW w:w="1520" w:type="dxa"/>
            <w:vAlign w:val="bottom"/>
          </w:tcPr>
          <w:p>
            <w:pPr>
              <w:spacing w:after="0"/>
              <w:rPr>
                <w:sz w:val="18"/>
                <w:szCs w:val="18"/>
                <w:color w:val="auto"/>
              </w:rPr>
            </w:pPr>
          </w:p>
        </w:tc>
      </w:tr>
      <w:tr>
        <w:trPr>
          <w:trHeight w:val="216"/>
        </w:trPr>
        <w:tc>
          <w:tcPr>
            <w:tcW w:w="9720" w:type="dxa"/>
            <w:vAlign w:val="bottom"/>
          </w:tcPr>
          <w:p>
            <w:pPr>
              <w:ind w:left="280"/>
              <w:spacing w:after="0"/>
              <w:rPr>
                <w:sz w:val="20"/>
                <w:szCs w:val="20"/>
                <w:color w:val="auto"/>
              </w:rPr>
            </w:pPr>
            <w:r>
              <w:rPr>
                <w:rFonts w:ascii="Arial" w:cs="Arial" w:eastAsia="Arial" w:hAnsi="Arial"/>
                <w:sz w:val="18"/>
                <w:szCs w:val="18"/>
                <w:color w:val="auto"/>
              </w:rPr>
              <w:t>Director Demographic Highlights</w:t>
            </w:r>
          </w:p>
        </w:tc>
        <w:tc>
          <w:tcPr>
            <w:tcW w:w="1520" w:type="dxa"/>
            <w:vAlign w:val="bottom"/>
          </w:tcPr>
          <w:p>
            <w:pPr>
              <w:spacing w:after="0"/>
              <w:rPr>
                <w:sz w:val="18"/>
                <w:szCs w:val="18"/>
                <w:color w:val="auto"/>
              </w:rPr>
            </w:pPr>
          </w:p>
        </w:tc>
      </w:tr>
      <w:tr>
        <w:trPr>
          <w:trHeight w:val="216"/>
        </w:trPr>
        <w:tc>
          <w:tcPr>
            <w:tcW w:w="9720" w:type="dxa"/>
            <w:vAlign w:val="bottom"/>
          </w:tcPr>
          <w:p>
            <w:pPr>
              <w:ind w:left="280"/>
              <w:spacing w:after="0"/>
              <w:rPr>
                <w:sz w:val="20"/>
                <w:szCs w:val="20"/>
                <w:color w:val="auto"/>
              </w:rPr>
            </w:pPr>
            <w:r>
              <w:rPr>
                <w:rFonts w:ascii="Arial" w:cs="Arial" w:eastAsia="Arial" w:hAnsi="Arial"/>
                <w:sz w:val="18"/>
                <w:szCs w:val="18"/>
                <w:color w:val="auto"/>
              </w:rPr>
              <w:t>Corporate Governance Highlights</w:t>
            </w:r>
          </w:p>
        </w:tc>
        <w:tc>
          <w:tcPr>
            <w:tcW w:w="1520" w:type="dxa"/>
            <w:vAlign w:val="bottom"/>
          </w:tcPr>
          <w:p>
            <w:pPr>
              <w:spacing w:after="0"/>
              <w:rPr>
                <w:sz w:val="18"/>
                <w:szCs w:val="18"/>
                <w:color w:val="auto"/>
              </w:rPr>
            </w:pPr>
          </w:p>
        </w:tc>
      </w:tr>
      <w:tr>
        <w:trPr>
          <w:trHeight w:val="216"/>
        </w:trPr>
        <w:tc>
          <w:tcPr>
            <w:tcW w:w="9720" w:type="dxa"/>
            <w:vAlign w:val="bottom"/>
          </w:tcPr>
          <w:p>
            <w:pPr>
              <w:ind w:left="280"/>
              <w:spacing w:after="0"/>
              <w:rPr>
                <w:sz w:val="20"/>
                <w:szCs w:val="20"/>
                <w:color w:val="auto"/>
              </w:rPr>
            </w:pPr>
            <w:r>
              <w:rPr>
                <w:rFonts w:ascii="Arial" w:cs="Arial" w:eastAsia="Arial" w:hAnsi="Arial"/>
                <w:sz w:val="18"/>
                <w:szCs w:val="18"/>
                <w:color w:val="auto"/>
              </w:rPr>
              <w:t>Executive Compensation Highlights</w:t>
            </w:r>
          </w:p>
        </w:tc>
        <w:tc>
          <w:tcPr>
            <w:tcW w:w="1520" w:type="dxa"/>
            <w:vAlign w:val="bottom"/>
          </w:tcPr>
          <w:p>
            <w:pPr>
              <w:spacing w:after="0"/>
              <w:rPr>
                <w:sz w:val="18"/>
                <w:szCs w:val="18"/>
                <w:color w:val="auto"/>
              </w:rPr>
            </w:pPr>
          </w:p>
        </w:tc>
      </w:tr>
      <w:tr>
        <w:trPr>
          <w:trHeight w:val="230"/>
        </w:trPr>
        <w:tc>
          <w:tcPr>
            <w:tcW w:w="9720" w:type="dxa"/>
            <w:vAlign w:val="bottom"/>
          </w:tcPr>
          <w:p>
            <w:pPr>
              <w:ind w:left="280"/>
              <w:spacing w:after="0"/>
              <w:rPr>
                <w:sz w:val="20"/>
                <w:szCs w:val="20"/>
                <w:color w:val="auto"/>
              </w:rPr>
            </w:pPr>
            <w:r>
              <w:rPr>
                <w:rFonts w:ascii="Arial" w:cs="Arial" w:eastAsia="Arial" w:hAnsi="Arial"/>
                <w:sz w:val="18"/>
                <w:szCs w:val="18"/>
                <w:color w:val="auto"/>
              </w:rPr>
              <w:t>ESG Highlights</w:t>
            </w:r>
          </w:p>
        </w:tc>
        <w:tc>
          <w:tcPr>
            <w:tcW w:w="1520" w:type="dxa"/>
            <w:vAlign w:val="bottom"/>
          </w:tcPr>
          <w:p>
            <w:pPr>
              <w:spacing w:after="0"/>
              <w:rPr>
                <w:sz w:val="20"/>
                <w:szCs w:val="20"/>
                <w:color w:val="auto"/>
              </w:rPr>
            </w:pPr>
          </w:p>
        </w:tc>
      </w:tr>
      <w:tr>
        <w:trPr>
          <w:trHeight w:val="243"/>
        </w:trPr>
        <w:tc>
          <w:tcPr>
            <w:tcW w:w="9720" w:type="dxa"/>
            <w:vAlign w:val="bottom"/>
            <w:shd w:val="clear" w:color="auto" w:fill="2D53A6"/>
          </w:tcPr>
          <w:p>
            <w:pPr>
              <w:spacing w:after="0"/>
              <w:rPr>
                <w:sz w:val="20"/>
                <w:szCs w:val="20"/>
                <w:color w:val="auto"/>
              </w:rPr>
            </w:pPr>
            <w:r>
              <w:rPr>
                <w:rFonts w:ascii="Arial" w:cs="Arial" w:eastAsia="Arial" w:hAnsi="Arial"/>
                <w:sz w:val="18"/>
                <w:szCs w:val="18"/>
                <w:b w:val="1"/>
                <w:bCs w:val="1"/>
                <w:color w:val="FFFFFF"/>
              </w:rPr>
              <w:t>Stock Ownership</w:t>
            </w:r>
          </w:p>
        </w:tc>
        <w:tc>
          <w:tcPr>
            <w:tcW w:w="1520" w:type="dxa"/>
            <w:vAlign w:val="bottom"/>
            <w:shd w:val="clear" w:color="auto" w:fill="2D53A6"/>
          </w:tcPr>
          <w:p>
            <w:pPr>
              <w:ind w:left="400"/>
              <w:spacing w:after="0"/>
              <w:rPr>
                <w:sz w:val="20"/>
                <w:szCs w:val="20"/>
                <w:color w:val="auto"/>
              </w:rPr>
            </w:pPr>
            <w:r>
              <w:rPr>
                <w:rFonts w:ascii="Arial" w:cs="Arial" w:eastAsia="Arial" w:hAnsi="Arial"/>
                <w:sz w:val="18"/>
                <w:szCs w:val="18"/>
                <w:b w:val="1"/>
                <w:bCs w:val="1"/>
                <w:color w:val="FFFFFF"/>
              </w:rPr>
              <w:t>Page 12</w:t>
            </w:r>
          </w:p>
        </w:tc>
      </w:tr>
      <w:tr>
        <w:trPr>
          <w:trHeight w:val="202"/>
        </w:trPr>
        <w:tc>
          <w:tcPr>
            <w:tcW w:w="9720" w:type="dxa"/>
            <w:vAlign w:val="bottom"/>
          </w:tcPr>
          <w:p>
            <w:pPr>
              <w:ind w:left="280"/>
              <w:spacing w:after="0" w:line="201" w:lineRule="exact"/>
              <w:rPr>
                <w:sz w:val="20"/>
                <w:szCs w:val="20"/>
                <w:color w:val="auto"/>
              </w:rPr>
            </w:pPr>
            <w:r>
              <w:rPr>
                <w:rFonts w:ascii="Arial" w:cs="Arial" w:eastAsia="Arial" w:hAnsi="Arial"/>
                <w:sz w:val="18"/>
                <w:szCs w:val="18"/>
                <w:color w:val="auto"/>
              </w:rPr>
              <w:t>Security Ownership of Certain Beneficial Owners and Management</w:t>
            </w:r>
          </w:p>
        </w:tc>
        <w:tc>
          <w:tcPr>
            <w:tcW w:w="1520" w:type="dxa"/>
            <w:vAlign w:val="bottom"/>
          </w:tcPr>
          <w:p>
            <w:pPr>
              <w:spacing w:after="0"/>
              <w:rPr>
                <w:sz w:val="17"/>
                <w:szCs w:val="17"/>
                <w:color w:val="auto"/>
              </w:rPr>
            </w:pPr>
          </w:p>
        </w:tc>
      </w:tr>
      <w:tr>
        <w:trPr>
          <w:trHeight w:val="230"/>
        </w:trPr>
        <w:tc>
          <w:tcPr>
            <w:tcW w:w="9720" w:type="dxa"/>
            <w:vAlign w:val="bottom"/>
          </w:tcPr>
          <w:p>
            <w:pPr>
              <w:ind w:left="280"/>
              <w:spacing w:after="0"/>
              <w:rPr>
                <w:sz w:val="20"/>
                <w:szCs w:val="20"/>
                <w:color w:val="auto"/>
              </w:rPr>
            </w:pPr>
            <w:r>
              <w:rPr>
                <w:rFonts w:ascii="Arial" w:cs="Arial" w:eastAsia="Arial" w:hAnsi="Arial"/>
                <w:sz w:val="18"/>
                <w:szCs w:val="18"/>
                <w:color w:val="auto"/>
              </w:rPr>
              <w:t>Delinquent Section 16(a) Reports</w:t>
            </w:r>
          </w:p>
        </w:tc>
        <w:tc>
          <w:tcPr>
            <w:tcW w:w="1520" w:type="dxa"/>
            <w:vAlign w:val="bottom"/>
          </w:tcPr>
          <w:p>
            <w:pPr>
              <w:spacing w:after="0"/>
              <w:rPr>
                <w:sz w:val="20"/>
                <w:szCs w:val="20"/>
                <w:color w:val="auto"/>
              </w:rPr>
            </w:pPr>
          </w:p>
        </w:tc>
      </w:tr>
      <w:tr>
        <w:trPr>
          <w:trHeight w:val="230"/>
        </w:trPr>
        <w:tc>
          <w:tcPr>
            <w:tcW w:w="9720" w:type="dxa"/>
            <w:vAlign w:val="bottom"/>
            <w:shd w:val="clear" w:color="auto" w:fill="2D53A6"/>
          </w:tcPr>
          <w:p>
            <w:pPr>
              <w:spacing w:after="0"/>
              <w:rPr>
                <w:sz w:val="20"/>
                <w:szCs w:val="20"/>
                <w:color w:val="auto"/>
              </w:rPr>
            </w:pPr>
            <w:r>
              <w:rPr>
                <w:rFonts w:ascii="Arial" w:cs="Arial" w:eastAsia="Arial" w:hAnsi="Arial"/>
                <w:sz w:val="18"/>
                <w:szCs w:val="18"/>
                <w:b w:val="1"/>
                <w:bCs w:val="1"/>
                <w:color w:val="FFFFFF"/>
              </w:rPr>
              <w:t>Governance Matters</w:t>
            </w:r>
          </w:p>
        </w:tc>
        <w:tc>
          <w:tcPr>
            <w:tcW w:w="1520" w:type="dxa"/>
            <w:vAlign w:val="bottom"/>
            <w:shd w:val="clear" w:color="auto" w:fill="2D53A6"/>
          </w:tcPr>
          <w:p>
            <w:pPr>
              <w:ind w:left="400"/>
              <w:spacing w:after="0"/>
              <w:rPr>
                <w:sz w:val="20"/>
                <w:szCs w:val="20"/>
                <w:color w:val="auto"/>
              </w:rPr>
            </w:pPr>
            <w:r>
              <w:rPr>
                <w:rFonts w:ascii="Arial" w:cs="Arial" w:eastAsia="Arial" w:hAnsi="Arial"/>
                <w:sz w:val="18"/>
                <w:szCs w:val="18"/>
                <w:b w:val="1"/>
                <w:bCs w:val="1"/>
                <w:color w:val="FFFFFF"/>
              </w:rPr>
              <w:t>Page 13</w:t>
            </w:r>
          </w:p>
        </w:tc>
      </w:tr>
      <w:tr>
        <w:trPr>
          <w:trHeight w:val="202"/>
        </w:trPr>
        <w:tc>
          <w:tcPr>
            <w:tcW w:w="9720" w:type="dxa"/>
            <w:vAlign w:val="bottom"/>
          </w:tcPr>
          <w:p>
            <w:pPr>
              <w:ind w:left="280"/>
              <w:spacing w:after="0" w:line="201" w:lineRule="exact"/>
              <w:rPr>
                <w:sz w:val="20"/>
                <w:szCs w:val="20"/>
                <w:color w:val="auto"/>
              </w:rPr>
            </w:pPr>
            <w:r>
              <w:rPr>
                <w:rFonts w:ascii="Arial" w:cs="Arial" w:eastAsia="Arial" w:hAnsi="Arial"/>
                <w:sz w:val="18"/>
                <w:szCs w:val="18"/>
                <w:color w:val="auto"/>
              </w:rPr>
              <w:t>Corporate Governance</w:t>
            </w:r>
          </w:p>
        </w:tc>
        <w:tc>
          <w:tcPr>
            <w:tcW w:w="1520" w:type="dxa"/>
            <w:vAlign w:val="bottom"/>
          </w:tcPr>
          <w:p>
            <w:pPr>
              <w:spacing w:after="0"/>
              <w:rPr>
                <w:sz w:val="17"/>
                <w:szCs w:val="17"/>
                <w:color w:val="auto"/>
              </w:rPr>
            </w:pPr>
          </w:p>
        </w:tc>
      </w:tr>
      <w:tr>
        <w:trPr>
          <w:trHeight w:val="216"/>
        </w:trPr>
        <w:tc>
          <w:tcPr>
            <w:tcW w:w="9720" w:type="dxa"/>
            <w:vAlign w:val="bottom"/>
          </w:tcPr>
          <w:p>
            <w:pPr>
              <w:ind w:left="280"/>
              <w:spacing w:after="0"/>
              <w:rPr>
                <w:sz w:val="20"/>
                <w:szCs w:val="20"/>
                <w:color w:val="auto"/>
              </w:rPr>
            </w:pPr>
            <w:r>
              <w:rPr>
                <w:rFonts w:ascii="Arial" w:cs="Arial" w:eastAsia="Arial" w:hAnsi="Arial"/>
                <w:sz w:val="18"/>
                <w:szCs w:val="18"/>
                <w:color w:val="auto"/>
              </w:rPr>
              <w:t>Board of Directors and Committees</w:t>
            </w:r>
          </w:p>
        </w:tc>
        <w:tc>
          <w:tcPr>
            <w:tcW w:w="1520" w:type="dxa"/>
            <w:vAlign w:val="bottom"/>
          </w:tcPr>
          <w:p>
            <w:pPr>
              <w:spacing w:after="0"/>
              <w:rPr>
                <w:sz w:val="18"/>
                <w:szCs w:val="18"/>
                <w:color w:val="auto"/>
              </w:rPr>
            </w:pPr>
          </w:p>
        </w:tc>
      </w:tr>
      <w:tr>
        <w:trPr>
          <w:trHeight w:val="216"/>
        </w:trPr>
        <w:tc>
          <w:tcPr>
            <w:tcW w:w="9720" w:type="dxa"/>
            <w:vAlign w:val="bottom"/>
          </w:tcPr>
          <w:p>
            <w:pPr>
              <w:ind w:left="420"/>
              <w:spacing w:after="0"/>
              <w:rPr>
                <w:sz w:val="20"/>
                <w:szCs w:val="20"/>
                <w:color w:val="auto"/>
              </w:rPr>
            </w:pPr>
            <w:r>
              <w:rPr>
                <w:rFonts w:ascii="Arial" w:cs="Arial" w:eastAsia="Arial" w:hAnsi="Arial"/>
                <w:sz w:val="18"/>
                <w:szCs w:val="18"/>
                <w:color w:val="auto"/>
              </w:rPr>
              <w:t>Director Independence</w:t>
            </w:r>
          </w:p>
        </w:tc>
        <w:tc>
          <w:tcPr>
            <w:tcW w:w="1520" w:type="dxa"/>
            <w:vAlign w:val="bottom"/>
          </w:tcPr>
          <w:p>
            <w:pPr>
              <w:spacing w:after="0"/>
              <w:rPr>
                <w:sz w:val="18"/>
                <w:szCs w:val="18"/>
                <w:color w:val="auto"/>
              </w:rPr>
            </w:pPr>
          </w:p>
        </w:tc>
      </w:tr>
      <w:tr>
        <w:trPr>
          <w:trHeight w:val="216"/>
        </w:trPr>
        <w:tc>
          <w:tcPr>
            <w:tcW w:w="9720" w:type="dxa"/>
            <w:vAlign w:val="bottom"/>
          </w:tcPr>
          <w:p>
            <w:pPr>
              <w:ind w:left="420"/>
              <w:spacing w:after="0"/>
              <w:rPr>
                <w:sz w:val="20"/>
                <w:szCs w:val="20"/>
                <w:color w:val="auto"/>
              </w:rPr>
            </w:pPr>
            <w:r>
              <w:rPr>
                <w:rFonts w:ascii="Arial" w:cs="Arial" w:eastAsia="Arial" w:hAnsi="Arial"/>
                <w:sz w:val="18"/>
                <w:szCs w:val="18"/>
                <w:color w:val="auto"/>
              </w:rPr>
              <w:t>Board Structure and Committee Composition</w:t>
            </w:r>
          </w:p>
        </w:tc>
        <w:tc>
          <w:tcPr>
            <w:tcW w:w="1520" w:type="dxa"/>
            <w:vAlign w:val="bottom"/>
          </w:tcPr>
          <w:p>
            <w:pPr>
              <w:spacing w:after="0"/>
              <w:rPr>
                <w:sz w:val="18"/>
                <w:szCs w:val="18"/>
                <w:color w:val="auto"/>
              </w:rPr>
            </w:pPr>
          </w:p>
        </w:tc>
      </w:tr>
      <w:tr>
        <w:trPr>
          <w:trHeight w:val="216"/>
        </w:trPr>
        <w:tc>
          <w:tcPr>
            <w:tcW w:w="9720" w:type="dxa"/>
            <w:vAlign w:val="bottom"/>
          </w:tcPr>
          <w:p>
            <w:pPr>
              <w:ind w:left="420"/>
              <w:spacing w:after="0"/>
              <w:rPr>
                <w:sz w:val="20"/>
                <w:szCs w:val="20"/>
                <w:color w:val="auto"/>
              </w:rPr>
            </w:pPr>
            <w:r>
              <w:rPr>
                <w:rFonts w:ascii="Arial" w:cs="Arial" w:eastAsia="Arial" w:hAnsi="Arial"/>
                <w:sz w:val="18"/>
                <w:szCs w:val="18"/>
                <w:color w:val="auto"/>
              </w:rPr>
              <w:t>Audit Committee</w:t>
            </w:r>
          </w:p>
        </w:tc>
        <w:tc>
          <w:tcPr>
            <w:tcW w:w="1520" w:type="dxa"/>
            <w:vAlign w:val="bottom"/>
          </w:tcPr>
          <w:p>
            <w:pPr>
              <w:spacing w:after="0"/>
              <w:rPr>
                <w:sz w:val="18"/>
                <w:szCs w:val="18"/>
                <w:color w:val="auto"/>
              </w:rPr>
            </w:pPr>
          </w:p>
        </w:tc>
      </w:tr>
      <w:tr>
        <w:trPr>
          <w:trHeight w:val="216"/>
        </w:trPr>
        <w:tc>
          <w:tcPr>
            <w:tcW w:w="9720" w:type="dxa"/>
            <w:vAlign w:val="bottom"/>
          </w:tcPr>
          <w:p>
            <w:pPr>
              <w:ind w:left="420"/>
              <w:spacing w:after="0"/>
              <w:rPr>
                <w:sz w:val="20"/>
                <w:szCs w:val="20"/>
                <w:color w:val="auto"/>
              </w:rPr>
            </w:pPr>
            <w:r>
              <w:rPr>
                <w:rFonts w:ascii="Arial" w:cs="Arial" w:eastAsia="Arial" w:hAnsi="Arial"/>
                <w:sz w:val="18"/>
                <w:szCs w:val="18"/>
                <w:color w:val="auto"/>
              </w:rPr>
              <w:t>Compensation Committee</w:t>
            </w:r>
          </w:p>
        </w:tc>
        <w:tc>
          <w:tcPr>
            <w:tcW w:w="1520" w:type="dxa"/>
            <w:vAlign w:val="bottom"/>
          </w:tcPr>
          <w:p>
            <w:pPr>
              <w:spacing w:after="0"/>
              <w:rPr>
                <w:sz w:val="18"/>
                <w:szCs w:val="18"/>
                <w:color w:val="auto"/>
              </w:rPr>
            </w:pPr>
          </w:p>
        </w:tc>
      </w:tr>
      <w:tr>
        <w:trPr>
          <w:trHeight w:val="216"/>
        </w:trPr>
        <w:tc>
          <w:tcPr>
            <w:tcW w:w="9720" w:type="dxa"/>
            <w:vAlign w:val="bottom"/>
          </w:tcPr>
          <w:p>
            <w:pPr>
              <w:ind w:left="420"/>
              <w:spacing w:after="0"/>
              <w:rPr>
                <w:sz w:val="20"/>
                <w:szCs w:val="20"/>
                <w:color w:val="auto"/>
              </w:rPr>
            </w:pPr>
            <w:r>
              <w:rPr>
                <w:rFonts w:ascii="Arial" w:cs="Arial" w:eastAsia="Arial" w:hAnsi="Arial"/>
                <w:sz w:val="18"/>
                <w:szCs w:val="18"/>
                <w:color w:val="auto"/>
              </w:rPr>
              <w:t>Nominating and Governance Committee</w:t>
            </w:r>
          </w:p>
        </w:tc>
        <w:tc>
          <w:tcPr>
            <w:tcW w:w="1520" w:type="dxa"/>
            <w:vAlign w:val="bottom"/>
          </w:tcPr>
          <w:p>
            <w:pPr>
              <w:spacing w:after="0"/>
              <w:rPr>
                <w:sz w:val="18"/>
                <w:szCs w:val="18"/>
                <w:color w:val="auto"/>
              </w:rPr>
            </w:pPr>
          </w:p>
        </w:tc>
      </w:tr>
      <w:tr>
        <w:trPr>
          <w:trHeight w:val="216"/>
        </w:trPr>
        <w:tc>
          <w:tcPr>
            <w:tcW w:w="9720" w:type="dxa"/>
            <w:vAlign w:val="bottom"/>
          </w:tcPr>
          <w:p>
            <w:pPr>
              <w:ind w:left="420"/>
              <w:spacing w:after="0"/>
              <w:rPr>
                <w:sz w:val="20"/>
                <w:szCs w:val="20"/>
                <w:color w:val="auto"/>
              </w:rPr>
            </w:pPr>
            <w:r>
              <w:rPr>
                <w:rFonts w:ascii="Arial" w:cs="Arial" w:eastAsia="Arial" w:hAnsi="Arial"/>
                <w:sz w:val="18"/>
                <w:szCs w:val="18"/>
                <w:color w:val="auto"/>
              </w:rPr>
              <w:t>Board Leadership Structure</w:t>
            </w:r>
          </w:p>
        </w:tc>
        <w:tc>
          <w:tcPr>
            <w:tcW w:w="1520" w:type="dxa"/>
            <w:vAlign w:val="bottom"/>
          </w:tcPr>
          <w:p>
            <w:pPr>
              <w:spacing w:after="0"/>
              <w:rPr>
                <w:sz w:val="18"/>
                <w:szCs w:val="18"/>
                <w:color w:val="auto"/>
              </w:rPr>
            </w:pPr>
          </w:p>
        </w:tc>
      </w:tr>
      <w:tr>
        <w:trPr>
          <w:trHeight w:val="216"/>
        </w:trPr>
        <w:tc>
          <w:tcPr>
            <w:tcW w:w="9720" w:type="dxa"/>
            <w:vAlign w:val="bottom"/>
          </w:tcPr>
          <w:p>
            <w:pPr>
              <w:ind w:left="420"/>
              <w:spacing w:after="0"/>
              <w:rPr>
                <w:sz w:val="20"/>
                <w:szCs w:val="20"/>
                <w:color w:val="auto"/>
              </w:rPr>
            </w:pPr>
            <w:r>
              <w:rPr>
                <w:rFonts w:ascii="Arial" w:cs="Arial" w:eastAsia="Arial" w:hAnsi="Arial"/>
                <w:sz w:val="18"/>
                <w:szCs w:val="18"/>
                <w:color w:val="auto"/>
              </w:rPr>
              <w:t>Risk Oversight</w:t>
            </w:r>
          </w:p>
        </w:tc>
        <w:tc>
          <w:tcPr>
            <w:tcW w:w="1520" w:type="dxa"/>
            <w:vAlign w:val="bottom"/>
          </w:tcPr>
          <w:p>
            <w:pPr>
              <w:spacing w:after="0"/>
              <w:rPr>
                <w:sz w:val="18"/>
                <w:szCs w:val="18"/>
                <w:color w:val="auto"/>
              </w:rPr>
            </w:pPr>
          </w:p>
        </w:tc>
      </w:tr>
      <w:tr>
        <w:trPr>
          <w:trHeight w:val="216"/>
        </w:trPr>
        <w:tc>
          <w:tcPr>
            <w:tcW w:w="9720" w:type="dxa"/>
            <w:vAlign w:val="bottom"/>
          </w:tcPr>
          <w:p>
            <w:pPr>
              <w:ind w:left="420"/>
              <w:spacing w:after="0"/>
              <w:rPr>
                <w:sz w:val="20"/>
                <w:szCs w:val="20"/>
                <w:color w:val="auto"/>
              </w:rPr>
            </w:pPr>
            <w:r>
              <w:rPr>
                <w:rFonts w:ascii="Arial" w:cs="Arial" w:eastAsia="Arial" w:hAnsi="Arial"/>
                <w:sz w:val="18"/>
                <w:szCs w:val="18"/>
                <w:color w:val="auto"/>
              </w:rPr>
              <w:t>Stockholder Nominees</w:t>
            </w:r>
          </w:p>
        </w:tc>
        <w:tc>
          <w:tcPr>
            <w:tcW w:w="1520" w:type="dxa"/>
            <w:vAlign w:val="bottom"/>
          </w:tcPr>
          <w:p>
            <w:pPr>
              <w:spacing w:after="0"/>
              <w:rPr>
                <w:sz w:val="18"/>
                <w:szCs w:val="18"/>
                <w:color w:val="auto"/>
              </w:rPr>
            </w:pPr>
          </w:p>
        </w:tc>
      </w:tr>
      <w:tr>
        <w:trPr>
          <w:trHeight w:val="216"/>
        </w:trPr>
        <w:tc>
          <w:tcPr>
            <w:tcW w:w="9720" w:type="dxa"/>
            <w:vAlign w:val="bottom"/>
          </w:tcPr>
          <w:p>
            <w:pPr>
              <w:ind w:left="420"/>
              <w:spacing w:after="0"/>
              <w:rPr>
                <w:sz w:val="20"/>
                <w:szCs w:val="20"/>
                <w:color w:val="auto"/>
              </w:rPr>
            </w:pPr>
            <w:r>
              <w:rPr>
                <w:rFonts w:ascii="Arial" w:cs="Arial" w:eastAsia="Arial" w:hAnsi="Arial"/>
                <w:sz w:val="18"/>
                <w:szCs w:val="18"/>
                <w:color w:val="auto"/>
              </w:rPr>
              <w:t>Director Qualifications</w:t>
            </w:r>
          </w:p>
        </w:tc>
        <w:tc>
          <w:tcPr>
            <w:tcW w:w="1520" w:type="dxa"/>
            <w:vAlign w:val="bottom"/>
          </w:tcPr>
          <w:p>
            <w:pPr>
              <w:spacing w:after="0"/>
              <w:rPr>
                <w:sz w:val="18"/>
                <w:szCs w:val="18"/>
                <w:color w:val="auto"/>
              </w:rPr>
            </w:pPr>
          </w:p>
        </w:tc>
      </w:tr>
      <w:tr>
        <w:trPr>
          <w:trHeight w:val="216"/>
        </w:trPr>
        <w:tc>
          <w:tcPr>
            <w:tcW w:w="9720" w:type="dxa"/>
            <w:vAlign w:val="bottom"/>
          </w:tcPr>
          <w:p>
            <w:pPr>
              <w:ind w:left="420"/>
              <w:spacing w:after="0"/>
              <w:rPr>
                <w:sz w:val="20"/>
                <w:szCs w:val="20"/>
                <w:color w:val="auto"/>
              </w:rPr>
            </w:pPr>
            <w:r>
              <w:rPr>
                <w:rFonts w:ascii="Arial" w:cs="Arial" w:eastAsia="Arial" w:hAnsi="Arial"/>
                <w:sz w:val="18"/>
                <w:szCs w:val="18"/>
                <w:color w:val="auto"/>
              </w:rPr>
              <w:t>Identifying and Evaluating Nominees for Directors</w:t>
            </w:r>
          </w:p>
        </w:tc>
        <w:tc>
          <w:tcPr>
            <w:tcW w:w="1520" w:type="dxa"/>
            <w:vAlign w:val="bottom"/>
          </w:tcPr>
          <w:p>
            <w:pPr>
              <w:spacing w:after="0"/>
              <w:rPr>
                <w:sz w:val="18"/>
                <w:szCs w:val="18"/>
                <w:color w:val="auto"/>
              </w:rPr>
            </w:pPr>
          </w:p>
        </w:tc>
      </w:tr>
      <w:tr>
        <w:trPr>
          <w:trHeight w:val="216"/>
        </w:trPr>
        <w:tc>
          <w:tcPr>
            <w:tcW w:w="9720" w:type="dxa"/>
            <w:vAlign w:val="bottom"/>
          </w:tcPr>
          <w:p>
            <w:pPr>
              <w:ind w:left="420"/>
              <w:spacing w:after="0"/>
              <w:rPr>
                <w:sz w:val="20"/>
                <w:szCs w:val="20"/>
                <w:color w:val="auto"/>
              </w:rPr>
            </w:pPr>
            <w:r>
              <w:rPr>
                <w:rFonts w:ascii="Arial" w:cs="Arial" w:eastAsia="Arial" w:hAnsi="Arial"/>
                <w:sz w:val="18"/>
                <w:szCs w:val="18"/>
                <w:color w:val="auto"/>
              </w:rPr>
              <w:t>Executive Sessions</w:t>
            </w:r>
          </w:p>
        </w:tc>
        <w:tc>
          <w:tcPr>
            <w:tcW w:w="1520" w:type="dxa"/>
            <w:vAlign w:val="bottom"/>
          </w:tcPr>
          <w:p>
            <w:pPr>
              <w:spacing w:after="0"/>
              <w:rPr>
                <w:sz w:val="18"/>
                <w:szCs w:val="18"/>
                <w:color w:val="auto"/>
              </w:rPr>
            </w:pPr>
          </w:p>
        </w:tc>
      </w:tr>
      <w:tr>
        <w:trPr>
          <w:trHeight w:val="216"/>
        </w:trPr>
        <w:tc>
          <w:tcPr>
            <w:tcW w:w="9720" w:type="dxa"/>
            <w:vAlign w:val="bottom"/>
          </w:tcPr>
          <w:p>
            <w:pPr>
              <w:ind w:left="420"/>
              <w:spacing w:after="0"/>
              <w:rPr>
                <w:sz w:val="20"/>
                <w:szCs w:val="20"/>
                <w:color w:val="auto"/>
              </w:rPr>
            </w:pPr>
            <w:r>
              <w:rPr>
                <w:rFonts w:ascii="Arial" w:cs="Arial" w:eastAsia="Arial" w:hAnsi="Arial"/>
                <w:sz w:val="18"/>
                <w:szCs w:val="18"/>
                <w:color w:val="auto"/>
              </w:rPr>
              <w:t>Communications with the Board</w:t>
            </w:r>
          </w:p>
        </w:tc>
        <w:tc>
          <w:tcPr>
            <w:tcW w:w="1520" w:type="dxa"/>
            <w:vAlign w:val="bottom"/>
          </w:tcPr>
          <w:p>
            <w:pPr>
              <w:spacing w:after="0"/>
              <w:rPr>
                <w:sz w:val="18"/>
                <w:szCs w:val="18"/>
                <w:color w:val="auto"/>
              </w:rPr>
            </w:pPr>
          </w:p>
        </w:tc>
      </w:tr>
      <w:tr>
        <w:trPr>
          <w:trHeight w:val="230"/>
        </w:trPr>
        <w:tc>
          <w:tcPr>
            <w:tcW w:w="9720" w:type="dxa"/>
            <w:vAlign w:val="bottom"/>
          </w:tcPr>
          <w:p>
            <w:pPr>
              <w:ind w:left="420"/>
              <w:spacing w:after="0"/>
              <w:rPr>
                <w:sz w:val="20"/>
                <w:szCs w:val="20"/>
                <w:color w:val="auto"/>
              </w:rPr>
            </w:pPr>
            <w:r>
              <w:rPr>
                <w:rFonts w:ascii="Arial" w:cs="Arial" w:eastAsia="Arial" w:hAnsi="Arial"/>
                <w:sz w:val="18"/>
                <w:szCs w:val="18"/>
                <w:color w:val="auto"/>
              </w:rPr>
              <w:t>Compensation of Directors</w:t>
            </w:r>
          </w:p>
        </w:tc>
        <w:tc>
          <w:tcPr>
            <w:tcW w:w="1520" w:type="dxa"/>
            <w:vAlign w:val="bottom"/>
          </w:tcPr>
          <w:p>
            <w:pPr>
              <w:spacing w:after="0"/>
              <w:rPr>
                <w:sz w:val="20"/>
                <w:szCs w:val="20"/>
                <w:color w:val="auto"/>
              </w:rPr>
            </w:pPr>
          </w:p>
        </w:tc>
      </w:tr>
      <w:tr>
        <w:trPr>
          <w:trHeight w:val="243"/>
        </w:trPr>
        <w:tc>
          <w:tcPr>
            <w:tcW w:w="9720" w:type="dxa"/>
            <w:vAlign w:val="bottom"/>
            <w:shd w:val="clear" w:color="auto" w:fill="2D53A6"/>
          </w:tcPr>
          <w:p>
            <w:pPr>
              <w:spacing w:after="0"/>
              <w:rPr>
                <w:sz w:val="20"/>
                <w:szCs w:val="20"/>
                <w:color w:val="auto"/>
              </w:rPr>
            </w:pPr>
            <w:r>
              <w:rPr>
                <w:rFonts w:ascii="Arial" w:cs="Arial" w:eastAsia="Arial" w:hAnsi="Arial"/>
                <w:sz w:val="18"/>
                <w:szCs w:val="18"/>
                <w:b w:val="1"/>
                <w:bCs w:val="1"/>
                <w:color w:val="FFFFFF"/>
              </w:rPr>
              <w:t>Compensation Matters</w:t>
            </w:r>
          </w:p>
        </w:tc>
        <w:tc>
          <w:tcPr>
            <w:tcW w:w="1520" w:type="dxa"/>
            <w:vAlign w:val="bottom"/>
            <w:shd w:val="clear" w:color="auto" w:fill="2D53A6"/>
          </w:tcPr>
          <w:p>
            <w:pPr>
              <w:ind w:left="400"/>
              <w:spacing w:after="0"/>
              <w:rPr>
                <w:sz w:val="20"/>
                <w:szCs w:val="20"/>
                <w:color w:val="auto"/>
              </w:rPr>
            </w:pPr>
            <w:r>
              <w:rPr>
                <w:rFonts w:ascii="Arial" w:cs="Arial" w:eastAsia="Arial" w:hAnsi="Arial"/>
                <w:sz w:val="18"/>
                <w:szCs w:val="18"/>
                <w:b w:val="1"/>
                <w:bCs w:val="1"/>
                <w:color w:val="FFFFFF"/>
              </w:rPr>
              <w:t>Page 21</w:t>
            </w:r>
          </w:p>
        </w:tc>
      </w:tr>
      <w:tr>
        <w:trPr>
          <w:trHeight w:val="202"/>
        </w:trPr>
        <w:tc>
          <w:tcPr>
            <w:tcW w:w="9720" w:type="dxa"/>
            <w:vAlign w:val="bottom"/>
          </w:tcPr>
          <w:p>
            <w:pPr>
              <w:ind w:left="280"/>
              <w:spacing w:after="0" w:line="201" w:lineRule="exact"/>
              <w:rPr>
                <w:sz w:val="20"/>
                <w:szCs w:val="20"/>
                <w:color w:val="auto"/>
              </w:rPr>
            </w:pPr>
            <w:r>
              <w:rPr>
                <w:rFonts w:ascii="Arial" w:cs="Arial" w:eastAsia="Arial" w:hAnsi="Arial"/>
                <w:sz w:val="18"/>
                <w:szCs w:val="18"/>
                <w:color w:val="auto"/>
              </w:rPr>
              <w:t>Executive Compensation and Other Information</w:t>
            </w:r>
          </w:p>
        </w:tc>
        <w:tc>
          <w:tcPr>
            <w:tcW w:w="1520" w:type="dxa"/>
            <w:vAlign w:val="bottom"/>
          </w:tcPr>
          <w:p>
            <w:pPr>
              <w:spacing w:after="0"/>
              <w:rPr>
                <w:sz w:val="17"/>
                <w:szCs w:val="17"/>
                <w:color w:val="auto"/>
              </w:rPr>
            </w:pPr>
          </w:p>
        </w:tc>
      </w:tr>
      <w:tr>
        <w:trPr>
          <w:trHeight w:val="216"/>
        </w:trPr>
        <w:tc>
          <w:tcPr>
            <w:tcW w:w="9720" w:type="dxa"/>
            <w:vAlign w:val="bottom"/>
          </w:tcPr>
          <w:p>
            <w:pPr>
              <w:ind w:left="420"/>
              <w:spacing w:after="0"/>
              <w:rPr>
                <w:sz w:val="20"/>
                <w:szCs w:val="20"/>
                <w:color w:val="auto"/>
              </w:rPr>
            </w:pPr>
            <w:r>
              <w:rPr>
                <w:rFonts w:ascii="Arial" w:cs="Arial" w:eastAsia="Arial" w:hAnsi="Arial"/>
                <w:sz w:val="18"/>
                <w:szCs w:val="18"/>
                <w:color w:val="auto"/>
              </w:rPr>
              <w:t>Compensation Discussion and Analysis</w:t>
            </w:r>
          </w:p>
        </w:tc>
        <w:tc>
          <w:tcPr>
            <w:tcW w:w="1520" w:type="dxa"/>
            <w:vAlign w:val="bottom"/>
          </w:tcPr>
          <w:p>
            <w:pPr>
              <w:spacing w:after="0"/>
              <w:rPr>
                <w:sz w:val="18"/>
                <w:szCs w:val="18"/>
                <w:color w:val="auto"/>
              </w:rPr>
            </w:pPr>
          </w:p>
        </w:tc>
      </w:tr>
      <w:tr>
        <w:trPr>
          <w:trHeight w:val="216"/>
        </w:trPr>
        <w:tc>
          <w:tcPr>
            <w:tcW w:w="9720" w:type="dxa"/>
            <w:vAlign w:val="bottom"/>
          </w:tcPr>
          <w:p>
            <w:pPr>
              <w:ind w:left="420"/>
              <w:spacing w:after="0"/>
              <w:rPr>
                <w:sz w:val="20"/>
                <w:szCs w:val="20"/>
                <w:color w:val="auto"/>
              </w:rPr>
            </w:pPr>
            <w:r>
              <w:rPr>
                <w:rFonts w:ascii="Arial" w:cs="Arial" w:eastAsia="Arial" w:hAnsi="Arial"/>
                <w:sz w:val="18"/>
                <w:szCs w:val="18"/>
                <w:color w:val="auto"/>
              </w:rPr>
              <w:t>Executive Summary</w:t>
            </w:r>
          </w:p>
        </w:tc>
        <w:tc>
          <w:tcPr>
            <w:tcW w:w="1520" w:type="dxa"/>
            <w:vAlign w:val="bottom"/>
          </w:tcPr>
          <w:p>
            <w:pPr>
              <w:spacing w:after="0"/>
              <w:rPr>
                <w:sz w:val="18"/>
                <w:szCs w:val="18"/>
                <w:color w:val="auto"/>
              </w:rPr>
            </w:pPr>
          </w:p>
        </w:tc>
      </w:tr>
      <w:tr>
        <w:trPr>
          <w:trHeight w:val="216"/>
        </w:trPr>
        <w:tc>
          <w:tcPr>
            <w:tcW w:w="9720" w:type="dxa"/>
            <w:vAlign w:val="bottom"/>
          </w:tcPr>
          <w:p>
            <w:pPr>
              <w:ind w:left="420"/>
              <w:spacing w:after="0"/>
              <w:rPr>
                <w:sz w:val="20"/>
                <w:szCs w:val="20"/>
                <w:color w:val="auto"/>
              </w:rPr>
            </w:pPr>
            <w:r>
              <w:rPr>
                <w:rFonts w:ascii="Arial" w:cs="Arial" w:eastAsia="Arial" w:hAnsi="Arial"/>
                <w:sz w:val="18"/>
                <w:szCs w:val="18"/>
                <w:color w:val="auto"/>
              </w:rPr>
              <w:t>Compensation Philosophy</w:t>
            </w:r>
          </w:p>
        </w:tc>
        <w:tc>
          <w:tcPr>
            <w:tcW w:w="1520" w:type="dxa"/>
            <w:vAlign w:val="bottom"/>
          </w:tcPr>
          <w:p>
            <w:pPr>
              <w:spacing w:after="0"/>
              <w:rPr>
                <w:sz w:val="18"/>
                <w:szCs w:val="18"/>
                <w:color w:val="auto"/>
              </w:rPr>
            </w:pPr>
          </w:p>
        </w:tc>
      </w:tr>
      <w:tr>
        <w:trPr>
          <w:trHeight w:val="216"/>
        </w:trPr>
        <w:tc>
          <w:tcPr>
            <w:tcW w:w="9720" w:type="dxa"/>
            <w:vAlign w:val="bottom"/>
          </w:tcPr>
          <w:p>
            <w:pPr>
              <w:ind w:left="420"/>
              <w:spacing w:after="0"/>
              <w:rPr>
                <w:sz w:val="20"/>
                <w:szCs w:val="20"/>
                <w:color w:val="auto"/>
              </w:rPr>
            </w:pPr>
            <w:r>
              <w:rPr>
                <w:rFonts w:ascii="Arial" w:cs="Arial" w:eastAsia="Arial" w:hAnsi="Arial"/>
                <w:sz w:val="18"/>
                <w:szCs w:val="18"/>
                <w:color w:val="auto"/>
              </w:rPr>
              <w:t>Compensation-Setting Process</w:t>
            </w:r>
          </w:p>
        </w:tc>
        <w:tc>
          <w:tcPr>
            <w:tcW w:w="1520" w:type="dxa"/>
            <w:vAlign w:val="bottom"/>
          </w:tcPr>
          <w:p>
            <w:pPr>
              <w:spacing w:after="0"/>
              <w:rPr>
                <w:sz w:val="18"/>
                <w:szCs w:val="18"/>
                <w:color w:val="auto"/>
              </w:rPr>
            </w:pPr>
          </w:p>
        </w:tc>
      </w:tr>
      <w:tr>
        <w:trPr>
          <w:trHeight w:val="216"/>
        </w:trPr>
        <w:tc>
          <w:tcPr>
            <w:tcW w:w="9720" w:type="dxa"/>
            <w:vAlign w:val="bottom"/>
          </w:tcPr>
          <w:p>
            <w:pPr>
              <w:ind w:left="420"/>
              <w:spacing w:after="0"/>
              <w:rPr>
                <w:sz w:val="20"/>
                <w:szCs w:val="20"/>
                <w:color w:val="auto"/>
              </w:rPr>
            </w:pPr>
            <w:r>
              <w:rPr>
                <w:rFonts w:ascii="Arial" w:cs="Arial" w:eastAsia="Arial" w:hAnsi="Arial"/>
                <w:sz w:val="18"/>
                <w:szCs w:val="18"/>
                <w:color w:val="auto"/>
              </w:rPr>
              <w:t>Compensation Elements</w:t>
            </w:r>
          </w:p>
        </w:tc>
        <w:tc>
          <w:tcPr>
            <w:tcW w:w="1520" w:type="dxa"/>
            <w:vAlign w:val="bottom"/>
          </w:tcPr>
          <w:p>
            <w:pPr>
              <w:spacing w:after="0"/>
              <w:rPr>
                <w:sz w:val="18"/>
                <w:szCs w:val="18"/>
                <w:color w:val="auto"/>
              </w:rPr>
            </w:pPr>
          </w:p>
        </w:tc>
      </w:tr>
      <w:tr>
        <w:trPr>
          <w:trHeight w:val="216"/>
        </w:trPr>
        <w:tc>
          <w:tcPr>
            <w:tcW w:w="9720" w:type="dxa"/>
            <w:vAlign w:val="bottom"/>
          </w:tcPr>
          <w:p>
            <w:pPr>
              <w:ind w:left="420"/>
              <w:spacing w:after="0"/>
              <w:rPr>
                <w:sz w:val="20"/>
                <w:szCs w:val="20"/>
                <w:color w:val="auto"/>
              </w:rPr>
            </w:pPr>
            <w:r>
              <w:rPr>
                <w:rFonts w:ascii="Arial" w:cs="Arial" w:eastAsia="Arial" w:hAnsi="Arial"/>
                <w:sz w:val="18"/>
                <w:szCs w:val="18"/>
                <w:color w:val="auto"/>
              </w:rPr>
              <w:t>Post-Employment Compensation</w:t>
            </w:r>
          </w:p>
        </w:tc>
        <w:tc>
          <w:tcPr>
            <w:tcW w:w="1520" w:type="dxa"/>
            <w:vAlign w:val="bottom"/>
          </w:tcPr>
          <w:p>
            <w:pPr>
              <w:spacing w:after="0"/>
              <w:rPr>
                <w:sz w:val="18"/>
                <w:szCs w:val="18"/>
                <w:color w:val="auto"/>
              </w:rPr>
            </w:pPr>
          </w:p>
        </w:tc>
      </w:tr>
      <w:tr>
        <w:trPr>
          <w:trHeight w:val="216"/>
        </w:trPr>
        <w:tc>
          <w:tcPr>
            <w:tcW w:w="9720" w:type="dxa"/>
            <w:vAlign w:val="bottom"/>
          </w:tcPr>
          <w:p>
            <w:pPr>
              <w:ind w:left="420"/>
              <w:spacing w:after="0"/>
              <w:rPr>
                <w:sz w:val="20"/>
                <w:szCs w:val="20"/>
                <w:color w:val="auto"/>
              </w:rPr>
            </w:pPr>
            <w:r>
              <w:rPr>
                <w:rFonts w:ascii="Arial" w:cs="Arial" w:eastAsia="Arial" w:hAnsi="Arial"/>
                <w:sz w:val="18"/>
                <w:szCs w:val="18"/>
                <w:color w:val="auto"/>
              </w:rPr>
              <w:t>Other Compensation Policies</w:t>
            </w:r>
          </w:p>
        </w:tc>
        <w:tc>
          <w:tcPr>
            <w:tcW w:w="1520" w:type="dxa"/>
            <w:vAlign w:val="bottom"/>
          </w:tcPr>
          <w:p>
            <w:pPr>
              <w:spacing w:after="0"/>
              <w:rPr>
                <w:sz w:val="18"/>
                <w:szCs w:val="18"/>
                <w:color w:val="auto"/>
              </w:rPr>
            </w:pPr>
          </w:p>
        </w:tc>
      </w:tr>
      <w:tr>
        <w:trPr>
          <w:trHeight w:val="216"/>
        </w:trPr>
        <w:tc>
          <w:tcPr>
            <w:tcW w:w="9720" w:type="dxa"/>
            <w:vAlign w:val="bottom"/>
          </w:tcPr>
          <w:p>
            <w:pPr>
              <w:ind w:left="420"/>
              <w:spacing w:after="0"/>
              <w:rPr>
                <w:sz w:val="20"/>
                <w:szCs w:val="20"/>
                <w:color w:val="auto"/>
              </w:rPr>
            </w:pPr>
            <w:r>
              <w:rPr>
                <w:rFonts w:ascii="Arial" w:cs="Arial" w:eastAsia="Arial" w:hAnsi="Arial"/>
                <w:sz w:val="18"/>
                <w:szCs w:val="18"/>
                <w:color w:val="auto"/>
              </w:rPr>
              <w:t>Tax and Accounting Considerations</w:t>
            </w:r>
          </w:p>
        </w:tc>
        <w:tc>
          <w:tcPr>
            <w:tcW w:w="1520" w:type="dxa"/>
            <w:vAlign w:val="bottom"/>
          </w:tcPr>
          <w:p>
            <w:pPr>
              <w:spacing w:after="0"/>
              <w:rPr>
                <w:sz w:val="18"/>
                <w:szCs w:val="18"/>
                <w:color w:val="auto"/>
              </w:rPr>
            </w:pPr>
          </w:p>
        </w:tc>
      </w:tr>
      <w:tr>
        <w:trPr>
          <w:trHeight w:val="216"/>
        </w:trPr>
        <w:tc>
          <w:tcPr>
            <w:tcW w:w="9720" w:type="dxa"/>
            <w:vAlign w:val="bottom"/>
          </w:tcPr>
          <w:p>
            <w:pPr>
              <w:ind w:left="420"/>
              <w:spacing w:after="0"/>
              <w:rPr>
                <w:sz w:val="20"/>
                <w:szCs w:val="20"/>
                <w:color w:val="auto"/>
              </w:rPr>
            </w:pPr>
            <w:r>
              <w:rPr>
                <w:rFonts w:ascii="Arial" w:cs="Arial" w:eastAsia="Arial" w:hAnsi="Arial"/>
                <w:sz w:val="18"/>
                <w:szCs w:val="18"/>
                <w:color w:val="auto"/>
              </w:rPr>
              <w:t>Compensation Committee Report</w:t>
            </w:r>
          </w:p>
        </w:tc>
        <w:tc>
          <w:tcPr>
            <w:tcW w:w="1520" w:type="dxa"/>
            <w:vAlign w:val="bottom"/>
          </w:tcPr>
          <w:p>
            <w:pPr>
              <w:spacing w:after="0"/>
              <w:rPr>
                <w:sz w:val="18"/>
                <w:szCs w:val="18"/>
                <w:color w:val="auto"/>
              </w:rPr>
            </w:pPr>
          </w:p>
        </w:tc>
      </w:tr>
      <w:tr>
        <w:trPr>
          <w:trHeight w:val="216"/>
        </w:trPr>
        <w:tc>
          <w:tcPr>
            <w:tcW w:w="9720" w:type="dxa"/>
            <w:vAlign w:val="bottom"/>
          </w:tcPr>
          <w:p>
            <w:pPr>
              <w:ind w:left="420"/>
              <w:spacing w:after="0"/>
              <w:rPr>
                <w:sz w:val="20"/>
                <w:szCs w:val="20"/>
                <w:color w:val="auto"/>
              </w:rPr>
            </w:pPr>
            <w:r>
              <w:rPr>
                <w:rFonts w:ascii="Arial" w:cs="Arial" w:eastAsia="Arial" w:hAnsi="Arial"/>
                <w:sz w:val="18"/>
                <w:szCs w:val="18"/>
                <w:color w:val="auto"/>
              </w:rPr>
              <w:t>Executive Compensation Tables</w:t>
            </w:r>
          </w:p>
        </w:tc>
        <w:tc>
          <w:tcPr>
            <w:tcW w:w="1520" w:type="dxa"/>
            <w:vAlign w:val="bottom"/>
          </w:tcPr>
          <w:p>
            <w:pPr>
              <w:spacing w:after="0"/>
              <w:rPr>
                <w:sz w:val="18"/>
                <w:szCs w:val="18"/>
                <w:color w:val="auto"/>
              </w:rPr>
            </w:pPr>
          </w:p>
        </w:tc>
      </w:tr>
      <w:tr>
        <w:trPr>
          <w:trHeight w:val="216"/>
        </w:trPr>
        <w:tc>
          <w:tcPr>
            <w:tcW w:w="9720" w:type="dxa"/>
            <w:vAlign w:val="bottom"/>
          </w:tcPr>
          <w:p>
            <w:pPr>
              <w:ind w:left="420"/>
              <w:spacing w:after="0"/>
              <w:rPr>
                <w:sz w:val="20"/>
                <w:szCs w:val="20"/>
                <w:color w:val="auto"/>
              </w:rPr>
            </w:pPr>
            <w:r>
              <w:rPr>
                <w:rFonts w:ascii="Arial" w:cs="Arial" w:eastAsia="Arial" w:hAnsi="Arial"/>
                <w:sz w:val="18"/>
                <w:szCs w:val="18"/>
                <w:color w:val="auto"/>
              </w:rPr>
              <w:t>CEO Pay Ratio</w:t>
            </w:r>
          </w:p>
        </w:tc>
        <w:tc>
          <w:tcPr>
            <w:tcW w:w="1520" w:type="dxa"/>
            <w:vAlign w:val="bottom"/>
          </w:tcPr>
          <w:p>
            <w:pPr>
              <w:spacing w:after="0"/>
              <w:rPr>
                <w:sz w:val="18"/>
                <w:szCs w:val="18"/>
                <w:color w:val="auto"/>
              </w:rPr>
            </w:pPr>
          </w:p>
        </w:tc>
      </w:tr>
      <w:tr>
        <w:trPr>
          <w:trHeight w:val="216"/>
        </w:trPr>
        <w:tc>
          <w:tcPr>
            <w:tcW w:w="9720" w:type="dxa"/>
            <w:vAlign w:val="bottom"/>
          </w:tcPr>
          <w:p>
            <w:pPr>
              <w:ind w:left="420"/>
              <w:spacing w:after="0"/>
              <w:rPr>
                <w:sz w:val="20"/>
                <w:szCs w:val="20"/>
                <w:color w:val="auto"/>
              </w:rPr>
            </w:pPr>
            <w:r>
              <w:rPr>
                <w:rFonts w:ascii="Arial" w:cs="Arial" w:eastAsia="Arial" w:hAnsi="Arial"/>
                <w:sz w:val="18"/>
                <w:szCs w:val="18"/>
                <w:color w:val="auto"/>
              </w:rPr>
              <w:t>Equity Compensation Awards and Plan Information</w:t>
            </w:r>
          </w:p>
        </w:tc>
        <w:tc>
          <w:tcPr>
            <w:tcW w:w="1520" w:type="dxa"/>
            <w:vAlign w:val="bottom"/>
          </w:tcPr>
          <w:p>
            <w:pPr>
              <w:spacing w:after="0"/>
              <w:rPr>
                <w:sz w:val="18"/>
                <w:szCs w:val="18"/>
                <w:color w:val="auto"/>
              </w:rPr>
            </w:pPr>
          </w:p>
        </w:tc>
      </w:tr>
      <w:tr>
        <w:trPr>
          <w:trHeight w:val="230"/>
        </w:trPr>
        <w:tc>
          <w:tcPr>
            <w:tcW w:w="9720" w:type="dxa"/>
            <w:vAlign w:val="bottom"/>
          </w:tcPr>
          <w:p>
            <w:pPr>
              <w:ind w:left="420"/>
              <w:spacing w:after="0"/>
              <w:rPr>
                <w:sz w:val="20"/>
                <w:szCs w:val="20"/>
                <w:color w:val="auto"/>
              </w:rPr>
            </w:pPr>
            <w:r>
              <w:rPr>
                <w:rFonts w:ascii="Arial" w:cs="Arial" w:eastAsia="Arial" w:hAnsi="Arial"/>
                <w:sz w:val="18"/>
                <w:szCs w:val="18"/>
                <w:color w:val="auto"/>
              </w:rPr>
              <w:t>Potential Payments Upon Termination or Change in Control</w:t>
            </w:r>
          </w:p>
        </w:tc>
        <w:tc>
          <w:tcPr>
            <w:tcW w:w="1520" w:type="dxa"/>
            <w:vAlign w:val="bottom"/>
          </w:tcPr>
          <w:p>
            <w:pPr>
              <w:spacing w:after="0"/>
              <w:rPr>
                <w:sz w:val="20"/>
                <w:szCs w:val="20"/>
                <w:color w:val="auto"/>
              </w:rPr>
            </w:pPr>
          </w:p>
        </w:tc>
      </w:tr>
      <w:tr>
        <w:trPr>
          <w:trHeight w:val="243"/>
        </w:trPr>
        <w:tc>
          <w:tcPr>
            <w:tcW w:w="9720" w:type="dxa"/>
            <w:vAlign w:val="bottom"/>
            <w:shd w:val="clear" w:color="auto" w:fill="2D53A6"/>
          </w:tcPr>
          <w:p>
            <w:pPr>
              <w:spacing w:after="0"/>
              <w:rPr>
                <w:sz w:val="20"/>
                <w:szCs w:val="20"/>
                <w:color w:val="auto"/>
              </w:rPr>
            </w:pPr>
            <w:r>
              <w:rPr>
                <w:rFonts w:ascii="Arial" w:cs="Arial" w:eastAsia="Arial" w:hAnsi="Arial"/>
                <w:sz w:val="18"/>
                <w:szCs w:val="18"/>
                <w:b w:val="1"/>
                <w:bCs w:val="1"/>
                <w:color w:val="FFFFFF"/>
              </w:rPr>
              <w:t>Audit Matters</w:t>
            </w:r>
          </w:p>
        </w:tc>
        <w:tc>
          <w:tcPr>
            <w:tcW w:w="1520" w:type="dxa"/>
            <w:vAlign w:val="bottom"/>
            <w:shd w:val="clear" w:color="auto" w:fill="2D53A6"/>
          </w:tcPr>
          <w:p>
            <w:pPr>
              <w:ind w:left="400"/>
              <w:spacing w:after="0"/>
              <w:rPr>
                <w:sz w:val="20"/>
                <w:szCs w:val="20"/>
                <w:color w:val="auto"/>
              </w:rPr>
            </w:pPr>
            <w:r>
              <w:rPr>
                <w:rFonts w:ascii="Arial" w:cs="Arial" w:eastAsia="Arial" w:hAnsi="Arial"/>
                <w:sz w:val="18"/>
                <w:szCs w:val="18"/>
                <w:b w:val="1"/>
                <w:bCs w:val="1"/>
                <w:color w:val="FFFFFF"/>
              </w:rPr>
              <w:t>Page 48</w:t>
            </w:r>
          </w:p>
        </w:tc>
      </w:tr>
      <w:tr>
        <w:trPr>
          <w:trHeight w:val="202"/>
        </w:trPr>
        <w:tc>
          <w:tcPr>
            <w:tcW w:w="9720" w:type="dxa"/>
            <w:vAlign w:val="bottom"/>
          </w:tcPr>
          <w:p>
            <w:pPr>
              <w:ind w:left="280"/>
              <w:spacing w:after="0" w:line="201" w:lineRule="exact"/>
              <w:rPr>
                <w:sz w:val="20"/>
                <w:szCs w:val="20"/>
                <w:color w:val="auto"/>
              </w:rPr>
            </w:pPr>
            <w:r>
              <w:rPr>
                <w:rFonts w:ascii="Arial" w:cs="Arial" w:eastAsia="Arial" w:hAnsi="Arial"/>
                <w:sz w:val="18"/>
                <w:szCs w:val="18"/>
                <w:color w:val="auto"/>
              </w:rPr>
              <w:t>Audit Committee Report</w:t>
            </w:r>
          </w:p>
        </w:tc>
        <w:tc>
          <w:tcPr>
            <w:tcW w:w="1520" w:type="dxa"/>
            <w:vAlign w:val="bottom"/>
          </w:tcPr>
          <w:p>
            <w:pPr>
              <w:spacing w:after="0"/>
              <w:rPr>
                <w:sz w:val="17"/>
                <w:szCs w:val="17"/>
                <w:color w:val="auto"/>
              </w:rPr>
            </w:pPr>
          </w:p>
        </w:tc>
      </w:tr>
      <w:tr>
        <w:trPr>
          <w:trHeight w:val="216"/>
        </w:trPr>
        <w:tc>
          <w:tcPr>
            <w:tcW w:w="9720" w:type="dxa"/>
            <w:vAlign w:val="bottom"/>
          </w:tcPr>
          <w:p>
            <w:pPr>
              <w:ind w:left="420"/>
              <w:spacing w:after="0"/>
              <w:rPr>
                <w:sz w:val="20"/>
                <w:szCs w:val="20"/>
                <w:color w:val="auto"/>
              </w:rPr>
            </w:pPr>
            <w:r>
              <w:rPr>
                <w:rFonts w:ascii="Arial" w:cs="Arial" w:eastAsia="Arial" w:hAnsi="Arial"/>
                <w:sz w:val="18"/>
                <w:szCs w:val="18"/>
                <w:color w:val="auto"/>
              </w:rPr>
              <w:t>Audit Fees and Services</w:t>
            </w:r>
          </w:p>
        </w:tc>
        <w:tc>
          <w:tcPr>
            <w:tcW w:w="1520" w:type="dxa"/>
            <w:vAlign w:val="bottom"/>
          </w:tcPr>
          <w:p>
            <w:pPr>
              <w:spacing w:after="0"/>
              <w:rPr>
                <w:sz w:val="18"/>
                <w:szCs w:val="18"/>
                <w:color w:val="auto"/>
              </w:rPr>
            </w:pPr>
          </w:p>
        </w:tc>
      </w:tr>
      <w:tr>
        <w:trPr>
          <w:trHeight w:val="230"/>
        </w:trPr>
        <w:tc>
          <w:tcPr>
            <w:tcW w:w="9720" w:type="dxa"/>
            <w:vAlign w:val="bottom"/>
          </w:tcPr>
          <w:p>
            <w:pPr>
              <w:ind w:left="420"/>
              <w:spacing w:after="0"/>
              <w:rPr>
                <w:sz w:val="20"/>
                <w:szCs w:val="20"/>
                <w:color w:val="auto"/>
              </w:rPr>
            </w:pPr>
            <w:r>
              <w:rPr>
                <w:rFonts w:ascii="Arial" w:cs="Arial" w:eastAsia="Arial" w:hAnsi="Arial"/>
                <w:sz w:val="18"/>
                <w:szCs w:val="18"/>
                <w:color w:val="auto"/>
              </w:rPr>
              <w:t>Certain Relationships and Related Party Transactions</w:t>
            </w:r>
          </w:p>
        </w:tc>
        <w:tc>
          <w:tcPr>
            <w:tcW w:w="1520" w:type="dxa"/>
            <w:vAlign w:val="bottom"/>
          </w:tcPr>
          <w:p>
            <w:pPr>
              <w:spacing w:after="0"/>
              <w:rPr>
                <w:sz w:val="20"/>
                <w:szCs w:val="20"/>
                <w:color w:val="auto"/>
              </w:rPr>
            </w:pPr>
          </w:p>
        </w:tc>
      </w:tr>
      <w:tr>
        <w:trPr>
          <w:trHeight w:val="243"/>
        </w:trPr>
        <w:tc>
          <w:tcPr>
            <w:tcW w:w="9720" w:type="dxa"/>
            <w:vAlign w:val="bottom"/>
            <w:shd w:val="clear" w:color="auto" w:fill="2D53A6"/>
          </w:tcPr>
          <w:p>
            <w:pPr>
              <w:spacing w:after="0"/>
              <w:rPr>
                <w:sz w:val="20"/>
                <w:szCs w:val="20"/>
                <w:color w:val="auto"/>
              </w:rPr>
            </w:pPr>
            <w:r>
              <w:rPr>
                <w:rFonts w:ascii="Arial" w:cs="Arial" w:eastAsia="Arial" w:hAnsi="Arial"/>
                <w:sz w:val="18"/>
                <w:szCs w:val="18"/>
                <w:b w:val="1"/>
                <w:bCs w:val="1"/>
                <w:color w:val="FFFFFF"/>
              </w:rPr>
              <w:t>Voting Proposals</w:t>
            </w:r>
          </w:p>
        </w:tc>
        <w:tc>
          <w:tcPr>
            <w:tcW w:w="1520" w:type="dxa"/>
            <w:vAlign w:val="bottom"/>
            <w:shd w:val="clear" w:color="auto" w:fill="2D53A6"/>
          </w:tcPr>
          <w:p>
            <w:pPr>
              <w:ind w:left="400"/>
              <w:spacing w:after="0"/>
              <w:rPr>
                <w:sz w:val="20"/>
                <w:szCs w:val="20"/>
                <w:color w:val="auto"/>
              </w:rPr>
            </w:pPr>
            <w:r>
              <w:rPr>
                <w:rFonts w:ascii="Arial" w:cs="Arial" w:eastAsia="Arial" w:hAnsi="Arial"/>
                <w:sz w:val="18"/>
                <w:szCs w:val="18"/>
                <w:b w:val="1"/>
                <w:bCs w:val="1"/>
                <w:color w:val="FFFFFF"/>
              </w:rPr>
              <w:t>Page 52</w:t>
            </w:r>
          </w:p>
        </w:tc>
      </w:tr>
      <w:tr>
        <w:trPr>
          <w:trHeight w:val="202"/>
        </w:trPr>
        <w:tc>
          <w:tcPr>
            <w:tcW w:w="9720" w:type="dxa"/>
            <w:vAlign w:val="bottom"/>
          </w:tcPr>
          <w:p>
            <w:pPr>
              <w:ind w:left="280"/>
              <w:spacing w:after="0" w:line="201" w:lineRule="exact"/>
              <w:rPr>
                <w:sz w:val="20"/>
                <w:szCs w:val="20"/>
                <w:color w:val="auto"/>
              </w:rPr>
            </w:pPr>
            <w:r>
              <w:rPr>
                <w:rFonts w:ascii="Arial" w:cs="Arial" w:eastAsia="Arial" w:hAnsi="Arial"/>
                <w:sz w:val="18"/>
                <w:szCs w:val="18"/>
                <w:color w:val="auto"/>
              </w:rPr>
              <w:t>Proposal No. 1: Election of Directors</w:t>
            </w:r>
          </w:p>
        </w:tc>
        <w:tc>
          <w:tcPr>
            <w:tcW w:w="1520" w:type="dxa"/>
            <w:vAlign w:val="bottom"/>
          </w:tcPr>
          <w:p>
            <w:pPr>
              <w:spacing w:after="0"/>
              <w:rPr>
                <w:sz w:val="17"/>
                <w:szCs w:val="17"/>
                <w:color w:val="auto"/>
              </w:rPr>
            </w:pPr>
          </w:p>
        </w:tc>
      </w:tr>
      <w:tr>
        <w:trPr>
          <w:trHeight w:val="216"/>
        </w:trPr>
        <w:tc>
          <w:tcPr>
            <w:tcW w:w="9720" w:type="dxa"/>
            <w:vAlign w:val="bottom"/>
          </w:tcPr>
          <w:p>
            <w:pPr>
              <w:ind w:left="280"/>
              <w:spacing w:after="0"/>
              <w:rPr>
                <w:sz w:val="20"/>
                <w:szCs w:val="20"/>
                <w:color w:val="auto"/>
              </w:rPr>
            </w:pPr>
            <w:r>
              <w:rPr>
                <w:rFonts w:ascii="Arial" w:cs="Arial" w:eastAsia="Arial" w:hAnsi="Arial"/>
                <w:sz w:val="18"/>
                <w:szCs w:val="18"/>
                <w:color w:val="auto"/>
              </w:rPr>
              <w:t>Proposal No. 2: Advisory Vote to Approve Named Executive Compensation</w:t>
            </w:r>
          </w:p>
        </w:tc>
        <w:tc>
          <w:tcPr>
            <w:tcW w:w="1520" w:type="dxa"/>
            <w:vAlign w:val="bottom"/>
          </w:tcPr>
          <w:p>
            <w:pPr>
              <w:spacing w:after="0"/>
              <w:rPr>
                <w:sz w:val="18"/>
                <w:szCs w:val="18"/>
                <w:color w:val="auto"/>
              </w:rPr>
            </w:pPr>
          </w:p>
        </w:tc>
      </w:tr>
      <w:tr>
        <w:trPr>
          <w:trHeight w:val="216"/>
        </w:trPr>
        <w:tc>
          <w:tcPr>
            <w:tcW w:w="9720" w:type="dxa"/>
            <w:vAlign w:val="bottom"/>
          </w:tcPr>
          <w:p>
            <w:pPr>
              <w:ind w:left="280"/>
              <w:spacing w:after="0"/>
              <w:rPr>
                <w:sz w:val="20"/>
                <w:szCs w:val="20"/>
                <w:color w:val="auto"/>
              </w:rPr>
            </w:pPr>
            <w:r>
              <w:rPr>
                <w:rFonts w:ascii="Arial" w:cs="Arial" w:eastAsia="Arial" w:hAnsi="Arial"/>
                <w:sz w:val="18"/>
                <w:szCs w:val="18"/>
                <w:color w:val="auto"/>
                <w:w w:val="94"/>
              </w:rPr>
              <w:t>Proposal No. 3: Approve an amendment to our Amended and Restated Certificate of Incorporation to Increase the Number of</w:t>
            </w:r>
          </w:p>
        </w:tc>
        <w:tc>
          <w:tcPr>
            <w:tcW w:w="1520" w:type="dxa"/>
            <w:vAlign w:val="bottom"/>
          </w:tcPr>
          <w:p>
            <w:pPr>
              <w:spacing w:after="0"/>
              <w:rPr>
                <w:sz w:val="18"/>
                <w:szCs w:val="18"/>
                <w:color w:val="auto"/>
              </w:rPr>
            </w:pPr>
          </w:p>
        </w:tc>
      </w:tr>
      <w:tr>
        <w:trPr>
          <w:trHeight w:val="216"/>
        </w:trPr>
        <w:tc>
          <w:tcPr>
            <w:tcW w:w="9720" w:type="dxa"/>
            <w:vAlign w:val="bottom"/>
          </w:tcPr>
          <w:p>
            <w:pPr>
              <w:ind w:left="1460"/>
              <w:spacing w:after="0"/>
              <w:rPr>
                <w:sz w:val="20"/>
                <w:szCs w:val="20"/>
                <w:color w:val="auto"/>
              </w:rPr>
            </w:pPr>
            <w:r>
              <w:rPr>
                <w:rFonts w:ascii="Arial" w:cs="Arial" w:eastAsia="Arial" w:hAnsi="Arial"/>
                <w:sz w:val="18"/>
                <w:szCs w:val="18"/>
                <w:color w:val="auto"/>
              </w:rPr>
              <w:t>Authorized Shares of Common Stock</w:t>
            </w:r>
          </w:p>
        </w:tc>
        <w:tc>
          <w:tcPr>
            <w:tcW w:w="1520" w:type="dxa"/>
            <w:vAlign w:val="bottom"/>
          </w:tcPr>
          <w:p>
            <w:pPr>
              <w:spacing w:after="0"/>
              <w:rPr>
                <w:sz w:val="18"/>
                <w:szCs w:val="18"/>
                <w:color w:val="auto"/>
              </w:rPr>
            </w:pPr>
          </w:p>
        </w:tc>
      </w:tr>
      <w:tr>
        <w:trPr>
          <w:trHeight w:val="230"/>
        </w:trPr>
        <w:tc>
          <w:tcPr>
            <w:tcW w:w="9720" w:type="dxa"/>
            <w:vAlign w:val="bottom"/>
          </w:tcPr>
          <w:p>
            <w:pPr>
              <w:ind w:left="280"/>
              <w:spacing w:after="0"/>
              <w:rPr>
                <w:sz w:val="20"/>
                <w:szCs w:val="20"/>
                <w:color w:val="auto"/>
              </w:rPr>
            </w:pPr>
            <w:r>
              <w:rPr>
                <w:rFonts w:ascii="Arial" w:cs="Arial" w:eastAsia="Arial" w:hAnsi="Arial"/>
                <w:sz w:val="18"/>
                <w:szCs w:val="18"/>
                <w:color w:val="auto"/>
              </w:rPr>
              <w:t>Proposal No. 4: Ratification of Independent Registered Public Accounting Firm</w:t>
            </w:r>
          </w:p>
        </w:tc>
        <w:tc>
          <w:tcPr>
            <w:tcW w:w="1520" w:type="dxa"/>
            <w:vAlign w:val="bottom"/>
          </w:tcPr>
          <w:p>
            <w:pPr>
              <w:spacing w:after="0"/>
              <w:rPr>
                <w:sz w:val="20"/>
                <w:szCs w:val="20"/>
                <w:color w:val="auto"/>
              </w:rPr>
            </w:pPr>
          </w:p>
        </w:tc>
      </w:tr>
      <w:tr>
        <w:trPr>
          <w:trHeight w:val="243"/>
        </w:trPr>
        <w:tc>
          <w:tcPr>
            <w:tcW w:w="9720" w:type="dxa"/>
            <w:vAlign w:val="bottom"/>
            <w:shd w:val="clear" w:color="auto" w:fill="2D53A6"/>
          </w:tcPr>
          <w:p>
            <w:pPr>
              <w:spacing w:after="0"/>
              <w:rPr>
                <w:sz w:val="20"/>
                <w:szCs w:val="20"/>
                <w:color w:val="auto"/>
              </w:rPr>
            </w:pPr>
            <w:r>
              <w:rPr>
                <w:rFonts w:ascii="Arial" w:cs="Arial" w:eastAsia="Arial" w:hAnsi="Arial"/>
                <w:sz w:val="18"/>
                <w:szCs w:val="18"/>
                <w:b w:val="1"/>
                <w:bCs w:val="1"/>
                <w:color w:val="FFFFFF"/>
              </w:rPr>
              <w:t>Voting and Meeting Information</w:t>
            </w:r>
          </w:p>
        </w:tc>
        <w:tc>
          <w:tcPr>
            <w:tcW w:w="1520" w:type="dxa"/>
            <w:vAlign w:val="bottom"/>
            <w:shd w:val="clear" w:color="auto" w:fill="2D53A6"/>
          </w:tcPr>
          <w:p>
            <w:pPr>
              <w:ind w:left="400"/>
              <w:spacing w:after="0"/>
              <w:rPr>
                <w:sz w:val="20"/>
                <w:szCs w:val="20"/>
                <w:color w:val="auto"/>
              </w:rPr>
            </w:pPr>
            <w:r>
              <w:rPr>
                <w:rFonts w:ascii="Arial" w:cs="Arial" w:eastAsia="Arial" w:hAnsi="Arial"/>
                <w:sz w:val="18"/>
                <w:szCs w:val="18"/>
                <w:b w:val="1"/>
                <w:bCs w:val="1"/>
                <w:color w:val="FFFFFF"/>
              </w:rPr>
              <w:t>Page 60</w:t>
            </w:r>
          </w:p>
        </w:tc>
      </w:tr>
      <w:tr>
        <w:trPr>
          <w:trHeight w:val="216"/>
        </w:trPr>
        <w:tc>
          <w:tcPr>
            <w:tcW w:w="9720" w:type="dxa"/>
            <w:vAlign w:val="bottom"/>
          </w:tcPr>
          <w:p>
            <w:pPr>
              <w:ind w:left="280"/>
              <w:spacing w:after="0"/>
              <w:rPr>
                <w:sz w:val="20"/>
                <w:szCs w:val="20"/>
                <w:color w:val="auto"/>
              </w:rPr>
            </w:pPr>
            <w:r>
              <w:rPr>
                <w:rFonts w:ascii="Arial" w:cs="Arial" w:eastAsia="Arial" w:hAnsi="Arial"/>
                <w:sz w:val="18"/>
                <w:szCs w:val="18"/>
                <w:color w:val="auto"/>
              </w:rPr>
              <w:t>General Information</w:t>
            </w:r>
          </w:p>
        </w:tc>
        <w:tc>
          <w:tcPr>
            <w:tcW w:w="1520" w:type="dxa"/>
            <w:vAlign w:val="bottom"/>
          </w:tcPr>
          <w:p>
            <w:pPr>
              <w:spacing w:after="0"/>
              <w:rPr>
                <w:sz w:val="18"/>
                <w:szCs w:val="18"/>
                <w:color w:val="auto"/>
              </w:rPr>
            </w:pPr>
          </w:p>
        </w:tc>
      </w:tr>
      <w:tr>
        <w:trPr>
          <w:trHeight w:val="243"/>
        </w:trPr>
        <w:tc>
          <w:tcPr>
            <w:tcW w:w="9720" w:type="dxa"/>
            <w:vAlign w:val="bottom"/>
            <w:shd w:val="clear" w:color="auto" w:fill="2D53A6"/>
          </w:tcPr>
          <w:p>
            <w:pPr>
              <w:spacing w:after="0"/>
              <w:rPr>
                <w:sz w:val="20"/>
                <w:szCs w:val="20"/>
                <w:color w:val="auto"/>
              </w:rPr>
            </w:pPr>
            <w:r>
              <w:rPr>
                <w:rFonts w:ascii="Arial" w:cs="Arial" w:eastAsia="Arial" w:hAnsi="Arial"/>
                <w:sz w:val="18"/>
                <w:szCs w:val="18"/>
                <w:b w:val="1"/>
                <w:bCs w:val="1"/>
                <w:color w:val="FFFFFF"/>
              </w:rPr>
              <w:t>Appendices</w:t>
            </w:r>
          </w:p>
        </w:tc>
        <w:tc>
          <w:tcPr>
            <w:tcW w:w="1520" w:type="dxa"/>
            <w:vAlign w:val="bottom"/>
            <w:shd w:val="clear" w:color="auto" w:fill="2D53A6"/>
          </w:tcPr>
          <w:p>
            <w:pPr>
              <w:ind w:left="400"/>
              <w:spacing w:after="0"/>
              <w:rPr>
                <w:sz w:val="20"/>
                <w:szCs w:val="20"/>
                <w:color w:val="auto"/>
              </w:rPr>
            </w:pPr>
            <w:r>
              <w:rPr>
                <w:rFonts w:ascii="Arial" w:cs="Arial" w:eastAsia="Arial" w:hAnsi="Arial"/>
                <w:sz w:val="18"/>
                <w:szCs w:val="18"/>
                <w:b w:val="1"/>
                <w:bCs w:val="1"/>
                <w:color w:val="FFFFFF"/>
              </w:rPr>
              <w:t>Page 64</w:t>
            </w:r>
          </w:p>
        </w:tc>
      </w:tr>
      <w:tr>
        <w:trPr>
          <w:trHeight w:val="601"/>
        </w:trPr>
        <w:tc>
          <w:tcPr>
            <w:tcW w:w="97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7" w:right="339" w:bottom="1440" w:gutter="0" w:footer="0" w:header="0"/>
        </w:sectPr>
      </w:pPr>
    </w:p>
    <w:bookmarkStart w:id="6" w:name="page7"/>
    <w:bookmarkEnd w:id="6"/>
    <w:p>
      <w:pPr>
        <w:ind w:left="340"/>
        <w:spacing w:after="0"/>
        <w:rPr>
          <w:sz w:val="20"/>
          <w:szCs w:val="20"/>
          <w:color w:val="auto"/>
        </w:rPr>
      </w:pPr>
      <w:r>
        <w:rPr>
          <w:rFonts w:ascii="Arial" w:cs="Arial" w:eastAsia="Arial" w:hAnsi="Arial"/>
          <w:sz w:val="32"/>
          <w:szCs w:val="32"/>
          <w:b w:val="1"/>
          <w:bCs w:val="1"/>
          <w:color w:val="FFFFFF"/>
        </w:rPr>
        <w:drawing>
          <wp:anchor simplePos="0" relativeHeight="251657728" behindDoc="1" locked="0" layoutInCell="0" allowOverlap="1">
            <wp:simplePos x="0" y="0"/>
            <wp:positionH relativeFrom="page">
              <wp:posOffset>208280</wp:posOffset>
            </wp:positionH>
            <wp:positionV relativeFrom="page">
              <wp:posOffset>534670</wp:posOffset>
            </wp:positionV>
            <wp:extent cx="7132320" cy="5060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506095"/>
                    </a:xfrm>
                    <a:prstGeom prst="rect">
                      <a:avLst/>
                    </a:prstGeom>
                    <a:noFill/>
                  </pic:spPr>
                </pic:pic>
              </a:graphicData>
            </a:graphic>
          </wp:anchor>
        </w:drawing>
        <w:t>Proxy Statement Summary</w:t>
      </w:r>
    </w:p>
    <w:p>
      <w:pPr>
        <w:spacing w:after="0" w:line="200" w:lineRule="exact"/>
        <w:rPr>
          <w:sz w:val="20"/>
          <w:szCs w:val="20"/>
          <w:color w:val="auto"/>
        </w:rPr>
      </w:pPr>
    </w:p>
    <w:p>
      <w:pPr>
        <w:spacing w:after="0" w:line="255"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 xml:space="preserve">To assist you in reviewing the proposals to be acted upon at the annual meeting, we call your attention to the following summarized information about Cohu, the proposals and voting recommendations, our directors, highlights of the directors’ key qualifications, skills and experiences, board composition, corporate governance, executive compensation, and environmental, social and governance (“ESG”) matters. For more information about these topics, please review the complete proxy statement before voting. We also encourage you to read our latest annual report on Form 10-K, which is available at </w:t>
      </w:r>
      <w:r>
        <w:rPr>
          <w:rFonts w:ascii="Arial" w:cs="Arial" w:eastAsia="Arial" w:hAnsi="Arial"/>
          <w:sz w:val="16"/>
          <w:szCs w:val="16"/>
          <w:u w:val="single" w:color="auto"/>
          <w:color w:val="auto"/>
        </w:rPr>
        <w:t>www.cohu.com</w:t>
      </w:r>
      <w:r>
        <w:rPr>
          <w:rFonts w:ascii="Arial" w:cs="Arial" w:eastAsia="Arial" w:hAnsi="Arial"/>
          <w:sz w:val="16"/>
          <w:szCs w:val="16"/>
          <w:color w:val="auto"/>
        </w:rPr>
        <w:t xml:space="preserve">, and our latest ESG report, which is available at </w:t>
      </w:r>
      <w:r>
        <w:rPr>
          <w:rFonts w:ascii="Arial" w:cs="Arial" w:eastAsia="Arial" w:hAnsi="Arial"/>
          <w:sz w:val="16"/>
          <w:szCs w:val="16"/>
          <w:u w:val="single" w:color="auto"/>
          <w:color w:val="auto"/>
        </w:rPr>
        <w:t>https://www.cohu.com/company-corporate-sustainability</w:t>
      </w:r>
      <w:r>
        <w:rPr>
          <w:rFonts w:ascii="Arial" w:cs="Arial" w:eastAsia="Arial" w:hAnsi="Arial"/>
          <w:sz w:val="16"/>
          <w:szCs w:val="16"/>
          <w:color w:val="auto"/>
        </w:rPr>
        <w:t>. The content of any website or report referred to in this proxy statement is not a part of nor incorporated by reference in this proxy statement unless expressly noted.</w:t>
      </w:r>
    </w:p>
    <w:p>
      <w:pPr>
        <w:spacing w:after="0" w:line="16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We use the terms “Cohu,” the “Company,” “we,” “our,” and “us” in this proxy statement to refer to Cohu, Inc., a Delaware corporation. We also use the term “Board” to refer to the Company’s Board of Directors.</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This proxy statement contains forward-looking statements within the meaning of the Private Securities Litigation Reform Act of 1995. Forward-looking statements include any statements that are not statements of historical fact, including statements regarding our ESG plans and goals. Forward-looking statements are subject to risks and uncertainties that could cause actual results to differ materially from the expectations expressed, including the risks and uncertainties described in our filings with the U.S. Securities and Exchange Commission (“SEC”), and specifically the Risk Factors described in our annual report on Form 10-K. You should not place undue reliance on forward-looking statements. We undertake no obligation to update any forward-looking statements.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2D53A6"/>
        </w:rPr>
        <w:t>About Cohu</w:t>
      </w:r>
    </w:p>
    <w:p>
      <w:pPr>
        <w:spacing w:after="0" w:line="219"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Cohu is a leading supplier of semiconductor test automation and inspection equipment, micro-electromechanical system (MEMS) test modules, test contactors, thermal sub-systems and semiconductor automated test equipment used by global semiconductor manufacturers and their test subcontractors.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87630</wp:posOffset>
            </wp:positionV>
            <wp:extent cx="6557645" cy="30346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557645" cy="3034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16" w:right="35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color w:val="2D53A6"/>
        </w:rPr>
        <w:t>Cohu at a Glance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147955</wp:posOffset>
            </wp:positionV>
            <wp:extent cx="6111875" cy="36690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111875" cy="3669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right"/>
        <w:ind w:right="819"/>
        <w:spacing w:after="0"/>
        <w:rPr>
          <w:sz w:val="20"/>
          <w:szCs w:val="20"/>
          <w:color w:val="auto"/>
        </w:rPr>
      </w:pPr>
      <w:r>
        <w:rPr>
          <w:rFonts w:ascii="Arial" w:cs="Arial" w:eastAsia="Arial" w:hAnsi="Arial"/>
          <w:sz w:val="22"/>
          <w:szCs w:val="22"/>
          <w:b w:val="1"/>
          <w:bCs w:val="1"/>
          <w:color w:val="auto"/>
        </w:rPr>
        <w:t>Global Technology and Market Leader in $6.7 billion</w:t>
      </w:r>
      <w:r>
        <w:rPr>
          <w:rFonts w:ascii="Arial" w:cs="Arial" w:eastAsia="Arial" w:hAnsi="Arial"/>
          <w:sz w:val="17"/>
          <w:szCs w:val="17"/>
          <w:b w:val="1"/>
          <w:bCs w:val="1"/>
          <w:color w:val="auto"/>
        </w:rPr>
        <w:t>(1)</w:t>
      </w:r>
      <w:r>
        <w:rPr>
          <w:rFonts w:ascii="Arial" w:cs="Arial" w:eastAsia="Arial" w:hAnsi="Arial"/>
          <w:sz w:val="22"/>
          <w:szCs w:val="22"/>
          <w:b w:val="1"/>
          <w:bCs w:val="1"/>
          <w:color w:val="auto"/>
        </w:rPr>
        <w:t xml:space="preserve"> Semiconductor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1685290</wp:posOffset>
            </wp:positionH>
            <wp:positionV relativeFrom="paragraph">
              <wp:posOffset>147955</wp:posOffset>
            </wp:positionV>
            <wp:extent cx="3771900" cy="30518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771900" cy="3051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Cohu, Inc. Headquarters, Poway, CA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 Source: Gartner, June 2020 and Company 2022 estimates.</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71" w:right="1440" w:bottom="1440" w:gutter="0" w:footer="0" w:header="0"/>
        </w:sectPr>
      </w:pPr>
    </w:p>
    <w:bookmarkStart w:id="8" w:name="page9"/>
    <w:bookmarkEnd w:id="8"/>
    <w:p>
      <w:pPr>
        <w:spacing w:after="0"/>
        <w:rPr>
          <w:sz w:val="20"/>
          <w:szCs w:val="20"/>
          <w:color w:val="auto"/>
        </w:rPr>
      </w:pPr>
      <w:r>
        <w:rPr>
          <w:rFonts w:ascii="Arial" w:cs="Arial" w:eastAsia="Arial" w:hAnsi="Arial"/>
          <w:sz w:val="22"/>
          <w:szCs w:val="22"/>
          <w:b w:val="1"/>
          <w:bCs w:val="1"/>
          <w:color w:val="2D53A6"/>
        </w:rPr>
        <w:t>Fiscal Year 2021 Financial Highlights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Sales +39% year-over-year</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Seventh consecutive year of sales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wp:posOffset>
            </wp:positionH>
            <wp:positionV relativeFrom="paragraph">
              <wp:posOffset>147955</wp:posOffset>
            </wp:positionV>
            <wp:extent cx="6497955" cy="15773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497955" cy="1577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u w:val="single" w:color="auto"/>
          <w:color w:val="auto"/>
        </w:rPr>
        <w:t>Appendix</w:t>
      </w:r>
      <w:r>
        <w:rPr>
          <w:rFonts w:ascii="Arial" w:cs="Arial" w:eastAsia="Arial" w:hAnsi="Arial"/>
          <w:sz w:val="18"/>
          <w:szCs w:val="18"/>
          <w:color w:val="auto"/>
        </w:rPr>
        <w:t xml:space="preserve"> A for GAAP to non-GAAP reconciliations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b w:val="1"/>
          <w:bCs w:val="1"/>
          <w:color w:val="2D53A6"/>
        </w:rPr>
        <w:t>Proposals and Voting Recommendations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00" w:type="dxa"/>
            <w:vAlign w:val="bottom"/>
            <w:tcBorders>
              <w:right w:val="single" w:sz="8" w:color="2D53A6"/>
            </w:tcBorders>
            <w:vMerge w:val="restart"/>
            <w:shd w:val="clear" w:color="auto" w:fill="2D53A6"/>
          </w:tcPr>
          <w:p>
            <w:pPr>
              <w:spacing w:after="0"/>
              <w:rPr>
                <w:sz w:val="20"/>
                <w:szCs w:val="20"/>
                <w:color w:val="auto"/>
              </w:rPr>
            </w:pPr>
            <w:r>
              <w:rPr>
                <w:rFonts w:ascii="Arial" w:cs="Arial" w:eastAsia="Arial" w:hAnsi="Arial"/>
                <w:sz w:val="18"/>
                <w:szCs w:val="18"/>
                <w:b w:val="1"/>
                <w:bCs w:val="1"/>
                <w:color w:val="FFFFFF"/>
              </w:rPr>
              <w:t>Voting Matters</w:t>
            </w:r>
          </w:p>
        </w:tc>
        <w:tc>
          <w:tcPr>
            <w:tcW w:w="2240" w:type="dxa"/>
            <w:vAlign w:val="bottom"/>
            <w:shd w:val="clear" w:color="auto" w:fill="2D53A6"/>
          </w:tcPr>
          <w:p>
            <w:pPr>
              <w:spacing w:after="0"/>
              <w:rPr>
                <w:sz w:val="20"/>
                <w:szCs w:val="20"/>
                <w:color w:val="auto"/>
              </w:rPr>
            </w:pPr>
            <w:r>
              <w:rPr>
                <w:rFonts w:ascii="Arial" w:cs="Arial" w:eastAsia="Arial" w:hAnsi="Arial"/>
                <w:sz w:val="18"/>
                <w:szCs w:val="18"/>
                <w:b w:val="1"/>
                <w:bCs w:val="1"/>
                <w:color w:val="FFFFFF"/>
              </w:rPr>
              <w:t>Board Vote</w:t>
            </w:r>
          </w:p>
        </w:tc>
        <w:tc>
          <w:tcPr>
            <w:tcW w:w="0" w:type="dxa"/>
            <w:vAlign w:val="bottom"/>
          </w:tcPr>
          <w:p>
            <w:pPr>
              <w:spacing w:after="0"/>
              <w:rPr>
                <w:sz w:val="1"/>
                <w:szCs w:val="1"/>
                <w:color w:val="auto"/>
              </w:rPr>
            </w:pPr>
          </w:p>
        </w:tc>
      </w:tr>
      <w:tr>
        <w:trPr>
          <w:trHeight w:val="126"/>
        </w:trPr>
        <w:tc>
          <w:tcPr>
            <w:tcW w:w="9000" w:type="dxa"/>
            <w:vAlign w:val="bottom"/>
            <w:tcBorders>
              <w:right w:val="single" w:sz="8" w:color="2D53A6"/>
            </w:tcBorders>
            <w:vMerge w:val="continue"/>
            <w:shd w:val="clear" w:color="auto" w:fill="2D53A6"/>
          </w:tcPr>
          <w:p>
            <w:pPr>
              <w:spacing w:after="0"/>
              <w:rPr>
                <w:sz w:val="10"/>
                <w:szCs w:val="10"/>
                <w:color w:val="auto"/>
              </w:rPr>
            </w:pPr>
          </w:p>
        </w:tc>
        <w:tc>
          <w:tcPr>
            <w:tcW w:w="2240" w:type="dxa"/>
            <w:vAlign w:val="bottom"/>
            <w:vMerge w:val="restart"/>
            <w:shd w:val="clear" w:color="auto" w:fill="2D53A6"/>
          </w:tcPr>
          <w:p>
            <w:pPr>
              <w:spacing w:after="0"/>
              <w:rPr>
                <w:sz w:val="20"/>
                <w:szCs w:val="20"/>
                <w:color w:val="auto"/>
              </w:rPr>
            </w:pPr>
            <w:r>
              <w:rPr>
                <w:rFonts w:ascii="Arial" w:cs="Arial" w:eastAsia="Arial" w:hAnsi="Arial"/>
                <w:sz w:val="18"/>
                <w:szCs w:val="18"/>
                <w:b w:val="1"/>
                <w:bCs w:val="1"/>
                <w:color w:val="FFFFFF"/>
              </w:rPr>
              <w:t>Recommendation</w:t>
            </w:r>
          </w:p>
        </w:tc>
        <w:tc>
          <w:tcPr>
            <w:tcW w:w="0" w:type="dxa"/>
            <w:vAlign w:val="bottom"/>
          </w:tcPr>
          <w:p>
            <w:pPr>
              <w:spacing w:after="0"/>
              <w:rPr>
                <w:sz w:val="1"/>
                <w:szCs w:val="1"/>
                <w:color w:val="auto"/>
              </w:rPr>
            </w:pPr>
          </w:p>
        </w:tc>
      </w:tr>
      <w:tr>
        <w:trPr>
          <w:trHeight w:val="121"/>
        </w:trPr>
        <w:tc>
          <w:tcPr>
            <w:tcW w:w="9000" w:type="dxa"/>
            <w:vAlign w:val="bottom"/>
            <w:tcBorders>
              <w:right w:val="single" w:sz="8" w:color="2D53A6"/>
            </w:tcBorders>
            <w:shd w:val="clear" w:color="auto" w:fill="2D53A6"/>
          </w:tcPr>
          <w:p>
            <w:pPr>
              <w:spacing w:after="0"/>
              <w:rPr>
                <w:sz w:val="10"/>
                <w:szCs w:val="10"/>
                <w:color w:val="auto"/>
              </w:rPr>
            </w:pPr>
          </w:p>
        </w:tc>
        <w:tc>
          <w:tcPr>
            <w:tcW w:w="2240" w:type="dxa"/>
            <w:vAlign w:val="bottom"/>
            <w:vMerge w:val="continue"/>
            <w:shd w:val="clear" w:color="auto" w:fill="2D53A6"/>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9000" w:type="dxa"/>
            <w:vAlign w:val="bottom"/>
            <w:tcBorders>
              <w:bottom w:val="single" w:sz="8" w:color="2D53A6"/>
              <w:right w:val="single" w:sz="8" w:color="2D53A6"/>
            </w:tcBorders>
          </w:tcPr>
          <w:p>
            <w:pPr>
              <w:spacing w:after="0"/>
              <w:rPr>
                <w:sz w:val="20"/>
                <w:szCs w:val="20"/>
                <w:color w:val="auto"/>
              </w:rPr>
            </w:pPr>
            <w:r>
              <w:rPr>
                <w:rFonts w:ascii="Arial" w:cs="Arial" w:eastAsia="Arial" w:hAnsi="Arial"/>
                <w:sz w:val="18"/>
                <w:szCs w:val="18"/>
                <w:b w:val="1"/>
                <w:bCs w:val="1"/>
                <w:color w:val="auto"/>
              </w:rPr>
              <w:t>Proposal No. 1: Election of Two Class 3 Directors</w:t>
            </w:r>
          </w:p>
        </w:tc>
        <w:tc>
          <w:tcPr>
            <w:tcW w:w="2240" w:type="dxa"/>
            <w:vAlign w:val="bottom"/>
            <w:tcBorders>
              <w:bottom w:val="single" w:sz="8" w:color="2D53A6"/>
            </w:tcBorders>
          </w:tcPr>
          <w:p>
            <w:pPr>
              <w:spacing w:after="0"/>
              <w:rPr>
                <w:sz w:val="20"/>
                <w:szCs w:val="20"/>
                <w:color w:val="auto"/>
              </w:rPr>
            </w:pPr>
            <w:r>
              <w:rPr>
                <w:rFonts w:ascii="Arial" w:cs="Arial" w:eastAsia="Arial" w:hAnsi="Arial"/>
                <w:sz w:val="18"/>
                <w:szCs w:val="18"/>
                <w:b w:val="1"/>
                <w:bCs w:val="1"/>
                <w:color w:val="auto"/>
              </w:rPr>
              <w:t>√ FOR each Nominee</w:t>
            </w:r>
          </w:p>
        </w:tc>
        <w:tc>
          <w:tcPr>
            <w:tcW w:w="0" w:type="dxa"/>
            <w:vAlign w:val="bottom"/>
          </w:tcPr>
          <w:p>
            <w:pPr>
              <w:spacing w:after="0"/>
              <w:rPr>
                <w:sz w:val="1"/>
                <w:szCs w:val="1"/>
                <w:color w:val="auto"/>
              </w:rPr>
            </w:pPr>
          </w:p>
        </w:tc>
      </w:tr>
      <w:tr>
        <w:trPr>
          <w:trHeight w:val="210"/>
        </w:trPr>
        <w:tc>
          <w:tcPr>
            <w:tcW w:w="9000" w:type="dxa"/>
            <w:vAlign w:val="bottom"/>
            <w:tcBorders>
              <w:bottom w:val="single" w:sz="8" w:color="2D53A6"/>
              <w:right w:val="single" w:sz="8" w:color="2D53A6"/>
            </w:tcBorders>
            <w:shd w:val="clear" w:color="auto" w:fill="E6E6E6"/>
          </w:tcPr>
          <w:p>
            <w:pPr>
              <w:spacing w:after="0"/>
              <w:rPr>
                <w:sz w:val="20"/>
                <w:szCs w:val="20"/>
                <w:color w:val="auto"/>
              </w:rPr>
            </w:pPr>
            <w:r>
              <w:rPr>
                <w:rFonts w:ascii="Arial" w:cs="Arial" w:eastAsia="Arial" w:hAnsi="Arial"/>
                <w:sz w:val="18"/>
                <w:szCs w:val="18"/>
                <w:b w:val="1"/>
                <w:bCs w:val="1"/>
                <w:color w:val="auto"/>
              </w:rPr>
              <w:t xml:space="preserve">Proposal No. 2: Advisory Vote to Approve Our Named Executive Officer Compensation, or </w:t>
            </w:r>
            <w:r>
              <w:rPr>
                <w:rFonts w:ascii="Arial" w:cs="Arial" w:eastAsia="Arial" w:hAnsi="Arial"/>
                <w:sz w:val="18"/>
                <w:szCs w:val="18"/>
                <w:color w:val="auto"/>
              </w:rPr>
              <w:t>“</w:t>
            </w:r>
            <w:r>
              <w:rPr>
                <w:rFonts w:ascii="Arial" w:cs="Arial" w:eastAsia="Arial" w:hAnsi="Arial"/>
                <w:sz w:val="18"/>
                <w:szCs w:val="18"/>
                <w:b w:val="1"/>
                <w:bCs w:val="1"/>
                <w:color w:val="auto"/>
              </w:rPr>
              <w:t>Say-on-Pay</w:t>
            </w:r>
            <w:r>
              <w:rPr>
                <w:rFonts w:ascii="Arial" w:cs="Arial" w:eastAsia="Arial" w:hAnsi="Arial"/>
                <w:sz w:val="18"/>
                <w:szCs w:val="18"/>
                <w:color w:val="auto"/>
              </w:rPr>
              <w:t>”</w:t>
            </w:r>
          </w:p>
        </w:tc>
        <w:tc>
          <w:tcPr>
            <w:tcW w:w="2240" w:type="dxa"/>
            <w:vAlign w:val="bottom"/>
            <w:tcBorders>
              <w:bottom w:val="single" w:sz="8" w:color="2D53A6"/>
            </w:tcBorders>
            <w:shd w:val="clear" w:color="auto" w:fill="E6E6E6"/>
          </w:tcPr>
          <w:p>
            <w:pPr>
              <w:spacing w:after="0"/>
              <w:rPr>
                <w:sz w:val="20"/>
                <w:szCs w:val="20"/>
                <w:color w:val="auto"/>
              </w:rPr>
            </w:pPr>
            <w:r>
              <w:rPr>
                <w:rFonts w:ascii="Arial" w:cs="Arial" w:eastAsia="Arial" w:hAnsi="Arial"/>
                <w:sz w:val="18"/>
                <w:szCs w:val="18"/>
                <w:b w:val="1"/>
                <w:bCs w:val="1"/>
                <w:color w:val="auto"/>
              </w:rPr>
              <w:t>√ FOR</w:t>
            </w:r>
          </w:p>
        </w:tc>
        <w:tc>
          <w:tcPr>
            <w:tcW w:w="0" w:type="dxa"/>
            <w:vAlign w:val="bottom"/>
          </w:tcPr>
          <w:p>
            <w:pPr>
              <w:spacing w:after="0"/>
              <w:rPr>
                <w:sz w:val="1"/>
                <w:szCs w:val="1"/>
                <w:color w:val="auto"/>
              </w:rPr>
            </w:pPr>
          </w:p>
        </w:tc>
      </w:tr>
      <w:tr>
        <w:trPr>
          <w:trHeight w:val="211"/>
        </w:trPr>
        <w:tc>
          <w:tcPr>
            <w:tcW w:w="9000" w:type="dxa"/>
            <w:vAlign w:val="bottom"/>
            <w:tcBorders>
              <w:right w:val="single" w:sz="8" w:color="2D53A6"/>
            </w:tcBorders>
          </w:tcPr>
          <w:p>
            <w:pPr>
              <w:spacing w:after="0"/>
              <w:rPr>
                <w:sz w:val="20"/>
                <w:szCs w:val="20"/>
                <w:color w:val="auto"/>
              </w:rPr>
            </w:pPr>
            <w:r>
              <w:rPr>
                <w:rFonts w:ascii="Arial" w:cs="Arial" w:eastAsia="Arial" w:hAnsi="Arial"/>
                <w:sz w:val="18"/>
                <w:szCs w:val="18"/>
                <w:b w:val="1"/>
                <w:bCs w:val="1"/>
                <w:color w:val="auto"/>
                <w:w w:val="92"/>
              </w:rPr>
              <w:t>Proposal No. 3: Approve an Amendment to our Amended and Restated Certificate of Incorporation Increasing the</w:t>
            </w:r>
          </w:p>
        </w:tc>
        <w:tc>
          <w:tcPr>
            <w:tcW w:w="2240" w:type="dxa"/>
            <w:vAlign w:val="bottom"/>
          </w:tcPr>
          <w:p>
            <w:pPr>
              <w:spacing w:after="0"/>
              <w:rPr>
                <w:sz w:val="20"/>
                <w:szCs w:val="20"/>
                <w:color w:val="auto"/>
              </w:rPr>
            </w:pPr>
            <w:r>
              <w:rPr>
                <w:rFonts w:ascii="Arial" w:cs="Arial" w:eastAsia="Arial" w:hAnsi="Arial"/>
                <w:sz w:val="18"/>
                <w:szCs w:val="18"/>
                <w:b w:val="1"/>
                <w:bCs w:val="1"/>
                <w:color w:val="auto"/>
              </w:rPr>
              <w:t>√ FOR</w:t>
            </w:r>
          </w:p>
        </w:tc>
        <w:tc>
          <w:tcPr>
            <w:tcW w:w="0" w:type="dxa"/>
            <w:vAlign w:val="bottom"/>
          </w:tcPr>
          <w:p>
            <w:pPr>
              <w:spacing w:after="0"/>
              <w:rPr>
                <w:sz w:val="1"/>
                <w:szCs w:val="1"/>
                <w:color w:val="auto"/>
              </w:rPr>
            </w:pPr>
          </w:p>
        </w:tc>
      </w:tr>
      <w:tr>
        <w:trPr>
          <w:trHeight w:val="214"/>
        </w:trPr>
        <w:tc>
          <w:tcPr>
            <w:tcW w:w="9000" w:type="dxa"/>
            <w:vAlign w:val="bottom"/>
            <w:tcBorders>
              <w:bottom w:val="single" w:sz="8" w:color="2D53A6"/>
              <w:right w:val="single" w:sz="8" w:color="2D53A6"/>
            </w:tcBorders>
          </w:tcPr>
          <w:p>
            <w:pPr>
              <w:spacing w:after="0"/>
              <w:rPr>
                <w:sz w:val="20"/>
                <w:szCs w:val="20"/>
                <w:color w:val="auto"/>
              </w:rPr>
            </w:pPr>
            <w:r>
              <w:rPr>
                <w:rFonts w:ascii="Arial" w:cs="Arial" w:eastAsia="Arial" w:hAnsi="Arial"/>
                <w:sz w:val="18"/>
                <w:szCs w:val="18"/>
                <w:b w:val="1"/>
                <w:bCs w:val="1"/>
                <w:color w:val="auto"/>
              </w:rPr>
              <w:t>Number of Authorized Shares of Common Stock from 60,000,000 to 90,000,000 Shares</w:t>
            </w:r>
          </w:p>
        </w:tc>
        <w:tc>
          <w:tcPr>
            <w:tcW w:w="2240" w:type="dxa"/>
            <w:vAlign w:val="bottom"/>
            <w:tcBorders>
              <w:bottom w:val="single" w:sz="8" w:color="2D53A6"/>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9000" w:type="dxa"/>
            <w:vAlign w:val="bottom"/>
            <w:tcBorders>
              <w:right w:val="single" w:sz="8" w:color="2D53A6"/>
            </w:tcBorders>
            <w:shd w:val="clear" w:color="auto" w:fill="E6E6E6"/>
          </w:tcPr>
          <w:p>
            <w:pPr>
              <w:spacing w:after="0" w:line="191" w:lineRule="exact"/>
              <w:rPr>
                <w:sz w:val="20"/>
                <w:szCs w:val="20"/>
                <w:color w:val="auto"/>
              </w:rPr>
            </w:pPr>
            <w:r>
              <w:rPr>
                <w:rFonts w:ascii="Arial" w:cs="Arial" w:eastAsia="Arial" w:hAnsi="Arial"/>
                <w:sz w:val="18"/>
                <w:szCs w:val="18"/>
                <w:b w:val="1"/>
                <w:bCs w:val="1"/>
                <w:color w:val="auto"/>
                <w:w w:val="96"/>
              </w:rPr>
              <w:t>Proposal No. 4: Ratification of the Appointment of Ernst &amp; Young LLP as our Independent Registered Public</w:t>
            </w:r>
          </w:p>
        </w:tc>
        <w:tc>
          <w:tcPr>
            <w:tcW w:w="2240" w:type="dxa"/>
            <w:vAlign w:val="bottom"/>
            <w:vMerge w:val="restart"/>
            <w:shd w:val="clear" w:color="auto" w:fill="E6E6E6"/>
          </w:tcPr>
          <w:p>
            <w:pPr>
              <w:spacing w:after="0"/>
              <w:rPr>
                <w:sz w:val="20"/>
                <w:szCs w:val="20"/>
                <w:color w:val="auto"/>
              </w:rPr>
            </w:pPr>
            <w:r>
              <w:rPr>
                <w:rFonts w:ascii="Arial" w:cs="Arial" w:eastAsia="Arial" w:hAnsi="Arial"/>
                <w:sz w:val="18"/>
                <w:szCs w:val="18"/>
                <w:b w:val="1"/>
                <w:bCs w:val="1"/>
                <w:color w:val="auto"/>
              </w:rPr>
              <w:t>√ FOR</w:t>
            </w:r>
          </w:p>
        </w:tc>
        <w:tc>
          <w:tcPr>
            <w:tcW w:w="0" w:type="dxa"/>
            <w:vAlign w:val="bottom"/>
          </w:tcPr>
          <w:p>
            <w:pPr>
              <w:spacing w:after="0"/>
              <w:rPr>
                <w:sz w:val="1"/>
                <w:szCs w:val="1"/>
                <w:color w:val="auto"/>
              </w:rPr>
            </w:pPr>
          </w:p>
        </w:tc>
      </w:tr>
      <w:tr>
        <w:trPr>
          <w:trHeight w:val="126"/>
        </w:trPr>
        <w:tc>
          <w:tcPr>
            <w:tcW w:w="9000" w:type="dxa"/>
            <w:vAlign w:val="bottom"/>
            <w:tcBorders>
              <w:right w:val="single" w:sz="8" w:color="2D53A6"/>
            </w:tcBorders>
            <w:vMerge w:val="restart"/>
            <w:shd w:val="clear" w:color="auto" w:fill="E6E6E6"/>
          </w:tcPr>
          <w:p>
            <w:pPr>
              <w:spacing w:after="0"/>
              <w:rPr>
                <w:sz w:val="20"/>
                <w:szCs w:val="20"/>
                <w:color w:val="auto"/>
              </w:rPr>
            </w:pPr>
            <w:r>
              <w:rPr>
                <w:rFonts w:ascii="Arial" w:cs="Arial" w:eastAsia="Arial" w:hAnsi="Arial"/>
                <w:sz w:val="18"/>
                <w:szCs w:val="18"/>
                <w:b w:val="1"/>
                <w:bCs w:val="1"/>
                <w:color w:val="auto"/>
              </w:rPr>
              <w:t>Accounting Firm for Fiscal Year 2022</w:t>
            </w:r>
          </w:p>
        </w:tc>
        <w:tc>
          <w:tcPr>
            <w:tcW w:w="2240" w:type="dxa"/>
            <w:vAlign w:val="bottom"/>
            <w:vMerge w:val="continue"/>
            <w:shd w:val="clear" w:color="auto" w:fill="E6E6E6"/>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9000" w:type="dxa"/>
            <w:vAlign w:val="bottom"/>
            <w:tcBorders>
              <w:bottom w:val="single" w:sz="8" w:color="2D53A6"/>
              <w:right w:val="single" w:sz="8" w:color="2D53A6"/>
            </w:tcBorders>
            <w:vMerge w:val="continue"/>
            <w:shd w:val="clear" w:color="auto" w:fill="E6E6E6"/>
          </w:tcPr>
          <w:p>
            <w:pPr>
              <w:spacing w:after="0"/>
              <w:rPr>
                <w:sz w:val="9"/>
                <w:szCs w:val="9"/>
                <w:color w:val="auto"/>
              </w:rPr>
            </w:pPr>
          </w:p>
        </w:tc>
        <w:tc>
          <w:tcPr>
            <w:tcW w:w="2240" w:type="dxa"/>
            <w:vAlign w:val="bottom"/>
            <w:tcBorders>
              <w:bottom w:val="single" w:sz="8" w:color="2D53A6"/>
            </w:tcBorders>
            <w:shd w:val="clear" w:color="auto" w:fill="E6E6E6"/>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9000" w:type="dxa"/>
            <w:vAlign w:val="bottom"/>
            <w:tcBorders>
              <w:right w:val="single" w:sz="8" w:color="2D53A6"/>
            </w:tcBorders>
          </w:tcPr>
          <w:p>
            <w:pPr>
              <w:spacing w:after="0" w:line="191" w:lineRule="exact"/>
              <w:rPr>
                <w:sz w:val="20"/>
                <w:szCs w:val="20"/>
                <w:color w:val="auto"/>
              </w:rPr>
            </w:pPr>
            <w:r>
              <w:rPr>
                <w:rFonts w:ascii="Arial" w:cs="Arial" w:eastAsia="Arial" w:hAnsi="Arial"/>
                <w:sz w:val="18"/>
                <w:szCs w:val="18"/>
                <w:b w:val="1"/>
                <w:bCs w:val="1"/>
                <w:color w:val="auto"/>
                <w:w w:val="94"/>
              </w:rPr>
              <w:t>Transaction of other business as may properly come before the annual meeting (including any adjournment or</w:t>
            </w:r>
          </w:p>
        </w:tc>
        <w:tc>
          <w:tcPr>
            <w:tcW w:w="2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9000" w:type="dxa"/>
            <w:vAlign w:val="bottom"/>
            <w:tcBorders>
              <w:bottom w:val="single" w:sz="8" w:color="2D53A6"/>
              <w:right w:val="single" w:sz="8" w:color="2D53A6"/>
            </w:tcBorders>
          </w:tcPr>
          <w:p>
            <w:pPr>
              <w:spacing w:after="0"/>
              <w:rPr>
                <w:sz w:val="20"/>
                <w:szCs w:val="20"/>
                <w:color w:val="auto"/>
              </w:rPr>
            </w:pPr>
            <w:r>
              <w:rPr>
                <w:rFonts w:ascii="Arial" w:cs="Arial" w:eastAsia="Arial" w:hAnsi="Arial"/>
                <w:sz w:val="18"/>
                <w:szCs w:val="18"/>
                <w:b w:val="1"/>
                <w:bCs w:val="1"/>
                <w:color w:val="auto"/>
              </w:rPr>
              <w:t>postponement thereof)</w:t>
            </w:r>
          </w:p>
        </w:tc>
        <w:tc>
          <w:tcPr>
            <w:tcW w:w="2240" w:type="dxa"/>
            <w:vAlign w:val="bottom"/>
            <w:tcBorders>
              <w:bottom w:val="single" w:sz="8" w:color="2D53A6"/>
            </w:tcBorders>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9000" w:type="dxa"/>
            <w:vAlign w:val="bottom"/>
          </w:tcPr>
          <w:p>
            <w:pPr>
              <w:ind w:left="5580"/>
              <w:spacing w:after="0"/>
              <w:rPr>
                <w:sz w:val="20"/>
                <w:szCs w:val="20"/>
                <w:color w:val="auto"/>
              </w:rPr>
            </w:pPr>
            <w:r>
              <w:rPr>
                <w:rFonts w:ascii="Arial" w:cs="Arial" w:eastAsia="Arial" w:hAnsi="Arial"/>
                <w:sz w:val="18"/>
                <w:szCs w:val="18"/>
                <w:color w:val="auto"/>
              </w:rPr>
              <w:t>3</w:t>
            </w: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000" w:type="dxa"/>
            <w:vAlign w:val="bottom"/>
            <w:tcBorders>
              <w:bottom w:val="single" w:sz="8" w:color="auto"/>
            </w:tcBorders>
          </w:tcPr>
          <w:p>
            <w:pPr>
              <w:spacing w:after="0"/>
              <w:rPr>
                <w:sz w:val="10"/>
                <w:szCs w:val="10"/>
                <w:color w:val="auto"/>
              </w:rPr>
            </w:pPr>
          </w:p>
        </w:tc>
        <w:tc>
          <w:tcPr>
            <w:tcW w:w="22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1" w:right="339" w:bottom="1440" w:gutter="0" w:footer="0" w:header="0"/>
        </w:sectPr>
      </w:pPr>
    </w:p>
    <w:bookmarkStart w:id="9" w:name="page10"/>
    <w:bookmarkEnd w:id="9"/>
    <w:p>
      <w:pPr>
        <w:spacing w:after="0"/>
        <w:rPr>
          <w:sz w:val="20"/>
          <w:szCs w:val="20"/>
          <w:color w:val="auto"/>
        </w:rPr>
      </w:pPr>
      <w:r>
        <w:rPr>
          <w:rFonts w:ascii="Arial" w:cs="Arial" w:eastAsia="Arial" w:hAnsi="Arial"/>
          <w:sz w:val="22"/>
          <w:szCs w:val="22"/>
          <w:b w:val="1"/>
          <w:bCs w:val="1"/>
          <w:color w:val="2D53A6"/>
        </w:rPr>
        <w:t>Summary Information Regarding Our Directors</w:t>
      </w:r>
    </w:p>
    <w:p>
      <w:pPr>
        <w:spacing w:after="0" w:line="21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You are being asked to vote on the election of two (2) Class 3 director nominees. The following table provides summary information about each nominee as well as the remaining directors that are not standing for election at the 2022 annual meeting.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More detailed biographical information is contained in the “Proposal No. 1: Election of Directors” section below.</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260" w:type="dxa"/>
            <w:vAlign w:val="bottom"/>
            <w:tcBorders>
              <w:right w:val="single" w:sz="8" w:color="2D53A6"/>
            </w:tcBorders>
            <w:shd w:val="clear" w:color="auto" w:fill="2D53A6"/>
          </w:tcPr>
          <w:p>
            <w:pPr>
              <w:spacing w:after="0"/>
              <w:rPr>
                <w:sz w:val="18"/>
                <w:szCs w:val="18"/>
                <w:color w:val="auto"/>
              </w:rPr>
            </w:pPr>
          </w:p>
        </w:tc>
        <w:tc>
          <w:tcPr>
            <w:tcW w:w="680" w:type="dxa"/>
            <w:vAlign w:val="bottom"/>
            <w:tcBorders>
              <w:right w:val="single" w:sz="8" w:color="2D53A6"/>
            </w:tcBorders>
            <w:shd w:val="clear" w:color="auto" w:fill="2D53A6"/>
          </w:tcPr>
          <w:p>
            <w:pPr>
              <w:spacing w:after="0"/>
              <w:rPr>
                <w:sz w:val="18"/>
                <w:szCs w:val="18"/>
                <w:color w:val="auto"/>
              </w:rPr>
            </w:pPr>
          </w:p>
        </w:tc>
        <w:tc>
          <w:tcPr>
            <w:tcW w:w="1020" w:type="dxa"/>
            <w:vAlign w:val="bottom"/>
            <w:tcBorders>
              <w:right w:val="single" w:sz="8" w:color="2D53A6"/>
            </w:tcBorders>
            <w:shd w:val="clear" w:color="auto" w:fill="2D53A6"/>
          </w:tcPr>
          <w:p>
            <w:pPr>
              <w:spacing w:after="0"/>
              <w:rPr>
                <w:sz w:val="18"/>
                <w:szCs w:val="18"/>
                <w:color w:val="auto"/>
              </w:rPr>
            </w:pPr>
          </w:p>
        </w:tc>
        <w:tc>
          <w:tcPr>
            <w:tcW w:w="1240" w:type="dxa"/>
            <w:vAlign w:val="bottom"/>
            <w:tcBorders>
              <w:right w:val="single" w:sz="8" w:color="2D53A6"/>
            </w:tcBorders>
            <w:shd w:val="clear" w:color="auto" w:fill="2D53A6"/>
          </w:tcPr>
          <w:p>
            <w:pPr>
              <w:spacing w:after="0"/>
              <w:rPr>
                <w:sz w:val="18"/>
                <w:szCs w:val="18"/>
                <w:color w:val="auto"/>
              </w:rPr>
            </w:pPr>
          </w:p>
        </w:tc>
        <w:tc>
          <w:tcPr>
            <w:tcW w:w="124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86"/>
              </w:rPr>
              <w:t>Class and</w:t>
            </w:r>
          </w:p>
        </w:tc>
        <w:tc>
          <w:tcPr>
            <w:tcW w:w="680" w:type="dxa"/>
            <w:vAlign w:val="bottom"/>
            <w:tcBorders>
              <w:right w:val="single" w:sz="8" w:color="2D53A6"/>
            </w:tcBorders>
            <w:shd w:val="clear" w:color="auto" w:fill="2D53A6"/>
          </w:tcPr>
          <w:p>
            <w:pPr>
              <w:spacing w:after="0"/>
              <w:rPr>
                <w:sz w:val="18"/>
                <w:szCs w:val="18"/>
                <w:color w:val="auto"/>
              </w:rPr>
            </w:pPr>
          </w:p>
        </w:tc>
        <w:tc>
          <w:tcPr>
            <w:tcW w:w="660" w:type="dxa"/>
            <w:vAlign w:val="bottom"/>
            <w:tcBorders>
              <w:right w:val="single" w:sz="8" w:color="2D53A6"/>
            </w:tcBorders>
            <w:shd w:val="clear" w:color="auto" w:fill="2D53A6"/>
          </w:tcPr>
          <w:p>
            <w:pPr>
              <w:spacing w:after="0"/>
              <w:rPr>
                <w:sz w:val="18"/>
                <w:szCs w:val="18"/>
                <w:color w:val="auto"/>
              </w:rPr>
            </w:pPr>
          </w:p>
        </w:tc>
        <w:tc>
          <w:tcPr>
            <w:tcW w:w="660" w:type="dxa"/>
            <w:vAlign w:val="bottom"/>
            <w:tcBorders>
              <w:right w:val="single" w:sz="8" w:color="2D53A6"/>
            </w:tcBorders>
            <w:shd w:val="clear" w:color="auto" w:fill="2D53A6"/>
          </w:tcPr>
          <w:p>
            <w:pPr>
              <w:spacing w:after="0"/>
              <w:rPr>
                <w:sz w:val="18"/>
                <w:szCs w:val="18"/>
                <w:color w:val="auto"/>
              </w:rPr>
            </w:pPr>
          </w:p>
        </w:tc>
        <w:tc>
          <w:tcPr>
            <w:tcW w:w="2800" w:type="dxa"/>
            <w:vAlign w:val="bottom"/>
            <w:shd w:val="clear" w:color="auto" w:fill="2D53A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Borders>
              <w:right w:val="single" w:sz="8" w:color="2D53A6"/>
            </w:tcBorders>
            <w:vMerge w:val="restart"/>
            <w:shd w:val="clear" w:color="auto" w:fill="2D53A6"/>
          </w:tcPr>
          <w:p>
            <w:pPr>
              <w:spacing w:after="0"/>
              <w:rPr>
                <w:sz w:val="20"/>
                <w:szCs w:val="20"/>
                <w:color w:val="auto"/>
              </w:rPr>
            </w:pPr>
            <w:r>
              <w:rPr>
                <w:rFonts w:ascii="Arial" w:cs="Arial" w:eastAsia="Arial" w:hAnsi="Arial"/>
                <w:sz w:val="18"/>
                <w:szCs w:val="18"/>
                <w:b w:val="1"/>
                <w:bCs w:val="1"/>
                <w:color w:val="FFFFFF"/>
              </w:rPr>
              <w:t>Name</w:t>
            </w:r>
          </w:p>
        </w:tc>
        <w:tc>
          <w:tcPr>
            <w:tcW w:w="68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88"/>
              </w:rPr>
              <w:t>Age</w:t>
            </w:r>
          </w:p>
        </w:tc>
        <w:tc>
          <w:tcPr>
            <w:tcW w:w="102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83"/>
              </w:rPr>
              <w:t>Since</w:t>
            </w:r>
          </w:p>
        </w:tc>
        <w:tc>
          <w:tcPr>
            <w:tcW w:w="124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88"/>
              </w:rPr>
              <w:t xml:space="preserve">Independent </w:t>
            </w:r>
            <w:r>
              <w:rPr>
                <w:rFonts w:ascii="Arial" w:cs="Arial" w:eastAsia="Arial" w:hAnsi="Arial"/>
                <w:sz w:val="29"/>
                <w:szCs w:val="29"/>
                <w:b w:val="1"/>
                <w:bCs w:val="1"/>
                <w:color w:val="FFFFFF"/>
                <w:w w:val="88"/>
                <w:vertAlign w:val="superscript"/>
              </w:rPr>
              <w:t>(1)</w:t>
            </w:r>
          </w:p>
        </w:tc>
        <w:tc>
          <w:tcPr>
            <w:tcW w:w="124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3"/>
              </w:rPr>
              <w:t>When</w:t>
            </w:r>
          </w:p>
        </w:tc>
        <w:tc>
          <w:tcPr>
            <w:tcW w:w="680" w:type="dxa"/>
            <w:vAlign w:val="bottom"/>
            <w:tcBorders>
              <w:right w:val="single" w:sz="8" w:color="2D53A6"/>
            </w:tcBorders>
            <w:vMerge w:val="restart"/>
            <w:shd w:val="clear" w:color="auto" w:fill="2D53A6"/>
          </w:tcPr>
          <w:p>
            <w:pPr>
              <w:ind w:left="200"/>
              <w:spacing w:after="0"/>
              <w:rPr>
                <w:sz w:val="20"/>
                <w:szCs w:val="20"/>
                <w:color w:val="auto"/>
              </w:rPr>
            </w:pPr>
            <w:r>
              <w:rPr>
                <w:rFonts w:ascii="Arial" w:cs="Arial" w:eastAsia="Arial" w:hAnsi="Arial"/>
                <w:sz w:val="18"/>
                <w:szCs w:val="18"/>
                <w:b w:val="1"/>
                <w:bCs w:val="1"/>
                <w:color w:val="FFFFFF"/>
              </w:rPr>
              <w:t>AC</w:t>
            </w:r>
          </w:p>
        </w:tc>
        <w:tc>
          <w:tcPr>
            <w:tcW w:w="66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99"/>
              </w:rPr>
              <w:t>CC</w:t>
            </w:r>
          </w:p>
        </w:tc>
        <w:tc>
          <w:tcPr>
            <w:tcW w:w="66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99"/>
              </w:rPr>
              <w:t>NGC</w:t>
            </w:r>
          </w:p>
        </w:tc>
        <w:tc>
          <w:tcPr>
            <w:tcW w:w="2800" w:type="dxa"/>
            <w:vAlign w:val="bottom"/>
            <w:vMerge w:val="restart"/>
            <w:shd w:val="clear" w:color="auto" w:fill="2D53A6"/>
          </w:tcPr>
          <w:p>
            <w:pPr>
              <w:spacing w:after="0"/>
              <w:rPr>
                <w:sz w:val="20"/>
                <w:szCs w:val="20"/>
                <w:color w:val="auto"/>
              </w:rPr>
            </w:pPr>
            <w:r>
              <w:rPr>
                <w:rFonts w:ascii="Arial" w:cs="Arial" w:eastAsia="Arial" w:hAnsi="Arial"/>
                <w:sz w:val="18"/>
                <w:szCs w:val="18"/>
                <w:b w:val="1"/>
                <w:bCs w:val="1"/>
                <w:color w:val="FFFFFF"/>
              </w:rPr>
              <w:t>Other Current Public Boards</w:t>
            </w:r>
          </w:p>
        </w:tc>
        <w:tc>
          <w:tcPr>
            <w:tcW w:w="0" w:type="dxa"/>
            <w:vAlign w:val="bottom"/>
          </w:tcPr>
          <w:p>
            <w:pPr>
              <w:spacing w:after="0"/>
              <w:rPr>
                <w:sz w:val="1"/>
                <w:szCs w:val="1"/>
                <w:color w:val="auto"/>
              </w:rPr>
            </w:pPr>
          </w:p>
        </w:tc>
      </w:tr>
      <w:tr>
        <w:trPr>
          <w:trHeight w:val="180"/>
        </w:trPr>
        <w:tc>
          <w:tcPr>
            <w:tcW w:w="2260" w:type="dxa"/>
            <w:vAlign w:val="bottom"/>
            <w:tcBorders>
              <w:right w:val="single" w:sz="8" w:color="2D53A6"/>
            </w:tcBorders>
            <w:vMerge w:val="continue"/>
            <w:shd w:val="clear" w:color="auto" w:fill="2D53A6"/>
          </w:tcPr>
          <w:p>
            <w:pPr>
              <w:spacing w:after="0"/>
              <w:rPr>
                <w:sz w:val="15"/>
                <w:szCs w:val="15"/>
                <w:color w:val="auto"/>
              </w:rPr>
            </w:pPr>
          </w:p>
        </w:tc>
        <w:tc>
          <w:tcPr>
            <w:tcW w:w="680" w:type="dxa"/>
            <w:vAlign w:val="bottom"/>
            <w:tcBorders>
              <w:right w:val="single" w:sz="8" w:color="2D53A6"/>
            </w:tcBorders>
            <w:vMerge w:val="continue"/>
            <w:shd w:val="clear" w:color="auto" w:fill="2D53A6"/>
          </w:tcPr>
          <w:p>
            <w:pPr>
              <w:spacing w:after="0"/>
              <w:rPr>
                <w:sz w:val="15"/>
                <w:szCs w:val="15"/>
                <w:color w:val="auto"/>
              </w:rPr>
            </w:pPr>
          </w:p>
        </w:tc>
        <w:tc>
          <w:tcPr>
            <w:tcW w:w="1020" w:type="dxa"/>
            <w:vAlign w:val="bottom"/>
            <w:tcBorders>
              <w:right w:val="single" w:sz="8" w:color="2D53A6"/>
            </w:tcBorders>
            <w:vMerge w:val="continue"/>
            <w:shd w:val="clear" w:color="auto" w:fill="2D53A6"/>
          </w:tcPr>
          <w:p>
            <w:pPr>
              <w:spacing w:after="0"/>
              <w:rPr>
                <w:sz w:val="15"/>
                <w:szCs w:val="15"/>
                <w:color w:val="auto"/>
              </w:rPr>
            </w:pPr>
          </w:p>
        </w:tc>
        <w:tc>
          <w:tcPr>
            <w:tcW w:w="1240" w:type="dxa"/>
            <w:vAlign w:val="bottom"/>
            <w:tcBorders>
              <w:right w:val="single" w:sz="8" w:color="2D53A6"/>
            </w:tcBorders>
            <w:vMerge w:val="continue"/>
            <w:shd w:val="clear" w:color="auto" w:fill="2D53A6"/>
          </w:tcPr>
          <w:p>
            <w:pPr>
              <w:spacing w:after="0"/>
              <w:rPr>
                <w:sz w:val="15"/>
                <w:szCs w:val="15"/>
                <w:color w:val="auto"/>
              </w:rPr>
            </w:pPr>
          </w:p>
        </w:tc>
        <w:tc>
          <w:tcPr>
            <w:tcW w:w="124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95"/>
              </w:rPr>
              <w:t>Term</w:t>
            </w:r>
          </w:p>
        </w:tc>
        <w:tc>
          <w:tcPr>
            <w:tcW w:w="680" w:type="dxa"/>
            <w:vAlign w:val="bottom"/>
            <w:tcBorders>
              <w:right w:val="single" w:sz="8" w:color="2D53A6"/>
            </w:tcBorders>
            <w:vMerge w:val="continue"/>
            <w:shd w:val="clear" w:color="auto" w:fill="2D53A6"/>
          </w:tcPr>
          <w:p>
            <w:pPr>
              <w:spacing w:after="0"/>
              <w:rPr>
                <w:sz w:val="15"/>
                <w:szCs w:val="15"/>
                <w:color w:val="auto"/>
              </w:rPr>
            </w:pPr>
          </w:p>
        </w:tc>
        <w:tc>
          <w:tcPr>
            <w:tcW w:w="660" w:type="dxa"/>
            <w:vAlign w:val="bottom"/>
            <w:tcBorders>
              <w:right w:val="single" w:sz="8" w:color="2D53A6"/>
            </w:tcBorders>
            <w:vMerge w:val="continue"/>
            <w:shd w:val="clear" w:color="auto" w:fill="2D53A6"/>
          </w:tcPr>
          <w:p>
            <w:pPr>
              <w:spacing w:after="0"/>
              <w:rPr>
                <w:sz w:val="15"/>
                <w:szCs w:val="15"/>
                <w:color w:val="auto"/>
              </w:rPr>
            </w:pPr>
          </w:p>
        </w:tc>
        <w:tc>
          <w:tcPr>
            <w:tcW w:w="660" w:type="dxa"/>
            <w:vAlign w:val="bottom"/>
            <w:tcBorders>
              <w:right w:val="single" w:sz="8" w:color="2D53A6"/>
            </w:tcBorders>
            <w:vMerge w:val="continue"/>
            <w:shd w:val="clear" w:color="auto" w:fill="2D53A6"/>
          </w:tcPr>
          <w:p>
            <w:pPr>
              <w:spacing w:after="0"/>
              <w:rPr>
                <w:sz w:val="15"/>
                <w:szCs w:val="15"/>
                <w:color w:val="auto"/>
              </w:rPr>
            </w:pPr>
          </w:p>
        </w:tc>
        <w:tc>
          <w:tcPr>
            <w:tcW w:w="2800" w:type="dxa"/>
            <w:vAlign w:val="bottom"/>
            <w:vMerge w:val="continue"/>
            <w:shd w:val="clear" w:color="auto" w:fill="2D53A6"/>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2260" w:type="dxa"/>
            <w:vAlign w:val="bottom"/>
            <w:tcBorders>
              <w:right w:val="single" w:sz="8" w:color="2D53A6"/>
            </w:tcBorders>
            <w:shd w:val="clear" w:color="auto" w:fill="2D53A6"/>
          </w:tcPr>
          <w:p>
            <w:pPr>
              <w:spacing w:after="0"/>
              <w:rPr>
                <w:sz w:val="3"/>
                <w:szCs w:val="3"/>
                <w:color w:val="auto"/>
              </w:rPr>
            </w:pPr>
          </w:p>
        </w:tc>
        <w:tc>
          <w:tcPr>
            <w:tcW w:w="680" w:type="dxa"/>
            <w:vAlign w:val="bottom"/>
            <w:tcBorders>
              <w:right w:val="single" w:sz="8" w:color="2D53A6"/>
            </w:tcBorders>
            <w:shd w:val="clear" w:color="auto" w:fill="2D53A6"/>
          </w:tcPr>
          <w:p>
            <w:pPr>
              <w:spacing w:after="0"/>
              <w:rPr>
                <w:sz w:val="3"/>
                <w:szCs w:val="3"/>
                <w:color w:val="auto"/>
              </w:rPr>
            </w:pPr>
          </w:p>
        </w:tc>
        <w:tc>
          <w:tcPr>
            <w:tcW w:w="1020" w:type="dxa"/>
            <w:vAlign w:val="bottom"/>
            <w:tcBorders>
              <w:right w:val="single" w:sz="8" w:color="2D53A6"/>
            </w:tcBorders>
            <w:shd w:val="clear" w:color="auto" w:fill="2D53A6"/>
          </w:tcPr>
          <w:p>
            <w:pPr>
              <w:spacing w:after="0"/>
              <w:rPr>
                <w:sz w:val="3"/>
                <w:szCs w:val="3"/>
                <w:color w:val="auto"/>
              </w:rPr>
            </w:pPr>
          </w:p>
        </w:tc>
        <w:tc>
          <w:tcPr>
            <w:tcW w:w="1240" w:type="dxa"/>
            <w:vAlign w:val="bottom"/>
            <w:tcBorders>
              <w:right w:val="single" w:sz="8" w:color="2D53A6"/>
            </w:tcBorders>
            <w:shd w:val="clear" w:color="auto" w:fill="2D53A6"/>
          </w:tcPr>
          <w:p>
            <w:pPr>
              <w:spacing w:after="0"/>
              <w:rPr>
                <w:sz w:val="3"/>
                <w:szCs w:val="3"/>
                <w:color w:val="auto"/>
              </w:rPr>
            </w:pPr>
          </w:p>
        </w:tc>
        <w:tc>
          <w:tcPr>
            <w:tcW w:w="1240" w:type="dxa"/>
            <w:vAlign w:val="bottom"/>
            <w:tcBorders>
              <w:right w:val="single" w:sz="8" w:color="2D53A6"/>
            </w:tcBorders>
            <w:vMerge w:val="continue"/>
            <w:shd w:val="clear" w:color="auto" w:fill="2D53A6"/>
          </w:tcPr>
          <w:p>
            <w:pPr>
              <w:spacing w:after="0"/>
              <w:rPr>
                <w:sz w:val="3"/>
                <w:szCs w:val="3"/>
                <w:color w:val="auto"/>
              </w:rPr>
            </w:pPr>
          </w:p>
        </w:tc>
        <w:tc>
          <w:tcPr>
            <w:tcW w:w="680" w:type="dxa"/>
            <w:vAlign w:val="bottom"/>
            <w:tcBorders>
              <w:right w:val="single" w:sz="8" w:color="2D53A6"/>
            </w:tcBorders>
            <w:shd w:val="clear" w:color="auto" w:fill="2D53A6"/>
          </w:tcPr>
          <w:p>
            <w:pPr>
              <w:spacing w:after="0"/>
              <w:rPr>
                <w:sz w:val="3"/>
                <w:szCs w:val="3"/>
                <w:color w:val="auto"/>
              </w:rPr>
            </w:pPr>
          </w:p>
        </w:tc>
        <w:tc>
          <w:tcPr>
            <w:tcW w:w="660" w:type="dxa"/>
            <w:vAlign w:val="bottom"/>
            <w:tcBorders>
              <w:right w:val="single" w:sz="8" w:color="2D53A6"/>
            </w:tcBorders>
            <w:shd w:val="clear" w:color="auto" w:fill="2D53A6"/>
          </w:tcPr>
          <w:p>
            <w:pPr>
              <w:spacing w:after="0"/>
              <w:rPr>
                <w:sz w:val="3"/>
                <w:szCs w:val="3"/>
                <w:color w:val="auto"/>
              </w:rPr>
            </w:pPr>
          </w:p>
        </w:tc>
        <w:tc>
          <w:tcPr>
            <w:tcW w:w="660" w:type="dxa"/>
            <w:vAlign w:val="bottom"/>
            <w:tcBorders>
              <w:right w:val="single" w:sz="8" w:color="2D53A6"/>
            </w:tcBorders>
            <w:shd w:val="clear" w:color="auto" w:fill="2D53A6"/>
          </w:tcPr>
          <w:p>
            <w:pPr>
              <w:spacing w:after="0"/>
              <w:rPr>
                <w:sz w:val="3"/>
                <w:szCs w:val="3"/>
                <w:color w:val="auto"/>
              </w:rPr>
            </w:pPr>
          </w:p>
        </w:tc>
        <w:tc>
          <w:tcPr>
            <w:tcW w:w="2800" w:type="dxa"/>
            <w:vAlign w:val="bottom"/>
            <w:shd w:val="clear" w:color="auto" w:fill="2D53A6"/>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8"/>
        </w:trPr>
        <w:tc>
          <w:tcPr>
            <w:tcW w:w="2260" w:type="dxa"/>
            <w:vAlign w:val="bottom"/>
            <w:tcBorders>
              <w:right w:val="single" w:sz="8" w:color="2D53A6"/>
            </w:tcBorders>
            <w:shd w:val="clear" w:color="auto" w:fill="2D53A6"/>
          </w:tcPr>
          <w:p>
            <w:pPr>
              <w:spacing w:after="0"/>
              <w:rPr>
                <w:sz w:val="21"/>
                <w:szCs w:val="21"/>
                <w:color w:val="auto"/>
              </w:rPr>
            </w:pPr>
          </w:p>
        </w:tc>
        <w:tc>
          <w:tcPr>
            <w:tcW w:w="680" w:type="dxa"/>
            <w:vAlign w:val="bottom"/>
            <w:tcBorders>
              <w:right w:val="single" w:sz="8" w:color="2D53A6"/>
            </w:tcBorders>
            <w:shd w:val="clear" w:color="auto" w:fill="2D53A6"/>
          </w:tcPr>
          <w:p>
            <w:pPr>
              <w:spacing w:after="0"/>
              <w:rPr>
                <w:sz w:val="21"/>
                <w:szCs w:val="21"/>
                <w:color w:val="auto"/>
              </w:rPr>
            </w:pPr>
          </w:p>
        </w:tc>
        <w:tc>
          <w:tcPr>
            <w:tcW w:w="1020" w:type="dxa"/>
            <w:vAlign w:val="bottom"/>
            <w:tcBorders>
              <w:right w:val="single" w:sz="8" w:color="2D53A6"/>
            </w:tcBorders>
            <w:shd w:val="clear" w:color="auto" w:fill="2D53A6"/>
          </w:tcPr>
          <w:p>
            <w:pPr>
              <w:spacing w:after="0"/>
              <w:rPr>
                <w:sz w:val="21"/>
                <w:szCs w:val="21"/>
                <w:color w:val="auto"/>
              </w:rPr>
            </w:pPr>
          </w:p>
        </w:tc>
        <w:tc>
          <w:tcPr>
            <w:tcW w:w="1240" w:type="dxa"/>
            <w:vAlign w:val="bottom"/>
            <w:tcBorders>
              <w:right w:val="single" w:sz="8" w:color="2D53A6"/>
            </w:tcBorders>
            <w:shd w:val="clear" w:color="auto" w:fill="2D53A6"/>
          </w:tcPr>
          <w:p>
            <w:pPr>
              <w:spacing w:after="0"/>
              <w:rPr>
                <w:sz w:val="21"/>
                <w:szCs w:val="21"/>
                <w:color w:val="auto"/>
              </w:rPr>
            </w:pPr>
          </w:p>
        </w:tc>
        <w:tc>
          <w:tcPr>
            <w:tcW w:w="124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89"/>
              </w:rPr>
              <w:t>Expires</w:t>
            </w:r>
          </w:p>
        </w:tc>
        <w:tc>
          <w:tcPr>
            <w:tcW w:w="680" w:type="dxa"/>
            <w:vAlign w:val="bottom"/>
            <w:tcBorders>
              <w:right w:val="single" w:sz="8" w:color="2D53A6"/>
            </w:tcBorders>
            <w:shd w:val="clear" w:color="auto" w:fill="2D53A6"/>
          </w:tcPr>
          <w:p>
            <w:pPr>
              <w:spacing w:after="0"/>
              <w:rPr>
                <w:sz w:val="21"/>
                <w:szCs w:val="21"/>
                <w:color w:val="auto"/>
              </w:rPr>
            </w:pPr>
          </w:p>
        </w:tc>
        <w:tc>
          <w:tcPr>
            <w:tcW w:w="660" w:type="dxa"/>
            <w:vAlign w:val="bottom"/>
            <w:tcBorders>
              <w:right w:val="single" w:sz="8" w:color="2D53A6"/>
            </w:tcBorders>
            <w:shd w:val="clear" w:color="auto" w:fill="2D53A6"/>
          </w:tcPr>
          <w:p>
            <w:pPr>
              <w:spacing w:after="0"/>
              <w:rPr>
                <w:sz w:val="21"/>
                <w:szCs w:val="21"/>
                <w:color w:val="auto"/>
              </w:rPr>
            </w:pPr>
          </w:p>
        </w:tc>
        <w:tc>
          <w:tcPr>
            <w:tcW w:w="660" w:type="dxa"/>
            <w:vAlign w:val="bottom"/>
            <w:tcBorders>
              <w:right w:val="single" w:sz="8" w:color="2D53A6"/>
            </w:tcBorders>
            <w:shd w:val="clear" w:color="auto" w:fill="2D53A6"/>
          </w:tcPr>
          <w:p>
            <w:pPr>
              <w:spacing w:after="0"/>
              <w:rPr>
                <w:sz w:val="21"/>
                <w:szCs w:val="21"/>
                <w:color w:val="auto"/>
              </w:rPr>
            </w:pPr>
          </w:p>
        </w:tc>
        <w:tc>
          <w:tcPr>
            <w:tcW w:w="2800" w:type="dxa"/>
            <w:vAlign w:val="bottom"/>
            <w:shd w:val="clear" w:color="auto" w:fill="2D53A6"/>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260" w:type="dxa"/>
            <w:vAlign w:val="bottom"/>
            <w:tcBorders>
              <w:bottom w:val="single" w:sz="8" w:color="2D53A6"/>
              <w:right w:val="single" w:sz="8" w:color="2D53A6"/>
            </w:tcBorders>
          </w:tcPr>
          <w:p>
            <w:pPr>
              <w:spacing w:after="0"/>
              <w:rPr>
                <w:sz w:val="20"/>
                <w:szCs w:val="20"/>
                <w:color w:val="auto"/>
              </w:rPr>
            </w:pPr>
            <w:r>
              <w:rPr>
                <w:rFonts w:ascii="Arial" w:cs="Arial" w:eastAsia="Arial" w:hAnsi="Arial"/>
                <w:sz w:val="18"/>
                <w:szCs w:val="18"/>
                <w:color w:val="auto"/>
              </w:rPr>
              <w:t>Steven J. Bilodeau</w:t>
            </w:r>
          </w:p>
        </w:tc>
        <w:tc>
          <w:tcPr>
            <w:tcW w:w="68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89"/>
              </w:rPr>
              <w:t>63</w:t>
            </w:r>
          </w:p>
        </w:tc>
        <w:tc>
          <w:tcPr>
            <w:tcW w:w="102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89"/>
              </w:rPr>
              <w:t>2009</w:t>
            </w:r>
          </w:p>
        </w:tc>
        <w:tc>
          <w:tcPr>
            <w:tcW w:w="124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83"/>
              </w:rPr>
              <w:t>Yes</w:t>
            </w:r>
          </w:p>
        </w:tc>
        <w:tc>
          <w:tcPr>
            <w:tcW w:w="124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1"/>
              </w:rPr>
              <w:t>3 -- 2022</w:t>
            </w:r>
          </w:p>
        </w:tc>
        <w:tc>
          <w:tcPr>
            <w:tcW w:w="680" w:type="dxa"/>
            <w:vAlign w:val="bottom"/>
            <w:tcBorders>
              <w:bottom w:val="single" w:sz="8" w:color="2D53A6"/>
              <w:right w:val="single" w:sz="8" w:color="2D53A6"/>
            </w:tcBorders>
          </w:tcPr>
          <w:p>
            <w:pPr>
              <w:spacing w:after="0"/>
              <w:rPr>
                <w:sz w:val="18"/>
                <w:szCs w:val="18"/>
                <w:color w:val="auto"/>
              </w:rPr>
            </w:pPr>
          </w:p>
        </w:tc>
        <w:tc>
          <w:tcPr>
            <w:tcW w:w="66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1"/>
              </w:rPr>
              <w:t>C</w:t>
            </w:r>
          </w:p>
        </w:tc>
        <w:tc>
          <w:tcPr>
            <w:tcW w:w="66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rPr>
              <w:t>M</w:t>
            </w:r>
          </w:p>
        </w:tc>
        <w:tc>
          <w:tcPr>
            <w:tcW w:w="2800" w:type="dxa"/>
            <w:vAlign w:val="bottom"/>
            <w:tcBorders>
              <w:bottom w:val="single" w:sz="8" w:color="2D53A6"/>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60" w:type="dxa"/>
            <w:vAlign w:val="bottom"/>
            <w:tcBorders>
              <w:bottom w:val="single" w:sz="8" w:color="2D53A6"/>
              <w:right w:val="single" w:sz="8" w:color="2D53A6"/>
            </w:tcBorders>
            <w:shd w:val="clear" w:color="auto" w:fill="E6E6E6"/>
          </w:tcPr>
          <w:p>
            <w:pPr>
              <w:spacing w:after="0"/>
              <w:rPr>
                <w:sz w:val="20"/>
                <w:szCs w:val="20"/>
                <w:color w:val="auto"/>
              </w:rPr>
            </w:pPr>
            <w:r>
              <w:rPr>
                <w:rFonts w:ascii="Arial" w:cs="Arial" w:eastAsia="Arial" w:hAnsi="Arial"/>
                <w:sz w:val="18"/>
                <w:szCs w:val="18"/>
                <w:color w:val="auto"/>
              </w:rPr>
              <w:t>James A. Donahue</w:t>
            </w:r>
          </w:p>
        </w:tc>
        <w:tc>
          <w:tcPr>
            <w:tcW w:w="68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89"/>
              </w:rPr>
              <w:t>73</w:t>
            </w:r>
          </w:p>
        </w:tc>
        <w:tc>
          <w:tcPr>
            <w:tcW w:w="102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89"/>
              </w:rPr>
              <w:t>1999</w:t>
            </w:r>
          </w:p>
        </w:tc>
        <w:tc>
          <w:tcPr>
            <w:tcW w:w="124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5"/>
              </w:rPr>
              <w:t>No</w:t>
            </w:r>
          </w:p>
        </w:tc>
        <w:tc>
          <w:tcPr>
            <w:tcW w:w="124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1"/>
              </w:rPr>
              <w:t>3 -- 2022</w:t>
            </w:r>
          </w:p>
        </w:tc>
        <w:tc>
          <w:tcPr>
            <w:tcW w:w="680" w:type="dxa"/>
            <w:vAlign w:val="bottom"/>
            <w:tcBorders>
              <w:bottom w:val="single" w:sz="8" w:color="2D53A6"/>
              <w:right w:val="single" w:sz="8" w:color="2D53A6"/>
            </w:tcBorders>
            <w:shd w:val="clear" w:color="auto" w:fill="E6E6E6"/>
          </w:tcPr>
          <w:p>
            <w:pPr>
              <w:spacing w:after="0"/>
              <w:rPr>
                <w:sz w:val="18"/>
                <w:szCs w:val="18"/>
                <w:color w:val="auto"/>
              </w:rPr>
            </w:pPr>
          </w:p>
        </w:tc>
        <w:tc>
          <w:tcPr>
            <w:tcW w:w="660" w:type="dxa"/>
            <w:vAlign w:val="bottom"/>
            <w:tcBorders>
              <w:bottom w:val="single" w:sz="8" w:color="2D53A6"/>
              <w:right w:val="single" w:sz="8" w:color="2D53A6"/>
            </w:tcBorders>
            <w:shd w:val="clear" w:color="auto" w:fill="E6E6E6"/>
          </w:tcPr>
          <w:p>
            <w:pPr>
              <w:spacing w:after="0"/>
              <w:rPr>
                <w:sz w:val="18"/>
                <w:szCs w:val="18"/>
                <w:color w:val="auto"/>
              </w:rPr>
            </w:pPr>
          </w:p>
        </w:tc>
        <w:tc>
          <w:tcPr>
            <w:tcW w:w="660" w:type="dxa"/>
            <w:vAlign w:val="bottom"/>
            <w:tcBorders>
              <w:bottom w:val="single" w:sz="8" w:color="2D53A6"/>
              <w:right w:val="single" w:sz="8" w:color="2D53A6"/>
            </w:tcBorders>
            <w:shd w:val="clear" w:color="auto" w:fill="E6E6E6"/>
          </w:tcPr>
          <w:p>
            <w:pPr>
              <w:spacing w:after="0"/>
              <w:rPr>
                <w:sz w:val="18"/>
                <w:szCs w:val="18"/>
                <w:color w:val="auto"/>
              </w:rPr>
            </w:pPr>
          </w:p>
        </w:tc>
        <w:tc>
          <w:tcPr>
            <w:tcW w:w="2800" w:type="dxa"/>
            <w:vAlign w:val="bottom"/>
            <w:tcBorders>
              <w:bottom w:val="single" w:sz="8" w:color="2D53A6"/>
            </w:tcBorders>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60" w:type="dxa"/>
            <w:vAlign w:val="bottom"/>
            <w:tcBorders>
              <w:bottom w:val="single" w:sz="8" w:color="2D53A6"/>
            </w:tcBorders>
            <w:gridSpan w:val="3"/>
          </w:tcPr>
          <w:p>
            <w:pPr>
              <w:spacing w:after="0"/>
              <w:rPr>
                <w:sz w:val="20"/>
                <w:szCs w:val="20"/>
                <w:color w:val="auto"/>
              </w:rPr>
            </w:pPr>
            <w:r>
              <w:rPr>
                <w:rFonts w:ascii="Arial" w:cs="Arial" w:eastAsia="Arial" w:hAnsi="Arial"/>
                <w:sz w:val="18"/>
                <w:szCs w:val="18"/>
                <w:i w:val="1"/>
                <w:iCs w:val="1"/>
                <w:color w:val="auto"/>
              </w:rPr>
              <w:t>Other Directors Not Standing for Election in 2022</w:t>
            </w:r>
          </w:p>
        </w:tc>
        <w:tc>
          <w:tcPr>
            <w:tcW w:w="1240" w:type="dxa"/>
            <w:vAlign w:val="bottom"/>
            <w:tcBorders>
              <w:bottom w:val="single" w:sz="8" w:color="2D53A6"/>
            </w:tcBorders>
          </w:tcPr>
          <w:p>
            <w:pPr>
              <w:spacing w:after="0"/>
              <w:rPr>
                <w:sz w:val="18"/>
                <w:szCs w:val="18"/>
                <w:color w:val="auto"/>
              </w:rPr>
            </w:pPr>
          </w:p>
        </w:tc>
        <w:tc>
          <w:tcPr>
            <w:tcW w:w="1240" w:type="dxa"/>
            <w:vAlign w:val="bottom"/>
            <w:tcBorders>
              <w:bottom w:val="single" w:sz="8" w:color="2D53A6"/>
            </w:tcBorders>
          </w:tcPr>
          <w:p>
            <w:pPr>
              <w:spacing w:after="0"/>
              <w:rPr>
                <w:sz w:val="18"/>
                <w:szCs w:val="18"/>
                <w:color w:val="auto"/>
              </w:rPr>
            </w:pPr>
          </w:p>
        </w:tc>
        <w:tc>
          <w:tcPr>
            <w:tcW w:w="680" w:type="dxa"/>
            <w:vAlign w:val="bottom"/>
            <w:tcBorders>
              <w:bottom w:val="single" w:sz="8" w:color="2D53A6"/>
            </w:tcBorders>
          </w:tcPr>
          <w:p>
            <w:pPr>
              <w:spacing w:after="0"/>
              <w:rPr>
                <w:sz w:val="18"/>
                <w:szCs w:val="18"/>
                <w:color w:val="auto"/>
              </w:rPr>
            </w:pPr>
          </w:p>
        </w:tc>
        <w:tc>
          <w:tcPr>
            <w:tcW w:w="660" w:type="dxa"/>
            <w:vAlign w:val="bottom"/>
            <w:tcBorders>
              <w:bottom w:val="single" w:sz="8" w:color="2D53A6"/>
            </w:tcBorders>
          </w:tcPr>
          <w:p>
            <w:pPr>
              <w:spacing w:after="0"/>
              <w:rPr>
                <w:sz w:val="18"/>
                <w:szCs w:val="18"/>
                <w:color w:val="auto"/>
              </w:rPr>
            </w:pPr>
          </w:p>
        </w:tc>
        <w:tc>
          <w:tcPr>
            <w:tcW w:w="660" w:type="dxa"/>
            <w:vAlign w:val="bottom"/>
            <w:tcBorders>
              <w:bottom w:val="single" w:sz="8" w:color="2D53A6"/>
            </w:tcBorders>
          </w:tcPr>
          <w:p>
            <w:pPr>
              <w:spacing w:after="0"/>
              <w:rPr>
                <w:sz w:val="18"/>
                <w:szCs w:val="18"/>
                <w:color w:val="auto"/>
              </w:rPr>
            </w:pPr>
          </w:p>
        </w:tc>
        <w:tc>
          <w:tcPr>
            <w:tcW w:w="2800" w:type="dxa"/>
            <w:vAlign w:val="bottom"/>
            <w:tcBorders>
              <w:bottom w:val="single" w:sz="8" w:color="2D53A6"/>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260" w:type="dxa"/>
            <w:vAlign w:val="bottom"/>
            <w:tcBorders>
              <w:bottom w:val="single" w:sz="8" w:color="2D53A6"/>
              <w:right w:val="single" w:sz="8" w:color="2D53A6"/>
            </w:tcBorders>
            <w:shd w:val="clear" w:color="auto" w:fill="E6E6E6"/>
          </w:tcPr>
          <w:p>
            <w:pPr>
              <w:spacing w:after="0"/>
              <w:rPr>
                <w:sz w:val="20"/>
                <w:szCs w:val="20"/>
                <w:color w:val="auto"/>
              </w:rPr>
            </w:pPr>
            <w:r>
              <w:rPr>
                <w:rFonts w:ascii="Arial" w:cs="Arial" w:eastAsia="Arial" w:hAnsi="Arial"/>
                <w:sz w:val="18"/>
                <w:szCs w:val="18"/>
                <w:color w:val="auto"/>
              </w:rPr>
              <w:t>William E. Bendush</w:t>
            </w:r>
          </w:p>
        </w:tc>
        <w:tc>
          <w:tcPr>
            <w:tcW w:w="68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89"/>
              </w:rPr>
              <w:t>73</w:t>
            </w:r>
          </w:p>
        </w:tc>
        <w:tc>
          <w:tcPr>
            <w:tcW w:w="102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89"/>
              </w:rPr>
              <w:t>2011</w:t>
            </w:r>
          </w:p>
        </w:tc>
        <w:tc>
          <w:tcPr>
            <w:tcW w:w="124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83"/>
              </w:rPr>
              <w:t>Yes</w:t>
            </w:r>
          </w:p>
        </w:tc>
        <w:tc>
          <w:tcPr>
            <w:tcW w:w="124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1"/>
              </w:rPr>
              <w:t>1 -- 2023</w:t>
            </w:r>
          </w:p>
        </w:tc>
        <w:tc>
          <w:tcPr>
            <w:tcW w:w="680" w:type="dxa"/>
            <w:vAlign w:val="bottom"/>
            <w:tcBorders>
              <w:bottom w:val="single" w:sz="8" w:color="2D53A6"/>
              <w:right w:val="single" w:sz="8" w:color="2D53A6"/>
            </w:tcBorders>
            <w:shd w:val="clear" w:color="auto" w:fill="E6E6E6"/>
          </w:tcPr>
          <w:p>
            <w:pPr>
              <w:ind w:left="220"/>
              <w:spacing w:after="0"/>
              <w:rPr>
                <w:sz w:val="20"/>
                <w:szCs w:val="20"/>
                <w:color w:val="auto"/>
              </w:rPr>
            </w:pPr>
            <w:r>
              <w:rPr>
                <w:rFonts w:ascii="Arial" w:cs="Arial" w:eastAsia="Arial" w:hAnsi="Arial"/>
                <w:sz w:val="18"/>
                <w:szCs w:val="18"/>
                <w:color w:val="auto"/>
              </w:rPr>
              <w:t>C+</w:t>
            </w:r>
          </w:p>
        </w:tc>
        <w:tc>
          <w:tcPr>
            <w:tcW w:w="660" w:type="dxa"/>
            <w:vAlign w:val="bottom"/>
            <w:tcBorders>
              <w:bottom w:val="single" w:sz="8" w:color="2D53A6"/>
              <w:right w:val="single" w:sz="8" w:color="2D53A6"/>
            </w:tcBorders>
            <w:shd w:val="clear" w:color="auto" w:fill="E6E6E6"/>
          </w:tcPr>
          <w:p>
            <w:pPr>
              <w:spacing w:after="0"/>
              <w:rPr>
                <w:sz w:val="18"/>
                <w:szCs w:val="18"/>
                <w:color w:val="auto"/>
              </w:rPr>
            </w:pPr>
          </w:p>
        </w:tc>
        <w:tc>
          <w:tcPr>
            <w:tcW w:w="66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rPr>
              <w:t>M</w:t>
            </w:r>
          </w:p>
        </w:tc>
        <w:tc>
          <w:tcPr>
            <w:tcW w:w="2800" w:type="dxa"/>
            <w:vAlign w:val="bottom"/>
            <w:tcBorders>
              <w:bottom w:val="single" w:sz="8" w:color="2D53A6"/>
            </w:tcBorders>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60" w:type="dxa"/>
            <w:vAlign w:val="bottom"/>
            <w:tcBorders>
              <w:bottom w:val="single" w:sz="8" w:color="2D53A6"/>
              <w:right w:val="single" w:sz="8" w:color="2D53A6"/>
            </w:tcBorders>
          </w:tcPr>
          <w:p>
            <w:pPr>
              <w:spacing w:after="0"/>
              <w:rPr>
                <w:sz w:val="20"/>
                <w:szCs w:val="20"/>
                <w:color w:val="auto"/>
              </w:rPr>
            </w:pPr>
            <w:r>
              <w:rPr>
                <w:rFonts w:ascii="Arial" w:cs="Arial" w:eastAsia="Arial" w:hAnsi="Arial"/>
                <w:sz w:val="18"/>
                <w:szCs w:val="18"/>
                <w:color w:val="auto"/>
              </w:rPr>
              <w:t>Andrew M. Caggia</w:t>
            </w:r>
          </w:p>
        </w:tc>
        <w:tc>
          <w:tcPr>
            <w:tcW w:w="68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89"/>
              </w:rPr>
              <w:t>73</w:t>
            </w:r>
          </w:p>
        </w:tc>
        <w:tc>
          <w:tcPr>
            <w:tcW w:w="102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89"/>
              </w:rPr>
              <w:t>2014</w:t>
            </w:r>
          </w:p>
        </w:tc>
        <w:tc>
          <w:tcPr>
            <w:tcW w:w="124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83"/>
              </w:rPr>
              <w:t>Yes</w:t>
            </w:r>
          </w:p>
        </w:tc>
        <w:tc>
          <w:tcPr>
            <w:tcW w:w="124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1"/>
              </w:rPr>
              <w:t>2 -- 2024</w:t>
            </w:r>
          </w:p>
        </w:tc>
        <w:tc>
          <w:tcPr>
            <w:tcW w:w="680" w:type="dxa"/>
            <w:vAlign w:val="bottom"/>
            <w:tcBorders>
              <w:bottom w:val="single" w:sz="8" w:color="2D53A6"/>
              <w:right w:val="single" w:sz="8" w:color="2D53A6"/>
            </w:tcBorders>
          </w:tcPr>
          <w:p>
            <w:pPr>
              <w:ind w:left="200"/>
              <w:spacing w:after="0"/>
              <w:rPr>
                <w:sz w:val="20"/>
                <w:szCs w:val="20"/>
                <w:color w:val="auto"/>
              </w:rPr>
            </w:pPr>
            <w:r>
              <w:rPr>
                <w:rFonts w:ascii="Arial" w:cs="Arial" w:eastAsia="Arial" w:hAnsi="Arial"/>
                <w:sz w:val="18"/>
                <w:szCs w:val="18"/>
                <w:color w:val="auto"/>
              </w:rPr>
              <w:t>M+</w:t>
            </w:r>
          </w:p>
        </w:tc>
        <w:tc>
          <w:tcPr>
            <w:tcW w:w="660" w:type="dxa"/>
            <w:vAlign w:val="bottom"/>
            <w:tcBorders>
              <w:bottom w:val="single" w:sz="8" w:color="2D53A6"/>
              <w:right w:val="single" w:sz="8" w:color="2D53A6"/>
            </w:tcBorders>
          </w:tcPr>
          <w:p>
            <w:pPr>
              <w:spacing w:after="0"/>
              <w:rPr>
                <w:sz w:val="18"/>
                <w:szCs w:val="18"/>
                <w:color w:val="auto"/>
              </w:rPr>
            </w:pPr>
          </w:p>
        </w:tc>
        <w:tc>
          <w:tcPr>
            <w:tcW w:w="66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1"/>
              </w:rPr>
              <w:t>C</w:t>
            </w:r>
          </w:p>
        </w:tc>
        <w:tc>
          <w:tcPr>
            <w:tcW w:w="2800" w:type="dxa"/>
            <w:vAlign w:val="bottom"/>
            <w:tcBorders>
              <w:bottom w:val="single" w:sz="8" w:color="2D53A6"/>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260" w:type="dxa"/>
            <w:vAlign w:val="bottom"/>
            <w:tcBorders>
              <w:bottom w:val="single" w:sz="8" w:color="2D53A6"/>
              <w:right w:val="single" w:sz="8" w:color="2D53A6"/>
            </w:tcBorders>
            <w:shd w:val="clear" w:color="auto" w:fill="E6E6E6"/>
          </w:tcPr>
          <w:p>
            <w:pPr>
              <w:spacing w:after="0" w:line="210" w:lineRule="exact"/>
              <w:rPr>
                <w:sz w:val="20"/>
                <w:szCs w:val="20"/>
                <w:color w:val="auto"/>
              </w:rPr>
            </w:pPr>
            <w:r>
              <w:rPr>
                <w:rFonts w:ascii="Arial" w:cs="Arial" w:eastAsia="Arial" w:hAnsi="Arial"/>
                <w:sz w:val="15"/>
                <w:szCs w:val="15"/>
                <w:color w:val="auto"/>
              </w:rPr>
              <w:t xml:space="preserve">Lynne J. Camp </w:t>
            </w:r>
            <w:r>
              <w:rPr>
                <w:rFonts w:ascii="Arial" w:cs="Arial" w:eastAsia="Arial" w:hAnsi="Arial"/>
                <w:sz w:val="24"/>
                <w:szCs w:val="24"/>
                <w:color w:val="auto"/>
                <w:vertAlign w:val="superscript"/>
              </w:rPr>
              <w:t>(2)</w:t>
            </w:r>
          </w:p>
        </w:tc>
        <w:tc>
          <w:tcPr>
            <w:tcW w:w="68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89"/>
              </w:rPr>
              <w:t>64</w:t>
            </w:r>
          </w:p>
        </w:tc>
        <w:tc>
          <w:tcPr>
            <w:tcW w:w="102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89"/>
              </w:rPr>
              <w:t>2019</w:t>
            </w:r>
          </w:p>
        </w:tc>
        <w:tc>
          <w:tcPr>
            <w:tcW w:w="124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83"/>
              </w:rPr>
              <w:t>Yes</w:t>
            </w:r>
          </w:p>
        </w:tc>
        <w:tc>
          <w:tcPr>
            <w:tcW w:w="124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1"/>
              </w:rPr>
              <w:t>3 -- 2022</w:t>
            </w:r>
          </w:p>
        </w:tc>
        <w:tc>
          <w:tcPr>
            <w:tcW w:w="680" w:type="dxa"/>
            <w:vAlign w:val="bottom"/>
            <w:tcBorders>
              <w:bottom w:val="single" w:sz="8" w:color="2D53A6"/>
              <w:right w:val="single" w:sz="8" w:color="2D53A6"/>
            </w:tcBorders>
            <w:shd w:val="clear" w:color="auto" w:fill="E6E6E6"/>
          </w:tcPr>
          <w:p>
            <w:pPr>
              <w:spacing w:after="0"/>
              <w:rPr>
                <w:sz w:val="18"/>
                <w:szCs w:val="18"/>
                <w:color w:val="auto"/>
              </w:rPr>
            </w:pPr>
          </w:p>
        </w:tc>
        <w:tc>
          <w:tcPr>
            <w:tcW w:w="66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rPr>
              <w:t>M</w:t>
            </w:r>
          </w:p>
        </w:tc>
        <w:tc>
          <w:tcPr>
            <w:tcW w:w="660" w:type="dxa"/>
            <w:vAlign w:val="bottom"/>
            <w:tcBorders>
              <w:bottom w:val="single" w:sz="8" w:color="2D53A6"/>
              <w:right w:val="single" w:sz="8" w:color="2D53A6"/>
            </w:tcBorders>
            <w:shd w:val="clear" w:color="auto" w:fill="E6E6E6"/>
          </w:tcPr>
          <w:p>
            <w:pPr>
              <w:spacing w:after="0"/>
              <w:rPr>
                <w:sz w:val="18"/>
                <w:szCs w:val="18"/>
                <w:color w:val="auto"/>
              </w:rPr>
            </w:pPr>
          </w:p>
        </w:tc>
        <w:tc>
          <w:tcPr>
            <w:tcW w:w="2800" w:type="dxa"/>
            <w:vAlign w:val="bottom"/>
            <w:tcBorders>
              <w:bottom w:val="single" w:sz="8" w:color="2D53A6"/>
            </w:tcBorders>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260" w:type="dxa"/>
            <w:vAlign w:val="bottom"/>
            <w:tcBorders>
              <w:right w:val="single" w:sz="8" w:color="2D53A6"/>
            </w:tcBorders>
            <w:vMerge w:val="restart"/>
          </w:tcPr>
          <w:p>
            <w:pPr>
              <w:spacing w:after="0"/>
              <w:rPr>
                <w:sz w:val="20"/>
                <w:szCs w:val="20"/>
                <w:color w:val="auto"/>
              </w:rPr>
            </w:pPr>
            <w:r>
              <w:rPr>
                <w:rFonts w:ascii="Arial" w:cs="Arial" w:eastAsia="Arial" w:hAnsi="Arial"/>
                <w:sz w:val="18"/>
                <w:szCs w:val="18"/>
                <w:color w:val="auto"/>
              </w:rPr>
              <w:t>Yon Y. Jorden</w:t>
            </w:r>
          </w:p>
        </w:tc>
        <w:tc>
          <w:tcPr>
            <w:tcW w:w="680" w:type="dxa"/>
            <w:vAlign w:val="bottom"/>
            <w:tcBorders>
              <w:right w:val="single" w:sz="8" w:color="2D53A6"/>
            </w:tcBorders>
            <w:vMerge w:val="restart"/>
          </w:tcPr>
          <w:p>
            <w:pPr>
              <w:jc w:val="center"/>
              <w:spacing w:after="0"/>
              <w:rPr>
                <w:sz w:val="20"/>
                <w:szCs w:val="20"/>
                <w:color w:val="auto"/>
              </w:rPr>
            </w:pPr>
            <w:r>
              <w:rPr>
                <w:rFonts w:ascii="Arial" w:cs="Arial" w:eastAsia="Arial" w:hAnsi="Arial"/>
                <w:sz w:val="18"/>
                <w:szCs w:val="18"/>
                <w:color w:val="auto"/>
                <w:w w:val="89"/>
              </w:rPr>
              <w:t>67</w:t>
            </w:r>
          </w:p>
        </w:tc>
        <w:tc>
          <w:tcPr>
            <w:tcW w:w="1020" w:type="dxa"/>
            <w:vAlign w:val="bottom"/>
            <w:tcBorders>
              <w:right w:val="single" w:sz="8" w:color="2D53A6"/>
            </w:tcBorders>
            <w:vMerge w:val="restart"/>
          </w:tcPr>
          <w:p>
            <w:pPr>
              <w:jc w:val="center"/>
              <w:spacing w:after="0"/>
              <w:rPr>
                <w:sz w:val="20"/>
                <w:szCs w:val="20"/>
                <w:color w:val="auto"/>
              </w:rPr>
            </w:pPr>
            <w:r>
              <w:rPr>
                <w:rFonts w:ascii="Arial" w:cs="Arial" w:eastAsia="Arial" w:hAnsi="Arial"/>
                <w:sz w:val="18"/>
                <w:szCs w:val="18"/>
                <w:color w:val="auto"/>
                <w:w w:val="89"/>
              </w:rPr>
              <w:t>2021</w:t>
            </w:r>
          </w:p>
        </w:tc>
        <w:tc>
          <w:tcPr>
            <w:tcW w:w="1240" w:type="dxa"/>
            <w:vAlign w:val="bottom"/>
            <w:tcBorders>
              <w:right w:val="single" w:sz="8" w:color="2D53A6"/>
            </w:tcBorders>
            <w:vMerge w:val="restart"/>
          </w:tcPr>
          <w:p>
            <w:pPr>
              <w:jc w:val="center"/>
              <w:spacing w:after="0"/>
              <w:rPr>
                <w:sz w:val="20"/>
                <w:szCs w:val="20"/>
                <w:color w:val="auto"/>
              </w:rPr>
            </w:pPr>
            <w:r>
              <w:rPr>
                <w:rFonts w:ascii="Arial" w:cs="Arial" w:eastAsia="Arial" w:hAnsi="Arial"/>
                <w:sz w:val="18"/>
                <w:szCs w:val="18"/>
                <w:color w:val="auto"/>
                <w:w w:val="83"/>
              </w:rPr>
              <w:t>Yes</w:t>
            </w:r>
          </w:p>
        </w:tc>
        <w:tc>
          <w:tcPr>
            <w:tcW w:w="1240" w:type="dxa"/>
            <w:vAlign w:val="bottom"/>
            <w:tcBorders>
              <w:right w:val="single" w:sz="8" w:color="2D53A6"/>
            </w:tcBorders>
            <w:vMerge w:val="restart"/>
          </w:tcPr>
          <w:p>
            <w:pPr>
              <w:jc w:val="center"/>
              <w:spacing w:after="0"/>
              <w:rPr>
                <w:sz w:val="20"/>
                <w:szCs w:val="20"/>
                <w:color w:val="auto"/>
              </w:rPr>
            </w:pPr>
            <w:r>
              <w:rPr>
                <w:rFonts w:ascii="Arial" w:cs="Arial" w:eastAsia="Arial" w:hAnsi="Arial"/>
                <w:sz w:val="18"/>
                <w:szCs w:val="18"/>
                <w:color w:val="auto"/>
                <w:w w:val="91"/>
              </w:rPr>
              <w:t>2 -- 2024</w:t>
            </w:r>
          </w:p>
        </w:tc>
        <w:tc>
          <w:tcPr>
            <w:tcW w:w="680" w:type="dxa"/>
            <w:vAlign w:val="bottom"/>
            <w:tcBorders>
              <w:right w:val="single" w:sz="8" w:color="2D53A6"/>
            </w:tcBorders>
            <w:vMerge w:val="restart"/>
          </w:tcPr>
          <w:p>
            <w:pPr>
              <w:ind w:left="200"/>
              <w:spacing w:after="0"/>
              <w:rPr>
                <w:sz w:val="20"/>
                <w:szCs w:val="20"/>
                <w:color w:val="auto"/>
              </w:rPr>
            </w:pPr>
            <w:r>
              <w:rPr>
                <w:rFonts w:ascii="Arial" w:cs="Arial" w:eastAsia="Arial" w:hAnsi="Arial"/>
                <w:sz w:val="18"/>
                <w:szCs w:val="18"/>
                <w:color w:val="auto"/>
              </w:rPr>
              <w:t>M+</w:t>
            </w:r>
          </w:p>
        </w:tc>
        <w:tc>
          <w:tcPr>
            <w:tcW w:w="660" w:type="dxa"/>
            <w:vAlign w:val="bottom"/>
            <w:tcBorders>
              <w:right w:val="single" w:sz="8" w:color="2D53A6"/>
            </w:tcBorders>
          </w:tcPr>
          <w:p>
            <w:pPr>
              <w:spacing w:after="0"/>
              <w:rPr>
                <w:sz w:val="16"/>
                <w:szCs w:val="16"/>
                <w:color w:val="auto"/>
              </w:rPr>
            </w:pPr>
          </w:p>
        </w:tc>
        <w:tc>
          <w:tcPr>
            <w:tcW w:w="660" w:type="dxa"/>
            <w:vAlign w:val="bottom"/>
            <w:tcBorders>
              <w:right w:val="single" w:sz="8" w:color="2D53A6"/>
            </w:tcBorders>
          </w:tcPr>
          <w:p>
            <w:pPr>
              <w:spacing w:after="0"/>
              <w:rPr>
                <w:sz w:val="16"/>
                <w:szCs w:val="16"/>
                <w:color w:val="auto"/>
              </w:rPr>
            </w:pPr>
          </w:p>
        </w:tc>
        <w:tc>
          <w:tcPr>
            <w:tcW w:w="2800" w:type="dxa"/>
            <w:vAlign w:val="bottom"/>
          </w:tcPr>
          <w:p>
            <w:pPr>
              <w:spacing w:after="0" w:line="195" w:lineRule="exact"/>
              <w:rPr>
                <w:sz w:val="20"/>
                <w:szCs w:val="20"/>
                <w:color w:val="auto"/>
              </w:rPr>
            </w:pPr>
            <w:r>
              <w:rPr>
                <w:rFonts w:ascii="Arial" w:cs="Arial" w:eastAsia="Arial" w:hAnsi="Arial"/>
                <w:sz w:val="18"/>
                <w:szCs w:val="18"/>
                <w:color w:val="auto"/>
                <w:w w:val="93"/>
              </w:rPr>
              <w:t>Alignment Healthcare, Inc., Capstone</w:t>
            </w:r>
          </w:p>
        </w:tc>
        <w:tc>
          <w:tcPr>
            <w:tcW w:w="0" w:type="dxa"/>
            <w:vAlign w:val="bottom"/>
          </w:tcPr>
          <w:p>
            <w:pPr>
              <w:spacing w:after="0"/>
              <w:rPr>
                <w:sz w:val="1"/>
                <w:szCs w:val="1"/>
                <w:color w:val="auto"/>
              </w:rPr>
            </w:pPr>
          </w:p>
        </w:tc>
      </w:tr>
      <w:tr>
        <w:trPr>
          <w:trHeight w:val="122"/>
        </w:trPr>
        <w:tc>
          <w:tcPr>
            <w:tcW w:w="2260" w:type="dxa"/>
            <w:vAlign w:val="bottom"/>
            <w:tcBorders>
              <w:right w:val="single" w:sz="8" w:color="2D53A6"/>
            </w:tcBorders>
            <w:vMerge w:val="continue"/>
          </w:tcPr>
          <w:p>
            <w:pPr>
              <w:spacing w:after="0"/>
              <w:rPr>
                <w:sz w:val="10"/>
                <w:szCs w:val="10"/>
                <w:color w:val="auto"/>
              </w:rPr>
            </w:pPr>
          </w:p>
        </w:tc>
        <w:tc>
          <w:tcPr>
            <w:tcW w:w="680" w:type="dxa"/>
            <w:vAlign w:val="bottom"/>
            <w:tcBorders>
              <w:right w:val="single" w:sz="8" w:color="2D53A6"/>
            </w:tcBorders>
            <w:vMerge w:val="continue"/>
          </w:tcPr>
          <w:p>
            <w:pPr>
              <w:spacing w:after="0"/>
              <w:rPr>
                <w:sz w:val="10"/>
                <w:szCs w:val="10"/>
                <w:color w:val="auto"/>
              </w:rPr>
            </w:pPr>
          </w:p>
        </w:tc>
        <w:tc>
          <w:tcPr>
            <w:tcW w:w="1020" w:type="dxa"/>
            <w:vAlign w:val="bottom"/>
            <w:tcBorders>
              <w:right w:val="single" w:sz="8" w:color="2D53A6"/>
            </w:tcBorders>
            <w:vMerge w:val="continue"/>
          </w:tcPr>
          <w:p>
            <w:pPr>
              <w:spacing w:after="0"/>
              <w:rPr>
                <w:sz w:val="10"/>
                <w:szCs w:val="10"/>
                <w:color w:val="auto"/>
              </w:rPr>
            </w:pPr>
          </w:p>
        </w:tc>
        <w:tc>
          <w:tcPr>
            <w:tcW w:w="1240" w:type="dxa"/>
            <w:vAlign w:val="bottom"/>
            <w:tcBorders>
              <w:right w:val="single" w:sz="8" w:color="2D53A6"/>
            </w:tcBorders>
            <w:vMerge w:val="continue"/>
          </w:tcPr>
          <w:p>
            <w:pPr>
              <w:spacing w:after="0"/>
              <w:rPr>
                <w:sz w:val="10"/>
                <w:szCs w:val="10"/>
                <w:color w:val="auto"/>
              </w:rPr>
            </w:pPr>
          </w:p>
        </w:tc>
        <w:tc>
          <w:tcPr>
            <w:tcW w:w="1240" w:type="dxa"/>
            <w:vAlign w:val="bottom"/>
            <w:tcBorders>
              <w:right w:val="single" w:sz="8" w:color="2D53A6"/>
            </w:tcBorders>
            <w:vMerge w:val="continue"/>
          </w:tcPr>
          <w:p>
            <w:pPr>
              <w:spacing w:after="0"/>
              <w:rPr>
                <w:sz w:val="10"/>
                <w:szCs w:val="10"/>
                <w:color w:val="auto"/>
              </w:rPr>
            </w:pPr>
          </w:p>
        </w:tc>
        <w:tc>
          <w:tcPr>
            <w:tcW w:w="680" w:type="dxa"/>
            <w:vAlign w:val="bottom"/>
            <w:tcBorders>
              <w:right w:val="single" w:sz="8" w:color="2D53A6"/>
            </w:tcBorders>
            <w:vMerge w:val="continue"/>
          </w:tcPr>
          <w:p>
            <w:pPr>
              <w:spacing w:after="0"/>
              <w:rPr>
                <w:sz w:val="10"/>
                <w:szCs w:val="10"/>
                <w:color w:val="auto"/>
              </w:rPr>
            </w:pPr>
          </w:p>
        </w:tc>
        <w:tc>
          <w:tcPr>
            <w:tcW w:w="660" w:type="dxa"/>
            <w:vAlign w:val="bottom"/>
            <w:tcBorders>
              <w:right w:val="single" w:sz="8" w:color="2D53A6"/>
            </w:tcBorders>
          </w:tcPr>
          <w:p>
            <w:pPr>
              <w:spacing w:after="0"/>
              <w:rPr>
                <w:sz w:val="10"/>
                <w:szCs w:val="10"/>
                <w:color w:val="auto"/>
              </w:rPr>
            </w:pPr>
          </w:p>
        </w:tc>
        <w:tc>
          <w:tcPr>
            <w:tcW w:w="660" w:type="dxa"/>
            <w:vAlign w:val="bottom"/>
            <w:tcBorders>
              <w:right w:val="single" w:sz="8" w:color="2D53A6"/>
            </w:tcBorders>
          </w:tcPr>
          <w:p>
            <w:pPr>
              <w:spacing w:after="0"/>
              <w:rPr>
                <w:sz w:val="10"/>
                <w:szCs w:val="10"/>
                <w:color w:val="auto"/>
              </w:rPr>
            </w:pPr>
          </w:p>
        </w:tc>
        <w:tc>
          <w:tcPr>
            <w:tcW w:w="2800" w:type="dxa"/>
            <w:vAlign w:val="bottom"/>
            <w:vMerge w:val="restart"/>
          </w:tcPr>
          <w:p>
            <w:pPr>
              <w:spacing w:after="0"/>
              <w:rPr>
                <w:sz w:val="20"/>
                <w:szCs w:val="20"/>
                <w:color w:val="auto"/>
              </w:rPr>
            </w:pPr>
            <w:r>
              <w:rPr>
                <w:rFonts w:ascii="Arial" w:cs="Arial" w:eastAsia="Arial" w:hAnsi="Arial"/>
                <w:sz w:val="18"/>
                <w:szCs w:val="18"/>
                <w:color w:val="auto"/>
              </w:rPr>
              <w:t>Green Energy Corp.</w:t>
            </w:r>
          </w:p>
        </w:tc>
        <w:tc>
          <w:tcPr>
            <w:tcW w:w="0" w:type="dxa"/>
            <w:vAlign w:val="bottom"/>
          </w:tcPr>
          <w:p>
            <w:pPr>
              <w:spacing w:after="0"/>
              <w:rPr>
                <w:sz w:val="1"/>
                <w:szCs w:val="1"/>
                <w:color w:val="auto"/>
              </w:rPr>
            </w:pPr>
          </w:p>
        </w:tc>
      </w:tr>
      <w:tr>
        <w:trPr>
          <w:trHeight w:val="108"/>
        </w:trPr>
        <w:tc>
          <w:tcPr>
            <w:tcW w:w="2260" w:type="dxa"/>
            <w:vAlign w:val="bottom"/>
            <w:tcBorders>
              <w:bottom w:val="single" w:sz="8" w:color="2D53A6"/>
              <w:right w:val="single" w:sz="8" w:color="2D53A6"/>
            </w:tcBorders>
          </w:tcPr>
          <w:p>
            <w:pPr>
              <w:spacing w:after="0"/>
              <w:rPr>
                <w:sz w:val="9"/>
                <w:szCs w:val="9"/>
                <w:color w:val="auto"/>
              </w:rPr>
            </w:pPr>
          </w:p>
        </w:tc>
        <w:tc>
          <w:tcPr>
            <w:tcW w:w="680" w:type="dxa"/>
            <w:vAlign w:val="bottom"/>
            <w:tcBorders>
              <w:bottom w:val="single" w:sz="8" w:color="2D53A6"/>
              <w:right w:val="single" w:sz="8" w:color="2D53A6"/>
            </w:tcBorders>
          </w:tcPr>
          <w:p>
            <w:pPr>
              <w:spacing w:after="0"/>
              <w:rPr>
                <w:sz w:val="9"/>
                <w:szCs w:val="9"/>
                <w:color w:val="auto"/>
              </w:rPr>
            </w:pPr>
          </w:p>
        </w:tc>
        <w:tc>
          <w:tcPr>
            <w:tcW w:w="1020" w:type="dxa"/>
            <w:vAlign w:val="bottom"/>
            <w:tcBorders>
              <w:bottom w:val="single" w:sz="8" w:color="2D53A6"/>
              <w:right w:val="single" w:sz="8" w:color="2D53A6"/>
            </w:tcBorders>
          </w:tcPr>
          <w:p>
            <w:pPr>
              <w:spacing w:after="0"/>
              <w:rPr>
                <w:sz w:val="9"/>
                <w:szCs w:val="9"/>
                <w:color w:val="auto"/>
              </w:rPr>
            </w:pPr>
          </w:p>
        </w:tc>
        <w:tc>
          <w:tcPr>
            <w:tcW w:w="1240" w:type="dxa"/>
            <w:vAlign w:val="bottom"/>
            <w:tcBorders>
              <w:bottom w:val="single" w:sz="8" w:color="2D53A6"/>
              <w:right w:val="single" w:sz="8" w:color="2D53A6"/>
            </w:tcBorders>
          </w:tcPr>
          <w:p>
            <w:pPr>
              <w:spacing w:after="0"/>
              <w:rPr>
                <w:sz w:val="9"/>
                <w:szCs w:val="9"/>
                <w:color w:val="auto"/>
              </w:rPr>
            </w:pPr>
          </w:p>
        </w:tc>
        <w:tc>
          <w:tcPr>
            <w:tcW w:w="1240" w:type="dxa"/>
            <w:vAlign w:val="bottom"/>
            <w:tcBorders>
              <w:bottom w:val="single" w:sz="8" w:color="2D53A6"/>
              <w:right w:val="single" w:sz="8" w:color="2D53A6"/>
            </w:tcBorders>
          </w:tcPr>
          <w:p>
            <w:pPr>
              <w:spacing w:after="0"/>
              <w:rPr>
                <w:sz w:val="9"/>
                <w:szCs w:val="9"/>
                <w:color w:val="auto"/>
              </w:rPr>
            </w:pPr>
          </w:p>
        </w:tc>
        <w:tc>
          <w:tcPr>
            <w:tcW w:w="680" w:type="dxa"/>
            <w:vAlign w:val="bottom"/>
            <w:tcBorders>
              <w:bottom w:val="single" w:sz="8" w:color="2D53A6"/>
              <w:right w:val="single" w:sz="8" w:color="2D53A6"/>
            </w:tcBorders>
          </w:tcPr>
          <w:p>
            <w:pPr>
              <w:spacing w:after="0"/>
              <w:rPr>
                <w:sz w:val="9"/>
                <w:szCs w:val="9"/>
                <w:color w:val="auto"/>
              </w:rPr>
            </w:pPr>
          </w:p>
        </w:tc>
        <w:tc>
          <w:tcPr>
            <w:tcW w:w="660" w:type="dxa"/>
            <w:vAlign w:val="bottom"/>
            <w:tcBorders>
              <w:bottom w:val="single" w:sz="8" w:color="2D53A6"/>
              <w:right w:val="single" w:sz="8" w:color="2D53A6"/>
            </w:tcBorders>
          </w:tcPr>
          <w:p>
            <w:pPr>
              <w:spacing w:after="0"/>
              <w:rPr>
                <w:sz w:val="9"/>
                <w:szCs w:val="9"/>
                <w:color w:val="auto"/>
              </w:rPr>
            </w:pPr>
          </w:p>
        </w:tc>
        <w:tc>
          <w:tcPr>
            <w:tcW w:w="660" w:type="dxa"/>
            <w:vAlign w:val="bottom"/>
            <w:tcBorders>
              <w:bottom w:val="single" w:sz="8" w:color="2D53A6"/>
              <w:right w:val="single" w:sz="8" w:color="2D53A6"/>
            </w:tcBorders>
          </w:tcPr>
          <w:p>
            <w:pPr>
              <w:spacing w:after="0"/>
              <w:rPr>
                <w:sz w:val="9"/>
                <w:szCs w:val="9"/>
                <w:color w:val="auto"/>
              </w:rPr>
            </w:pPr>
          </w:p>
        </w:tc>
        <w:tc>
          <w:tcPr>
            <w:tcW w:w="2800" w:type="dxa"/>
            <w:vAlign w:val="bottom"/>
            <w:tcBorders>
              <w:bottom w:val="single" w:sz="8" w:color="2D53A6"/>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2260" w:type="dxa"/>
            <w:vAlign w:val="bottom"/>
            <w:tcBorders>
              <w:bottom w:val="single" w:sz="8" w:color="2D53A6"/>
              <w:right w:val="single" w:sz="8" w:color="2D53A6"/>
            </w:tcBorders>
            <w:shd w:val="clear" w:color="auto" w:fill="E6E6E6"/>
          </w:tcPr>
          <w:p>
            <w:pPr>
              <w:spacing w:after="0"/>
              <w:rPr>
                <w:sz w:val="20"/>
                <w:szCs w:val="20"/>
                <w:color w:val="auto"/>
              </w:rPr>
            </w:pPr>
            <w:r>
              <w:rPr>
                <w:rFonts w:ascii="Arial" w:cs="Arial" w:eastAsia="Arial" w:hAnsi="Arial"/>
                <w:sz w:val="18"/>
                <w:szCs w:val="18"/>
                <w:color w:val="auto"/>
              </w:rPr>
              <w:t>Luis A. Müller</w:t>
            </w:r>
          </w:p>
        </w:tc>
        <w:tc>
          <w:tcPr>
            <w:tcW w:w="68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89"/>
              </w:rPr>
              <w:t>52</w:t>
            </w:r>
          </w:p>
        </w:tc>
        <w:tc>
          <w:tcPr>
            <w:tcW w:w="102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89"/>
              </w:rPr>
              <w:t>2014</w:t>
            </w:r>
          </w:p>
        </w:tc>
        <w:tc>
          <w:tcPr>
            <w:tcW w:w="124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5"/>
              </w:rPr>
              <w:t>No</w:t>
            </w:r>
          </w:p>
        </w:tc>
        <w:tc>
          <w:tcPr>
            <w:tcW w:w="124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1"/>
              </w:rPr>
              <w:t>2 -- 2024</w:t>
            </w:r>
          </w:p>
        </w:tc>
        <w:tc>
          <w:tcPr>
            <w:tcW w:w="680" w:type="dxa"/>
            <w:vAlign w:val="bottom"/>
            <w:tcBorders>
              <w:bottom w:val="single" w:sz="8" w:color="2D53A6"/>
              <w:right w:val="single" w:sz="8" w:color="2D53A6"/>
            </w:tcBorders>
            <w:shd w:val="clear" w:color="auto" w:fill="E6E6E6"/>
          </w:tcPr>
          <w:p>
            <w:pPr>
              <w:spacing w:after="0"/>
              <w:rPr>
                <w:sz w:val="18"/>
                <w:szCs w:val="18"/>
                <w:color w:val="auto"/>
              </w:rPr>
            </w:pPr>
          </w:p>
        </w:tc>
        <w:tc>
          <w:tcPr>
            <w:tcW w:w="660" w:type="dxa"/>
            <w:vAlign w:val="bottom"/>
            <w:tcBorders>
              <w:bottom w:val="single" w:sz="8" w:color="2D53A6"/>
              <w:right w:val="single" w:sz="8" w:color="2D53A6"/>
            </w:tcBorders>
            <w:shd w:val="clear" w:color="auto" w:fill="E6E6E6"/>
          </w:tcPr>
          <w:p>
            <w:pPr>
              <w:spacing w:after="0"/>
              <w:rPr>
                <w:sz w:val="18"/>
                <w:szCs w:val="18"/>
                <w:color w:val="auto"/>
              </w:rPr>
            </w:pPr>
          </w:p>
        </w:tc>
        <w:tc>
          <w:tcPr>
            <w:tcW w:w="660" w:type="dxa"/>
            <w:vAlign w:val="bottom"/>
            <w:tcBorders>
              <w:bottom w:val="single" w:sz="8" w:color="2D53A6"/>
              <w:right w:val="single" w:sz="8" w:color="2D53A6"/>
            </w:tcBorders>
            <w:shd w:val="clear" w:color="auto" w:fill="E6E6E6"/>
          </w:tcPr>
          <w:p>
            <w:pPr>
              <w:spacing w:after="0"/>
              <w:rPr>
                <w:sz w:val="18"/>
                <w:szCs w:val="18"/>
                <w:color w:val="auto"/>
              </w:rPr>
            </w:pPr>
          </w:p>
        </w:tc>
        <w:tc>
          <w:tcPr>
            <w:tcW w:w="2800" w:type="dxa"/>
            <w:vAlign w:val="bottom"/>
            <w:tcBorders>
              <w:bottom w:val="single" w:sz="8" w:color="2D53A6"/>
            </w:tcBorders>
            <w:shd w:val="clear" w:color="auto" w:fill="E6E6E6"/>
          </w:tcPr>
          <w:p>
            <w:pPr>
              <w:spacing w:after="0"/>
              <w:rPr>
                <w:sz w:val="20"/>
                <w:szCs w:val="20"/>
                <w:color w:val="auto"/>
              </w:rPr>
            </w:pPr>
            <w:r>
              <w:rPr>
                <w:rFonts w:ascii="Arial" w:cs="Arial" w:eastAsia="Arial" w:hAnsi="Arial"/>
                <w:sz w:val="18"/>
                <w:szCs w:val="18"/>
                <w:color w:val="auto"/>
              </w:rPr>
              <w:t>Celestica Inc.</w:t>
            </w:r>
          </w:p>
        </w:tc>
        <w:tc>
          <w:tcPr>
            <w:tcW w:w="0" w:type="dxa"/>
            <w:vAlign w:val="bottom"/>
          </w:tcPr>
          <w:p>
            <w:pPr>
              <w:spacing w:after="0"/>
              <w:rPr>
                <w:sz w:val="1"/>
                <w:szCs w:val="1"/>
                <w:color w:val="auto"/>
              </w:rPr>
            </w:pPr>
          </w:p>
        </w:tc>
      </w:tr>
      <w:tr>
        <w:trPr>
          <w:trHeight w:val="195"/>
        </w:trPr>
        <w:tc>
          <w:tcPr>
            <w:tcW w:w="2260" w:type="dxa"/>
            <w:vAlign w:val="bottom"/>
            <w:tcBorders>
              <w:right w:val="single" w:sz="8" w:color="2D53A6"/>
            </w:tcBorders>
            <w:vMerge w:val="restart"/>
          </w:tcPr>
          <w:p>
            <w:pPr>
              <w:spacing w:after="0"/>
              <w:rPr>
                <w:sz w:val="20"/>
                <w:szCs w:val="20"/>
                <w:color w:val="auto"/>
              </w:rPr>
            </w:pPr>
            <w:r>
              <w:rPr>
                <w:rFonts w:ascii="Arial" w:cs="Arial" w:eastAsia="Arial" w:hAnsi="Arial"/>
                <w:sz w:val="18"/>
                <w:szCs w:val="18"/>
                <w:color w:val="auto"/>
              </w:rPr>
              <w:t>Nina L. Richardson</w:t>
            </w:r>
          </w:p>
        </w:tc>
        <w:tc>
          <w:tcPr>
            <w:tcW w:w="680" w:type="dxa"/>
            <w:vAlign w:val="bottom"/>
            <w:tcBorders>
              <w:right w:val="single" w:sz="8" w:color="2D53A6"/>
            </w:tcBorders>
            <w:vMerge w:val="restart"/>
          </w:tcPr>
          <w:p>
            <w:pPr>
              <w:jc w:val="center"/>
              <w:spacing w:after="0"/>
              <w:rPr>
                <w:sz w:val="20"/>
                <w:szCs w:val="20"/>
                <w:color w:val="auto"/>
              </w:rPr>
            </w:pPr>
            <w:r>
              <w:rPr>
                <w:rFonts w:ascii="Arial" w:cs="Arial" w:eastAsia="Arial" w:hAnsi="Arial"/>
                <w:sz w:val="18"/>
                <w:szCs w:val="18"/>
                <w:color w:val="auto"/>
                <w:w w:val="89"/>
              </w:rPr>
              <w:t>63</w:t>
            </w:r>
          </w:p>
        </w:tc>
        <w:tc>
          <w:tcPr>
            <w:tcW w:w="1020" w:type="dxa"/>
            <w:vAlign w:val="bottom"/>
            <w:tcBorders>
              <w:right w:val="single" w:sz="8" w:color="2D53A6"/>
            </w:tcBorders>
            <w:vMerge w:val="restart"/>
          </w:tcPr>
          <w:p>
            <w:pPr>
              <w:jc w:val="center"/>
              <w:spacing w:after="0"/>
              <w:rPr>
                <w:sz w:val="20"/>
                <w:szCs w:val="20"/>
                <w:color w:val="auto"/>
              </w:rPr>
            </w:pPr>
            <w:r>
              <w:rPr>
                <w:rFonts w:ascii="Arial" w:cs="Arial" w:eastAsia="Arial" w:hAnsi="Arial"/>
                <w:sz w:val="18"/>
                <w:szCs w:val="18"/>
                <w:color w:val="auto"/>
                <w:w w:val="89"/>
              </w:rPr>
              <w:t>2019</w:t>
            </w:r>
          </w:p>
        </w:tc>
        <w:tc>
          <w:tcPr>
            <w:tcW w:w="1240" w:type="dxa"/>
            <w:vAlign w:val="bottom"/>
            <w:tcBorders>
              <w:right w:val="single" w:sz="8" w:color="2D53A6"/>
            </w:tcBorders>
            <w:vMerge w:val="restart"/>
          </w:tcPr>
          <w:p>
            <w:pPr>
              <w:jc w:val="center"/>
              <w:spacing w:after="0"/>
              <w:rPr>
                <w:sz w:val="20"/>
                <w:szCs w:val="20"/>
                <w:color w:val="auto"/>
              </w:rPr>
            </w:pPr>
            <w:r>
              <w:rPr>
                <w:rFonts w:ascii="Arial" w:cs="Arial" w:eastAsia="Arial" w:hAnsi="Arial"/>
                <w:sz w:val="18"/>
                <w:szCs w:val="18"/>
                <w:color w:val="auto"/>
                <w:w w:val="83"/>
              </w:rPr>
              <w:t>Yes</w:t>
            </w:r>
          </w:p>
        </w:tc>
        <w:tc>
          <w:tcPr>
            <w:tcW w:w="1240" w:type="dxa"/>
            <w:vAlign w:val="bottom"/>
            <w:tcBorders>
              <w:right w:val="single" w:sz="8" w:color="2D53A6"/>
            </w:tcBorders>
            <w:vMerge w:val="restart"/>
          </w:tcPr>
          <w:p>
            <w:pPr>
              <w:jc w:val="center"/>
              <w:spacing w:after="0"/>
              <w:rPr>
                <w:sz w:val="20"/>
                <w:szCs w:val="20"/>
                <w:color w:val="auto"/>
              </w:rPr>
            </w:pPr>
            <w:r>
              <w:rPr>
                <w:rFonts w:ascii="Arial" w:cs="Arial" w:eastAsia="Arial" w:hAnsi="Arial"/>
                <w:sz w:val="18"/>
                <w:szCs w:val="18"/>
                <w:color w:val="auto"/>
                <w:w w:val="91"/>
              </w:rPr>
              <w:t>1 -- 2023</w:t>
            </w:r>
          </w:p>
        </w:tc>
        <w:tc>
          <w:tcPr>
            <w:tcW w:w="680" w:type="dxa"/>
            <w:vAlign w:val="bottom"/>
            <w:tcBorders>
              <w:right w:val="single" w:sz="8" w:color="2D53A6"/>
            </w:tcBorders>
          </w:tcPr>
          <w:p>
            <w:pPr>
              <w:spacing w:after="0"/>
              <w:rPr>
                <w:sz w:val="16"/>
                <w:szCs w:val="16"/>
                <w:color w:val="auto"/>
              </w:rPr>
            </w:pPr>
          </w:p>
        </w:tc>
        <w:tc>
          <w:tcPr>
            <w:tcW w:w="660" w:type="dxa"/>
            <w:vAlign w:val="bottom"/>
            <w:tcBorders>
              <w:right w:val="single" w:sz="8" w:color="2D53A6"/>
            </w:tcBorders>
            <w:vMerge w:val="restart"/>
          </w:tcPr>
          <w:p>
            <w:pPr>
              <w:jc w:val="center"/>
              <w:spacing w:after="0"/>
              <w:rPr>
                <w:sz w:val="20"/>
                <w:szCs w:val="20"/>
                <w:color w:val="auto"/>
              </w:rPr>
            </w:pPr>
            <w:r>
              <w:rPr>
                <w:rFonts w:ascii="Arial" w:cs="Arial" w:eastAsia="Arial" w:hAnsi="Arial"/>
                <w:sz w:val="18"/>
                <w:szCs w:val="18"/>
                <w:color w:val="auto"/>
              </w:rPr>
              <w:t>M</w:t>
            </w:r>
          </w:p>
        </w:tc>
        <w:tc>
          <w:tcPr>
            <w:tcW w:w="660" w:type="dxa"/>
            <w:vAlign w:val="bottom"/>
            <w:tcBorders>
              <w:right w:val="single" w:sz="8" w:color="2D53A6"/>
            </w:tcBorders>
          </w:tcPr>
          <w:p>
            <w:pPr>
              <w:spacing w:after="0"/>
              <w:rPr>
                <w:sz w:val="16"/>
                <w:szCs w:val="16"/>
                <w:color w:val="auto"/>
              </w:rPr>
            </w:pPr>
          </w:p>
        </w:tc>
        <w:tc>
          <w:tcPr>
            <w:tcW w:w="2800" w:type="dxa"/>
            <w:vAlign w:val="bottom"/>
          </w:tcPr>
          <w:p>
            <w:pPr>
              <w:spacing w:after="0" w:line="195" w:lineRule="exact"/>
              <w:rPr>
                <w:sz w:val="20"/>
                <w:szCs w:val="20"/>
                <w:color w:val="auto"/>
              </w:rPr>
            </w:pPr>
            <w:r>
              <w:rPr>
                <w:rFonts w:ascii="Arial" w:cs="Arial" w:eastAsia="Arial" w:hAnsi="Arial"/>
                <w:sz w:val="18"/>
                <w:szCs w:val="18"/>
                <w:color w:val="auto"/>
                <w:w w:val="99"/>
              </w:rPr>
              <w:t>Eargo, Inc., Resideo Technologies,</w:t>
            </w:r>
          </w:p>
        </w:tc>
        <w:tc>
          <w:tcPr>
            <w:tcW w:w="0" w:type="dxa"/>
            <w:vAlign w:val="bottom"/>
          </w:tcPr>
          <w:p>
            <w:pPr>
              <w:spacing w:after="0"/>
              <w:rPr>
                <w:sz w:val="1"/>
                <w:szCs w:val="1"/>
                <w:color w:val="auto"/>
              </w:rPr>
            </w:pPr>
          </w:p>
        </w:tc>
      </w:tr>
      <w:tr>
        <w:trPr>
          <w:trHeight w:val="122"/>
        </w:trPr>
        <w:tc>
          <w:tcPr>
            <w:tcW w:w="2260" w:type="dxa"/>
            <w:vAlign w:val="bottom"/>
            <w:tcBorders>
              <w:right w:val="single" w:sz="8" w:color="2D53A6"/>
            </w:tcBorders>
            <w:vMerge w:val="continue"/>
          </w:tcPr>
          <w:p>
            <w:pPr>
              <w:spacing w:after="0"/>
              <w:rPr>
                <w:sz w:val="10"/>
                <w:szCs w:val="10"/>
                <w:color w:val="auto"/>
              </w:rPr>
            </w:pPr>
          </w:p>
        </w:tc>
        <w:tc>
          <w:tcPr>
            <w:tcW w:w="680" w:type="dxa"/>
            <w:vAlign w:val="bottom"/>
            <w:tcBorders>
              <w:right w:val="single" w:sz="8" w:color="2D53A6"/>
            </w:tcBorders>
            <w:vMerge w:val="continue"/>
          </w:tcPr>
          <w:p>
            <w:pPr>
              <w:spacing w:after="0"/>
              <w:rPr>
                <w:sz w:val="10"/>
                <w:szCs w:val="10"/>
                <w:color w:val="auto"/>
              </w:rPr>
            </w:pPr>
          </w:p>
        </w:tc>
        <w:tc>
          <w:tcPr>
            <w:tcW w:w="1020" w:type="dxa"/>
            <w:vAlign w:val="bottom"/>
            <w:tcBorders>
              <w:right w:val="single" w:sz="8" w:color="2D53A6"/>
            </w:tcBorders>
            <w:vMerge w:val="continue"/>
          </w:tcPr>
          <w:p>
            <w:pPr>
              <w:spacing w:after="0"/>
              <w:rPr>
                <w:sz w:val="10"/>
                <w:szCs w:val="10"/>
                <w:color w:val="auto"/>
              </w:rPr>
            </w:pPr>
          </w:p>
        </w:tc>
        <w:tc>
          <w:tcPr>
            <w:tcW w:w="1240" w:type="dxa"/>
            <w:vAlign w:val="bottom"/>
            <w:tcBorders>
              <w:right w:val="single" w:sz="8" w:color="2D53A6"/>
            </w:tcBorders>
            <w:vMerge w:val="continue"/>
          </w:tcPr>
          <w:p>
            <w:pPr>
              <w:spacing w:after="0"/>
              <w:rPr>
                <w:sz w:val="10"/>
                <w:szCs w:val="10"/>
                <w:color w:val="auto"/>
              </w:rPr>
            </w:pPr>
          </w:p>
        </w:tc>
        <w:tc>
          <w:tcPr>
            <w:tcW w:w="1240" w:type="dxa"/>
            <w:vAlign w:val="bottom"/>
            <w:tcBorders>
              <w:right w:val="single" w:sz="8" w:color="2D53A6"/>
            </w:tcBorders>
            <w:vMerge w:val="continue"/>
          </w:tcPr>
          <w:p>
            <w:pPr>
              <w:spacing w:after="0"/>
              <w:rPr>
                <w:sz w:val="10"/>
                <w:szCs w:val="10"/>
                <w:color w:val="auto"/>
              </w:rPr>
            </w:pPr>
          </w:p>
        </w:tc>
        <w:tc>
          <w:tcPr>
            <w:tcW w:w="680" w:type="dxa"/>
            <w:vAlign w:val="bottom"/>
            <w:tcBorders>
              <w:right w:val="single" w:sz="8" w:color="2D53A6"/>
            </w:tcBorders>
          </w:tcPr>
          <w:p>
            <w:pPr>
              <w:spacing w:after="0"/>
              <w:rPr>
                <w:sz w:val="10"/>
                <w:szCs w:val="10"/>
                <w:color w:val="auto"/>
              </w:rPr>
            </w:pPr>
          </w:p>
        </w:tc>
        <w:tc>
          <w:tcPr>
            <w:tcW w:w="660" w:type="dxa"/>
            <w:vAlign w:val="bottom"/>
            <w:tcBorders>
              <w:right w:val="single" w:sz="8" w:color="2D53A6"/>
            </w:tcBorders>
            <w:vMerge w:val="continue"/>
          </w:tcPr>
          <w:p>
            <w:pPr>
              <w:spacing w:after="0"/>
              <w:rPr>
                <w:sz w:val="10"/>
                <w:szCs w:val="10"/>
                <w:color w:val="auto"/>
              </w:rPr>
            </w:pPr>
          </w:p>
        </w:tc>
        <w:tc>
          <w:tcPr>
            <w:tcW w:w="660" w:type="dxa"/>
            <w:vAlign w:val="bottom"/>
            <w:tcBorders>
              <w:right w:val="single" w:sz="8" w:color="2D53A6"/>
            </w:tcBorders>
          </w:tcPr>
          <w:p>
            <w:pPr>
              <w:spacing w:after="0"/>
              <w:rPr>
                <w:sz w:val="10"/>
                <w:szCs w:val="10"/>
                <w:color w:val="auto"/>
              </w:rPr>
            </w:pPr>
          </w:p>
        </w:tc>
        <w:tc>
          <w:tcPr>
            <w:tcW w:w="2800" w:type="dxa"/>
            <w:vAlign w:val="bottom"/>
            <w:vMerge w:val="restart"/>
          </w:tcPr>
          <w:p>
            <w:pPr>
              <w:spacing w:after="0"/>
              <w:rPr>
                <w:sz w:val="20"/>
                <w:szCs w:val="20"/>
                <w:color w:val="auto"/>
              </w:rPr>
            </w:pPr>
            <w:r>
              <w:rPr>
                <w:rFonts w:ascii="Arial" w:cs="Arial" w:eastAsia="Arial" w:hAnsi="Arial"/>
                <w:sz w:val="18"/>
                <w:szCs w:val="18"/>
                <w:color w:val="auto"/>
              </w:rPr>
              <w:t>Inc., Silicon Laboratories Inc.</w:t>
            </w:r>
          </w:p>
        </w:tc>
        <w:tc>
          <w:tcPr>
            <w:tcW w:w="0" w:type="dxa"/>
            <w:vAlign w:val="bottom"/>
          </w:tcPr>
          <w:p>
            <w:pPr>
              <w:spacing w:after="0"/>
              <w:rPr>
                <w:sz w:val="1"/>
                <w:szCs w:val="1"/>
                <w:color w:val="auto"/>
              </w:rPr>
            </w:pPr>
          </w:p>
        </w:tc>
      </w:tr>
      <w:tr>
        <w:trPr>
          <w:trHeight w:val="108"/>
        </w:trPr>
        <w:tc>
          <w:tcPr>
            <w:tcW w:w="2260" w:type="dxa"/>
            <w:vAlign w:val="bottom"/>
            <w:tcBorders>
              <w:bottom w:val="single" w:sz="8" w:color="2D53A6"/>
              <w:right w:val="single" w:sz="8" w:color="2D53A6"/>
            </w:tcBorders>
          </w:tcPr>
          <w:p>
            <w:pPr>
              <w:spacing w:after="0"/>
              <w:rPr>
                <w:sz w:val="9"/>
                <w:szCs w:val="9"/>
                <w:color w:val="auto"/>
              </w:rPr>
            </w:pPr>
          </w:p>
        </w:tc>
        <w:tc>
          <w:tcPr>
            <w:tcW w:w="680" w:type="dxa"/>
            <w:vAlign w:val="bottom"/>
            <w:tcBorders>
              <w:bottom w:val="single" w:sz="8" w:color="2D53A6"/>
              <w:right w:val="single" w:sz="8" w:color="2D53A6"/>
            </w:tcBorders>
          </w:tcPr>
          <w:p>
            <w:pPr>
              <w:spacing w:after="0"/>
              <w:rPr>
                <w:sz w:val="9"/>
                <w:szCs w:val="9"/>
                <w:color w:val="auto"/>
              </w:rPr>
            </w:pPr>
          </w:p>
        </w:tc>
        <w:tc>
          <w:tcPr>
            <w:tcW w:w="1020" w:type="dxa"/>
            <w:vAlign w:val="bottom"/>
            <w:tcBorders>
              <w:bottom w:val="single" w:sz="8" w:color="2D53A6"/>
              <w:right w:val="single" w:sz="8" w:color="2D53A6"/>
            </w:tcBorders>
          </w:tcPr>
          <w:p>
            <w:pPr>
              <w:spacing w:after="0"/>
              <w:rPr>
                <w:sz w:val="9"/>
                <w:szCs w:val="9"/>
                <w:color w:val="auto"/>
              </w:rPr>
            </w:pPr>
          </w:p>
        </w:tc>
        <w:tc>
          <w:tcPr>
            <w:tcW w:w="1240" w:type="dxa"/>
            <w:vAlign w:val="bottom"/>
            <w:tcBorders>
              <w:bottom w:val="single" w:sz="8" w:color="2D53A6"/>
              <w:right w:val="single" w:sz="8" w:color="2D53A6"/>
            </w:tcBorders>
          </w:tcPr>
          <w:p>
            <w:pPr>
              <w:spacing w:after="0"/>
              <w:rPr>
                <w:sz w:val="9"/>
                <w:szCs w:val="9"/>
                <w:color w:val="auto"/>
              </w:rPr>
            </w:pPr>
          </w:p>
        </w:tc>
        <w:tc>
          <w:tcPr>
            <w:tcW w:w="1240" w:type="dxa"/>
            <w:vAlign w:val="bottom"/>
            <w:tcBorders>
              <w:bottom w:val="single" w:sz="8" w:color="2D53A6"/>
              <w:right w:val="single" w:sz="8" w:color="2D53A6"/>
            </w:tcBorders>
          </w:tcPr>
          <w:p>
            <w:pPr>
              <w:spacing w:after="0"/>
              <w:rPr>
                <w:sz w:val="9"/>
                <w:szCs w:val="9"/>
                <w:color w:val="auto"/>
              </w:rPr>
            </w:pPr>
          </w:p>
        </w:tc>
        <w:tc>
          <w:tcPr>
            <w:tcW w:w="680" w:type="dxa"/>
            <w:vAlign w:val="bottom"/>
            <w:tcBorders>
              <w:bottom w:val="single" w:sz="8" w:color="2D53A6"/>
              <w:right w:val="single" w:sz="8" w:color="2D53A6"/>
            </w:tcBorders>
          </w:tcPr>
          <w:p>
            <w:pPr>
              <w:spacing w:after="0"/>
              <w:rPr>
                <w:sz w:val="9"/>
                <w:szCs w:val="9"/>
                <w:color w:val="auto"/>
              </w:rPr>
            </w:pPr>
          </w:p>
        </w:tc>
        <w:tc>
          <w:tcPr>
            <w:tcW w:w="660" w:type="dxa"/>
            <w:vAlign w:val="bottom"/>
            <w:tcBorders>
              <w:bottom w:val="single" w:sz="8" w:color="2D53A6"/>
              <w:right w:val="single" w:sz="8" w:color="2D53A6"/>
            </w:tcBorders>
          </w:tcPr>
          <w:p>
            <w:pPr>
              <w:spacing w:after="0"/>
              <w:rPr>
                <w:sz w:val="9"/>
                <w:szCs w:val="9"/>
                <w:color w:val="auto"/>
              </w:rPr>
            </w:pPr>
          </w:p>
        </w:tc>
        <w:tc>
          <w:tcPr>
            <w:tcW w:w="660" w:type="dxa"/>
            <w:vAlign w:val="bottom"/>
            <w:tcBorders>
              <w:bottom w:val="single" w:sz="8" w:color="2D53A6"/>
              <w:right w:val="single" w:sz="8" w:color="2D53A6"/>
            </w:tcBorders>
          </w:tcPr>
          <w:p>
            <w:pPr>
              <w:spacing w:after="0"/>
              <w:rPr>
                <w:sz w:val="9"/>
                <w:szCs w:val="9"/>
                <w:color w:val="auto"/>
              </w:rPr>
            </w:pPr>
          </w:p>
        </w:tc>
        <w:tc>
          <w:tcPr>
            <w:tcW w:w="2800" w:type="dxa"/>
            <w:vAlign w:val="bottom"/>
            <w:tcBorders>
              <w:bottom w:val="single" w:sz="8" w:color="2D53A6"/>
            </w:tcBorders>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Independence is determined annually by the board of directors in accordance with the company’s corporate governance guidelines and Nasdaq rules.</w:t>
      </w:r>
    </w:p>
    <w:p>
      <w:pPr>
        <w:spacing w:after="0" w:line="46" w:lineRule="exact"/>
        <w:rPr>
          <w:rFonts w:ascii="Arial" w:cs="Arial" w:eastAsia="Arial" w:hAnsi="Arial"/>
          <w:sz w:val="16"/>
          <w:szCs w:val="16"/>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Ms. Camp is not standing for re-election and her term will expire as of the meeting date.</w:t>
      </w:r>
    </w:p>
    <w:p>
      <w:pPr>
        <w:sectPr>
          <w:pgSz w:w="11900" w:h="16838" w:orient="portrait"/>
          <w:cols w:equalWidth="0" w:num="1">
            <w:col w:w="11240"/>
          </w:cols>
          <w:pgMar w:left="320" w:top="571" w:right="339"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 - Audit Committee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NGC - Nominating and Governance Committee</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C - Chair</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 - Also qualifies as an audit committee financial expert (as determined based on SEC rules)</w:t>
      </w:r>
    </w:p>
    <w:p>
      <w:pPr>
        <w:spacing w:after="0" w:line="200" w:lineRule="exact"/>
        <w:rPr>
          <w:sz w:val="20"/>
          <w:szCs w:val="20"/>
          <w:color w:val="auto"/>
        </w:rPr>
      </w:pPr>
    </w:p>
    <w:p>
      <w:pPr>
        <w:sectPr>
          <w:pgSz w:w="11900" w:h="16838" w:orient="portrait"/>
          <w:cols w:equalWidth="0" w:num="2">
            <w:col w:w="3460" w:space="500"/>
            <w:col w:w="7280"/>
          </w:cols>
          <w:pgMar w:left="320" w:top="571" w:right="339" w:bottom="1440" w:gutter="0" w:footer="0" w:header="0"/>
          <w:type w:val="continuous"/>
        </w:sectPr>
      </w:pP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b w:val="1"/>
          <w:bCs w:val="1"/>
          <w:color w:val="2D53A6"/>
        </w:rPr>
        <w:t>Director Key Requirements, Skills and Experience Highlights</w:t>
      </w:r>
    </w:p>
    <w:p>
      <w:pPr>
        <w:spacing w:after="0" w:line="21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following matrix provides information regarding the members of our Board, including certain types of knowledge, skills, experiences and attributes possessed by one or more of our directors which our Board believes are relevant to our business.</w:t>
      </w:r>
    </w:p>
    <w:p>
      <w:pPr>
        <w:spacing w:after="0" w:line="170"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matrix does not encompass all of the knowledge, skills, experiences or attributes of our directors, and the fact that a particular knowledge, skill, experience or attribute is not listed does not mean that a director does not possess it. In addition, the absence of a particular knowledge, skill, experience or attribute with respect to any of our directors does not mean the director in question is unable to contribute to the decision-making process in that area. The type and degree of knowledge, skill and experience listed below may vary among the members of the Board.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type w:val="continuous"/>
        </w:sectPr>
      </w:pPr>
    </w:p>
    <w:bookmarkStart w:id="10" w:name="page11"/>
    <w:bookmarkEnd w:id="10"/>
    <w:tbl>
      <w:tblPr>
        <w:tblLayout w:type="fixed"/>
        <w:tblInd w:w="0" w:type="dxa"/>
        <w:tblCellMar>
          <w:top w:w="0" w:type="dxa"/>
          <w:left w:w="0" w:type="dxa"/>
          <w:bottom w:w="0" w:type="dxa"/>
          <w:right w:w="0" w:type="dxa"/>
        </w:tblCellMar>
      </w:tblPr>
      <w:tr>
        <w:trPr>
          <w:trHeight w:val="347"/>
        </w:trPr>
        <w:tc>
          <w:tcPr>
            <w:tcW w:w="5560" w:type="dxa"/>
            <w:vAlign w:val="bottom"/>
            <w:tcBorders>
              <w:right w:val="single" w:sz="8" w:color="2D53A6"/>
            </w:tcBorders>
            <w:shd w:val="clear" w:color="auto" w:fill="2D53A6"/>
          </w:tcPr>
          <w:p>
            <w:pPr>
              <w:spacing w:after="0"/>
              <w:rPr>
                <w:sz w:val="20"/>
                <w:szCs w:val="20"/>
                <w:color w:val="auto"/>
              </w:rPr>
            </w:pPr>
            <w:r>
              <w:rPr>
                <w:rFonts w:ascii="Arial" w:cs="Arial" w:eastAsia="Arial" w:hAnsi="Arial"/>
                <w:sz w:val="18"/>
                <w:szCs w:val="18"/>
                <w:b w:val="1"/>
                <w:bCs w:val="1"/>
                <w:color w:val="FFFFFF"/>
              </w:rPr>
              <w:t>Key Qualifications, Skills and Experiences of our Directors</w:t>
            </w:r>
          </w:p>
        </w:tc>
        <w:tc>
          <w:tcPr>
            <w:tcW w:w="1400" w:type="dxa"/>
            <w:vAlign w:val="bottom"/>
            <w:tcBorders>
              <w:right w:val="single" w:sz="8" w:color="2D53A6"/>
            </w:tcBorders>
            <w:gridSpan w:val="2"/>
            <w:shd w:val="clear" w:color="auto" w:fill="2D53A6"/>
          </w:tcPr>
          <w:p>
            <w:pPr>
              <w:spacing w:after="0"/>
              <w:rPr>
                <w:sz w:val="20"/>
                <w:szCs w:val="20"/>
                <w:color w:val="auto"/>
              </w:rPr>
            </w:pPr>
            <w:r>
              <w:rPr>
                <w:rFonts w:ascii="Arial" w:cs="Arial" w:eastAsia="Arial" w:hAnsi="Arial"/>
                <w:sz w:val="18"/>
                <w:szCs w:val="18"/>
                <w:b w:val="1"/>
                <w:bCs w:val="1"/>
                <w:color w:val="FFFFFF"/>
                <w:w w:val="88"/>
              </w:rPr>
              <w:t>BendushBilodeau</w:t>
            </w:r>
          </w:p>
        </w:tc>
        <w:tc>
          <w:tcPr>
            <w:tcW w:w="6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89"/>
              </w:rPr>
              <w:t>Caggia</w:t>
            </w:r>
          </w:p>
        </w:tc>
        <w:tc>
          <w:tcPr>
            <w:tcW w:w="70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86"/>
              </w:rPr>
              <w:t xml:space="preserve">Camp </w:t>
            </w:r>
            <w:r>
              <w:rPr>
                <w:rFonts w:ascii="Arial" w:cs="Arial" w:eastAsia="Arial" w:hAnsi="Arial"/>
                <w:sz w:val="29"/>
                <w:szCs w:val="29"/>
                <w:b w:val="1"/>
                <w:bCs w:val="1"/>
                <w:color w:val="FFFFFF"/>
                <w:w w:val="86"/>
                <w:vertAlign w:val="superscript"/>
              </w:rPr>
              <w:t>(1)</w:t>
            </w:r>
          </w:p>
        </w:tc>
        <w:tc>
          <w:tcPr>
            <w:tcW w:w="720" w:type="dxa"/>
            <w:vAlign w:val="bottom"/>
            <w:tcBorders>
              <w:right w:val="single" w:sz="8" w:color="2D53A6"/>
            </w:tcBorders>
            <w:shd w:val="clear" w:color="auto" w:fill="2D53A6"/>
          </w:tcPr>
          <w:p>
            <w:pPr>
              <w:spacing w:after="0"/>
              <w:rPr>
                <w:sz w:val="20"/>
                <w:szCs w:val="20"/>
                <w:color w:val="auto"/>
              </w:rPr>
            </w:pPr>
            <w:r>
              <w:rPr>
                <w:rFonts w:ascii="Arial" w:cs="Arial" w:eastAsia="Arial" w:hAnsi="Arial"/>
                <w:sz w:val="18"/>
                <w:szCs w:val="18"/>
                <w:b w:val="1"/>
                <w:bCs w:val="1"/>
                <w:color w:val="FFFFFF"/>
                <w:w w:val="88"/>
              </w:rPr>
              <w:t>Donahue</w:t>
            </w:r>
          </w:p>
        </w:tc>
        <w:tc>
          <w:tcPr>
            <w:tcW w:w="6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89"/>
              </w:rPr>
              <w:t>Jorden</w:t>
            </w:r>
          </w:p>
        </w:tc>
        <w:tc>
          <w:tcPr>
            <w:tcW w:w="6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9"/>
              </w:rPr>
              <w:t>M</w:t>
            </w:r>
            <w:r>
              <w:rPr>
                <w:rFonts w:ascii="Arial" w:cs="Arial" w:eastAsia="Arial" w:hAnsi="Arial"/>
                <w:sz w:val="18"/>
                <w:szCs w:val="18"/>
                <w:color w:val="FFFFFF"/>
                <w:w w:val="99"/>
              </w:rPr>
              <w:t>ü</w:t>
            </w:r>
            <w:r>
              <w:rPr>
                <w:rFonts w:ascii="Arial" w:cs="Arial" w:eastAsia="Arial" w:hAnsi="Arial"/>
                <w:sz w:val="18"/>
                <w:szCs w:val="18"/>
                <w:b w:val="1"/>
                <w:bCs w:val="1"/>
                <w:color w:val="FFFFFF"/>
                <w:w w:val="99"/>
              </w:rPr>
              <w:t>ller</w:t>
            </w:r>
          </w:p>
        </w:tc>
        <w:tc>
          <w:tcPr>
            <w:tcW w:w="880" w:type="dxa"/>
            <w:vAlign w:val="bottom"/>
            <w:shd w:val="clear" w:color="auto" w:fill="2D53A6"/>
          </w:tcPr>
          <w:p>
            <w:pPr>
              <w:jc w:val="center"/>
              <w:spacing w:after="0"/>
              <w:rPr>
                <w:sz w:val="20"/>
                <w:szCs w:val="20"/>
                <w:color w:val="auto"/>
              </w:rPr>
            </w:pPr>
            <w:r>
              <w:rPr>
                <w:rFonts w:ascii="Arial" w:cs="Arial" w:eastAsia="Arial" w:hAnsi="Arial"/>
                <w:sz w:val="18"/>
                <w:szCs w:val="18"/>
                <w:b w:val="1"/>
                <w:bCs w:val="1"/>
                <w:color w:val="FFFFFF"/>
                <w:w w:val="88"/>
              </w:rPr>
              <w:t>Richardson</w:t>
            </w:r>
          </w:p>
        </w:tc>
        <w:tc>
          <w:tcPr>
            <w:tcW w:w="0" w:type="dxa"/>
            <w:vAlign w:val="bottom"/>
          </w:tcPr>
          <w:p>
            <w:pPr>
              <w:spacing w:after="0"/>
              <w:rPr>
                <w:sz w:val="1"/>
                <w:szCs w:val="1"/>
                <w:color w:val="auto"/>
              </w:rPr>
            </w:pPr>
          </w:p>
        </w:tc>
      </w:tr>
      <w:tr>
        <w:trPr>
          <w:trHeight w:val="202"/>
        </w:trPr>
        <w:tc>
          <w:tcPr>
            <w:tcW w:w="5560" w:type="dxa"/>
            <w:vAlign w:val="bottom"/>
            <w:tcBorders>
              <w:right w:val="single" w:sz="8" w:color="2D53A6"/>
            </w:tcBorders>
          </w:tcPr>
          <w:p>
            <w:pPr>
              <w:spacing w:after="0" w:line="201" w:lineRule="exact"/>
              <w:rPr>
                <w:sz w:val="20"/>
                <w:szCs w:val="20"/>
                <w:color w:val="auto"/>
              </w:rPr>
            </w:pPr>
            <w:r>
              <w:rPr>
                <w:rFonts w:ascii="Arial" w:cs="Arial" w:eastAsia="Arial" w:hAnsi="Arial"/>
                <w:sz w:val="18"/>
                <w:szCs w:val="18"/>
                <w:b w:val="1"/>
                <w:bCs w:val="1"/>
                <w:color w:val="auto"/>
              </w:rPr>
              <w:t xml:space="preserve">Industry Knowledge </w:t>
            </w:r>
            <w:r>
              <w:rPr>
                <w:rFonts w:ascii="Arial" w:cs="Arial" w:eastAsia="Arial" w:hAnsi="Arial"/>
                <w:sz w:val="18"/>
                <w:szCs w:val="18"/>
                <w:color w:val="auto"/>
              </w:rPr>
              <w:t>– Knowledge of and experience with our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2D53A6"/>
            </w:tcBorders>
            <w:vMerge w:val="restart"/>
          </w:tcPr>
          <w:p>
            <w:pPr>
              <w:jc w:val="center"/>
              <w:spacing w:after="0"/>
              <w:rPr>
                <w:sz w:val="20"/>
                <w:szCs w:val="20"/>
                <w:color w:val="auto"/>
              </w:rPr>
            </w:pPr>
            <w:r>
              <w:rPr>
                <w:rFonts w:ascii="Arial" w:cs="Arial" w:eastAsia="Arial" w:hAnsi="Arial"/>
                <w:sz w:val="18"/>
                <w:szCs w:val="18"/>
                <w:color w:val="auto"/>
              </w:rPr>
              <w:t>√</w:t>
            </w:r>
          </w:p>
        </w:tc>
        <w:tc>
          <w:tcPr>
            <w:tcW w:w="660" w:type="dxa"/>
            <w:vAlign w:val="bottom"/>
            <w:tcBorders>
              <w:right w:val="single" w:sz="8" w:color="2D53A6"/>
            </w:tcBorders>
            <w:vMerge w:val="restart"/>
          </w:tcPr>
          <w:p>
            <w:pPr>
              <w:jc w:val="center"/>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2D53A6"/>
            </w:tcBorders>
            <w:vMerge w:val="restart"/>
          </w:tcPr>
          <w:p>
            <w:pPr>
              <w:jc w:val="center"/>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2D53A6"/>
            </w:tcBorders>
            <w:vMerge w:val="restart"/>
          </w:tcPr>
          <w:p>
            <w:pPr>
              <w:jc w:val="center"/>
              <w:spacing w:after="0"/>
              <w:rPr>
                <w:sz w:val="20"/>
                <w:szCs w:val="20"/>
                <w:color w:val="auto"/>
              </w:rPr>
            </w:pPr>
            <w:r>
              <w:rPr>
                <w:rFonts w:ascii="Arial" w:cs="Arial" w:eastAsia="Arial" w:hAnsi="Arial"/>
                <w:sz w:val="18"/>
                <w:szCs w:val="18"/>
                <w:color w:val="auto"/>
              </w:rPr>
              <w:t>√</w:t>
            </w:r>
          </w:p>
        </w:tc>
        <w:tc>
          <w:tcPr>
            <w:tcW w:w="660" w:type="dxa"/>
            <w:vAlign w:val="bottom"/>
            <w:tcBorders>
              <w:right w:val="single" w:sz="8" w:color="2D53A6"/>
            </w:tcBorders>
            <w:vMerge w:val="restart"/>
          </w:tcPr>
          <w:p>
            <w:pPr>
              <w:jc w:val="center"/>
              <w:spacing w:after="0"/>
              <w:rPr>
                <w:sz w:val="20"/>
                <w:szCs w:val="20"/>
                <w:color w:val="auto"/>
              </w:rPr>
            </w:pPr>
            <w:r>
              <w:rPr>
                <w:rFonts w:ascii="Arial" w:cs="Arial" w:eastAsia="Arial" w:hAnsi="Arial"/>
                <w:sz w:val="18"/>
                <w:szCs w:val="18"/>
                <w:color w:val="auto"/>
              </w:rPr>
              <w:t>√</w:t>
            </w:r>
          </w:p>
        </w:tc>
        <w:tc>
          <w:tcPr>
            <w:tcW w:w="660" w:type="dxa"/>
            <w:vAlign w:val="bottom"/>
            <w:tcBorders>
              <w:right w:val="single" w:sz="8" w:color="2D53A6"/>
            </w:tcBorders>
            <w:vMerge w:val="restart"/>
          </w:tcPr>
          <w:p>
            <w:pPr>
              <w:jc w:val="center"/>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5560" w:type="dxa"/>
            <w:vAlign w:val="bottom"/>
            <w:tcBorders>
              <w:right w:val="single" w:sz="8" w:color="2D53A6"/>
            </w:tcBorders>
            <w:vMerge w:val="restart"/>
          </w:tcPr>
          <w:p>
            <w:pPr>
              <w:spacing w:after="0"/>
              <w:rPr>
                <w:sz w:val="20"/>
                <w:szCs w:val="20"/>
                <w:color w:val="auto"/>
              </w:rPr>
            </w:pPr>
            <w:r>
              <w:rPr>
                <w:rFonts w:ascii="Arial" w:cs="Arial" w:eastAsia="Arial" w:hAnsi="Arial"/>
                <w:sz w:val="18"/>
                <w:szCs w:val="18"/>
                <w:color w:val="auto"/>
              </w:rPr>
              <w:t>semiconductor equipment and broader semiconductor markets</w:t>
            </w:r>
          </w:p>
        </w:tc>
        <w:tc>
          <w:tcPr>
            <w:tcW w:w="700" w:type="dxa"/>
            <w:vAlign w:val="bottom"/>
            <w:vMerge w:val="continue"/>
          </w:tcPr>
          <w:p>
            <w:pPr>
              <w:spacing w:after="0"/>
              <w:rPr>
                <w:sz w:val="10"/>
                <w:szCs w:val="10"/>
                <w:color w:val="auto"/>
              </w:rPr>
            </w:pPr>
          </w:p>
        </w:tc>
        <w:tc>
          <w:tcPr>
            <w:tcW w:w="700" w:type="dxa"/>
            <w:vAlign w:val="bottom"/>
            <w:tcBorders>
              <w:right w:val="single" w:sz="8" w:color="2D53A6"/>
            </w:tcBorders>
            <w:vMerge w:val="continue"/>
          </w:tcPr>
          <w:p>
            <w:pPr>
              <w:spacing w:after="0"/>
              <w:rPr>
                <w:sz w:val="10"/>
                <w:szCs w:val="10"/>
                <w:color w:val="auto"/>
              </w:rPr>
            </w:pPr>
          </w:p>
        </w:tc>
        <w:tc>
          <w:tcPr>
            <w:tcW w:w="660" w:type="dxa"/>
            <w:vAlign w:val="bottom"/>
            <w:tcBorders>
              <w:right w:val="single" w:sz="8" w:color="2D53A6"/>
            </w:tcBorders>
            <w:vMerge w:val="continue"/>
          </w:tcPr>
          <w:p>
            <w:pPr>
              <w:spacing w:after="0"/>
              <w:rPr>
                <w:sz w:val="10"/>
                <w:szCs w:val="10"/>
                <w:color w:val="auto"/>
              </w:rPr>
            </w:pPr>
          </w:p>
        </w:tc>
        <w:tc>
          <w:tcPr>
            <w:tcW w:w="700" w:type="dxa"/>
            <w:vAlign w:val="bottom"/>
            <w:tcBorders>
              <w:right w:val="single" w:sz="8" w:color="2D53A6"/>
            </w:tcBorders>
            <w:vMerge w:val="continue"/>
          </w:tcPr>
          <w:p>
            <w:pPr>
              <w:spacing w:after="0"/>
              <w:rPr>
                <w:sz w:val="10"/>
                <w:szCs w:val="10"/>
                <w:color w:val="auto"/>
              </w:rPr>
            </w:pPr>
          </w:p>
        </w:tc>
        <w:tc>
          <w:tcPr>
            <w:tcW w:w="720" w:type="dxa"/>
            <w:vAlign w:val="bottom"/>
            <w:tcBorders>
              <w:right w:val="single" w:sz="8" w:color="2D53A6"/>
            </w:tcBorders>
            <w:vMerge w:val="continue"/>
          </w:tcPr>
          <w:p>
            <w:pPr>
              <w:spacing w:after="0"/>
              <w:rPr>
                <w:sz w:val="10"/>
                <w:szCs w:val="10"/>
                <w:color w:val="auto"/>
              </w:rPr>
            </w:pPr>
          </w:p>
        </w:tc>
        <w:tc>
          <w:tcPr>
            <w:tcW w:w="660" w:type="dxa"/>
            <w:vAlign w:val="bottom"/>
            <w:tcBorders>
              <w:right w:val="single" w:sz="8" w:color="2D53A6"/>
            </w:tcBorders>
            <w:vMerge w:val="continue"/>
          </w:tcPr>
          <w:p>
            <w:pPr>
              <w:spacing w:after="0"/>
              <w:rPr>
                <w:sz w:val="10"/>
                <w:szCs w:val="10"/>
                <w:color w:val="auto"/>
              </w:rPr>
            </w:pPr>
          </w:p>
        </w:tc>
        <w:tc>
          <w:tcPr>
            <w:tcW w:w="660" w:type="dxa"/>
            <w:vAlign w:val="bottom"/>
            <w:tcBorders>
              <w:right w:val="single" w:sz="8" w:color="2D53A6"/>
            </w:tcBorders>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560" w:type="dxa"/>
            <w:vAlign w:val="bottom"/>
            <w:tcBorders>
              <w:bottom w:val="single" w:sz="8" w:color="2D53A6"/>
              <w:right w:val="single" w:sz="8" w:color="2D53A6"/>
            </w:tcBorders>
            <w:vMerge w:val="continue"/>
          </w:tcPr>
          <w:p>
            <w:pPr>
              <w:spacing w:after="0"/>
              <w:rPr>
                <w:sz w:val="9"/>
                <w:szCs w:val="9"/>
                <w:color w:val="auto"/>
              </w:rPr>
            </w:pPr>
          </w:p>
        </w:tc>
        <w:tc>
          <w:tcPr>
            <w:tcW w:w="700" w:type="dxa"/>
            <w:vAlign w:val="bottom"/>
            <w:tcBorders>
              <w:bottom w:val="single" w:sz="8" w:color="2D53A6"/>
            </w:tcBorders>
          </w:tcPr>
          <w:p>
            <w:pPr>
              <w:spacing w:after="0"/>
              <w:rPr>
                <w:sz w:val="9"/>
                <w:szCs w:val="9"/>
                <w:color w:val="auto"/>
              </w:rPr>
            </w:pPr>
          </w:p>
        </w:tc>
        <w:tc>
          <w:tcPr>
            <w:tcW w:w="700" w:type="dxa"/>
            <w:vAlign w:val="bottom"/>
            <w:tcBorders>
              <w:bottom w:val="single" w:sz="8" w:color="2D53A6"/>
              <w:right w:val="single" w:sz="8" w:color="2D53A6"/>
            </w:tcBorders>
          </w:tcPr>
          <w:p>
            <w:pPr>
              <w:spacing w:after="0"/>
              <w:rPr>
                <w:sz w:val="9"/>
                <w:szCs w:val="9"/>
                <w:color w:val="auto"/>
              </w:rPr>
            </w:pPr>
          </w:p>
        </w:tc>
        <w:tc>
          <w:tcPr>
            <w:tcW w:w="660" w:type="dxa"/>
            <w:vAlign w:val="bottom"/>
            <w:tcBorders>
              <w:bottom w:val="single" w:sz="8" w:color="2D53A6"/>
              <w:right w:val="single" w:sz="8" w:color="2D53A6"/>
            </w:tcBorders>
          </w:tcPr>
          <w:p>
            <w:pPr>
              <w:spacing w:after="0"/>
              <w:rPr>
                <w:sz w:val="9"/>
                <w:szCs w:val="9"/>
                <w:color w:val="auto"/>
              </w:rPr>
            </w:pPr>
          </w:p>
        </w:tc>
        <w:tc>
          <w:tcPr>
            <w:tcW w:w="700" w:type="dxa"/>
            <w:vAlign w:val="bottom"/>
            <w:tcBorders>
              <w:bottom w:val="single" w:sz="8" w:color="2D53A6"/>
              <w:right w:val="single" w:sz="8" w:color="2D53A6"/>
            </w:tcBorders>
          </w:tcPr>
          <w:p>
            <w:pPr>
              <w:spacing w:after="0"/>
              <w:rPr>
                <w:sz w:val="9"/>
                <w:szCs w:val="9"/>
                <w:color w:val="auto"/>
              </w:rPr>
            </w:pPr>
          </w:p>
        </w:tc>
        <w:tc>
          <w:tcPr>
            <w:tcW w:w="720" w:type="dxa"/>
            <w:vAlign w:val="bottom"/>
            <w:tcBorders>
              <w:bottom w:val="single" w:sz="8" w:color="2D53A6"/>
              <w:right w:val="single" w:sz="8" w:color="2D53A6"/>
            </w:tcBorders>
          </w:tcPr>
          <w:p>
            <w:pPr>
              <w:spacing w:after="0"/>
              <w:rPr>
                <w:sz w:val="9"/>
                <w:szCs w:val="9"/>
                <w:color w:val="auto"/>
              </w:rPr>
            </w:pPr>
          </w:p>
        </w:tc>
        <w:tc>
          <w:tcPr>
            <w:tcW w:w="660" w:type="dxa"/>
            <w:vAlign w:val="bottom"/>
            <w:tcBorders>
              <w:bottom w:val="single" w:sz="8" w:color="2D53A6"/>
              <w:right w:val="single" w:sz="8" w:color="2D53A6"/>
            </w:tcBorders>
          </w:tcPr>
          <w:p>
            <w:pPr>
              <w:spacing w:after="0"/>
              <w:rPr>
                <w:sz w:val="9"/>
                <w:szCs w:val="9"/>
                <w:color w:val="auto"/>
              </w:rPr>
            </w:pPr>
          </w:p>
        </w:tc>
        <w:tc>
          <w:tcPr>
            <w:tcW w:w="660" w:type="dxa"/>
            <w:vAlign w:val="bottom"/>
            <w:tcBorders>
              <w:bottom w:val="single" w:sz="8" w:color="2D53A6"/>
              <w:right w:val="single" w:sz="8" w:color="2D53A6"/>
            </w:tcBorders>
          </w:tcPr>
          <w:p>
            <w:pPr>
              <w:spacing w:after="0"/>
              <w:rPr>
                <w:sz w:val="9"/>
                <w:szCs w:val="9"/>
                <w:color w:val="auto"/>
              </w:rPr>
            </w:pPr>
          </w:p>
        </w:tc>
        <w:tc>
          <w:tcPr>
            <w:tcW w:w="880" w:type="dxa"/>
            <w:vAlign w:val="bottom"/>
            <w:tcBorders>
              <w:bottom w:val="single" w:sz="8" w:color="2D53A6"/>
            </w:tcBorders>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5560" w:type="dxa"/>
            <w:vAlign w:val="bottom"/>
            <w:tcBorders>
              <w:right w:val="single" w:sz="8" w:color="2D53A6"/>
            </w:tcBorders>
            <w:shd w:val="clear" w:color="auto" w:fill="E6E6E6"/>
          </w:tcPr>
          <w:p>
            <w:pPr>
              <w:spacing w:after="0" w:line="195" w:lineRule="exact"/>
              <w:rPr>
                <w:sz w:val="20"/>
                <w:szCs w:val="20"/>
                <w:color w:val="auto"/>
              </w:rPr>
            </w:pPr>
            <w:r>
              <w:rPr>
                <w:rFonts w:ascii="Arial" w:cs="Arial" w:eastAsia="Arial" w:hAnsi="Arial"/>
                <w:sz w:val="18"/>
                <w:szCs w:val="18"/>
                <w:b w:val="1"/>
                <w:bCs w:val="1"/>
                <w:color w:val="auto"/>
                <w:w w:val="96"/>
              </w:rPr>
              <w:t xml:space="preserve">Public Company Board Experience </w:t>
            </w:r>
            <w:r>
              <w:rPr>
                <w:rFonts w:ascii="Arial" w:cs="Arial" w:eastAsia="Arial" w:hAnsi="Arial"/>
                <w:sz w:val="18"/>
                <w:szCs w:val="18"/>
                <w:color w:val="auto"/>
                <w:w w:val="96"/>
              </w:rPr>
              <w:t>– Experience as current or former</w:t>
            </w:r>
          </w:p>
        </w:tc>
        <w:tc>
          <w:tcPr>
            <w:tcW w:w="700" w:type="dxa"/>
            <w:vAlign w:val="bottom"/>
            <w:tcBorders>
              <w:right w:val="single" w:sz="8" w:color="E6E6E6"/>
            </w:tcBorders>
            <w:shd w:val="clear" w:color="auto" w:fill="E6E6E6"/>
          </w:tcPr>
          <w:p>
            <w:pPr>
              <w:spacing w:after="0"/>
              <w:rPr>
                <w:sz w:val="16"/>
                <w:szCs w:val="16"/>
                <w:color w:val="auto"/>
              </w:rPr>
            </w:pPr>
          </w:p>
        </w:tc>
        <w:tc>
          <w:tcPr>
            <w:tcW w:w="700" w:type="dxa"/>
            <w:vAlign w:val="bottom"/>
            <w:tcBorders>
              <w:right w:val="single" w:sz="8" w:color="2D53A6"/>
            </w:tcBorders>
            <w:shd w:val="clear" w:color="auto" w:fill="E6E6E6"/>
          </w:tcPr>
          <w:p>
            <w:pPr>
              <w:spacing w:after="0"/>
              <w:rPr>
                <w:sz w:val="16"/>
                <w:szCs w:val="16"/>
                <w:color w:val="auto"/>
              </w:rPr>
            </w:pPr>
          </w:p>
        </w:tc>
        <w:tc>
          <w:tcPr>
            <w:tcW w:w="660" w:type="dxa"/>
            <w:vAlign w:val="bottom"/>
            <w:tcBorders>
              <w:right w:val="single" w:sz="8" w:color="2D53A6"/>
            </w:tcBorders>
            <w:shd w:val="clear" w:color="auto" w:fill="E6E6E6"/>
          </w:tcPr>
          <w:p>
            <w:pPr>
              <w:spacing w:after="0"/>
              <w:rPr>
                <w:sz w:val="16"/>
                <w:szCs w:val="16"/>
                <w:color w:val="auto"/>
              </w:rPr>
            </w:pPr>
          </w:p>
        </w:tc>
        <w:tc>
          <w:tcPr>
            <w:tcW w:w="700" w:type="dxa"/>
            <w:vAlign w:val="bottom"/>
            <w:tcBorders>
              <w:right w:val="single" w:sz="8" w:color="2D53A6"/>
            </w:tcBorders>
            <w:shd w:val="clear" w:color="auto" w:fill="E6E6E6"/>
          </w:tcPr>
          <w:p>
            <w:pPr>
              <w:spacing w:after="0"/>
              <w:rPr>
                <w:sz w:val="16"/>
                <w:szCs w:val="16"/>
                <w:color w:val="auto"/>
              </w:rPr>
            </w:pPr>
          </w:p>
        </w:tc>
        <w:tc>
          <w:tcPr>
            <w:tcW w:w="720" w:type="dxa"/>
            <w:vAlign w:val="bottom"/>
            <w:tcBorders>
              <w:right w:val="single" w:sz="8" w:color="2D53A6"/>
            </w:tcBorders>
            <w:shd w:val="clear" w:color="auto" w:fill="E6E6E6"/>
          </w:tcPr>
          <w:p>
            <w:pPr>
              <w:spacing w:after="0"/>
              <w:rPr>
                <w:sz w:val="16"/>
                <w:szCs w:val="16"/>
                <w:color w:val="auto"/>
              </w:rPr>
            </w:pPr>
          </w:p>
        </w:tc>
        <w:tc>
          <w:tcPr>
            <w:tcW w:w="660" w:type="dxa"/>
            <w:vAlign w:val="bottom"/>
            <w:tcBorders>
              <w:right w:val="single" w:sz="8" w:color="2D53A6"/>
            </w:tcBorders>
            <w:shd w:val="clear" w:color="auto" w:fill="E6E6E6"/>
          </w:tcPr>
          <w:p>
            <w:pPr>
              <w:spacing w:after="0"/>
              <w:rPr>
                <w:sz w:val="16"/>
                <w:szCs w:val="16"/>
                <w:color w:val="auto"/>
              </w:rPr>
            </w:pPr>
          </w:p>
        </w:tc>
        <w:tc>
          <w:tcPr>
            <w:tcW w:w="660" w:type="dxa"/>
            <w:vAlign w:val="bottom"/>
            <w:tcBorders>
              <w:right w:val="single" w:sz="8" w:color="2D53A6"/>
            </w:tcBorders>
            <w:shd w:val="clear" w:color="auto" w:fill="E6E6E6"/>
          </w:tcPr>
          <w:p>
            <w:pPr>
              <w:spacing w:after="0"/>
              <w:rPr>
                <w:sz w:val="16"/>
                <w:szCs w:val="16"/>
                <w:color w:val="auto"/>
              </w:rPr>
            </w:pPr>
          </w:p>
        </w:tc>
        <w:tc>
          <w:tcPr>
            <w:tcW w:w="880" w:type="dxa"/>
            <w:vAlign w:val="bottom"/>
            <w:shd w:val="clear" w:color="auto" w:fill="E6E6E6"/>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560" w:type="dxa"/>
            <w:vAlign w:val="bottom"/>
            <w:tcBorders>
              <w:right w:val="single" w:sz="8" w:color="2D53A6"/>
            </w:tcBorders>
            <w:shd w:val="clear" w:color="auto" w:fill="E6E6E6"/>
          </w:tcPr>
          <w:p>
            <w:pPr>
              <w:spacing w:after="0"/>
              <w:rPr>
                <w:sz w:val="20"/>
                <w:szCs w:val="20"/>
                <w:color w:val="auto"/>
              </w:rPr>
            </w:pPr>
            <w:r>
              <w:rPr>
                <w:rFonts w:ascii="Arial" w:cs="Arial" w:eastAsia="Arial" w:hAnsi="Arial"/>
                <w:sz w:val="18"/>
                <w:szCs w:val="18"/>
                <w:color w:val="auto"/>
              </w:rPr>
              <w:t>member of other public company boards in technology industries;</w:t>
            </w:r>
          </w:p>
        </w:tc>
        <w:tc>
          <w:tcPr>
            <w:tcW w:w="700" w:type="dxa"/>
            <w:vAlign w:val="bottom"/>
            <w:tcBorders>
              <w:right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660" w:type="dxa"/>
            <w:vAlign w:val="bottom"/>
            <w:tcBorders>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660" w:type="dxa"/>
            <w:vAlign w:val="bottom"/>
            <w:tcBorders>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660" w:type="dxa"/>
            <w:vAlign w:val="bottom"/>
            <w:tcBorders>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880" w:type="dxa"/>
            <w:vAlign w:val="bottom"/>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560" w:type="dxa"/>
            <w:vAlign w:val="bottom"/>
            <w:tcBorders>
              <w:bottom w:val="single" w:sz="8" w:color="2D53A6"/>
              <w:right w:val="single" w:sz="8" w:color="2D53A6"/>
            </w:tcBorders>
            <w:shd w:val="clear" w:color="auto" w:fill="E6E6E6"/>
          </w:tcPr>
          <w:p>
            <w:pPr>
              <w:spacing w:after="0"/>
              <w:rPr>
                <w:sz w:val="20"/>
                <w:szCs w:val="20"/>
                <w:color w:val="auto"/>
              </w:rPr>
            </w:pPr>
            <w:r>
              <w:rPr>
                <w:rFonts w:ascii="Arial" w:cs="Arial" w:eastAsia="Arial" w:hAnsi="Arial"/>
                <w:sz w:val="18"/>
                <w:szCs w:val="18"/>
                <w:color w:val="auto"/>
              </w:rPr>
              <w:t>experience with board governance requirements and practices</w:t>
            </w:r>
          </w:p>
        </w:tc>
        <w:tc>
          <w:tcPr>
            <w:tcW w:w="700" w:type="dxa"/>
            <w:vAlign w:val="bottom"/>
            <w:tcBorders>
              <w:bottom w:val="single" w:sz="8" w:color="2D53A6"/>
              <w:right w:val="single" w:sz="8" w:color="E6E6E6"/>
            </w:tcBorders>
            <w:shd w:val="clear" w:color="auto" w:fill="E6E6E6"/>
          </w:tcPr>
          <w:p>
            <w:pPr>
              <w:spacing w:after="0"/>
              <w:rPr>
                <w:sz w:val="20"/>
                <w:szCs w:val="20"/>
                <w:color w:val="auto"/>
              </w:rPr>
            </w:pPr>
          </w:p>
        </w:tc>
        <w:tc>
          <w:tcPr>
            <w:tcW w:w="700" w:type="dxa"/>
            <w:vAlign w:val="bottom"/>
            <w:tcBorders>
              <w:bottom w:val="single" w:sz="8" w:color="2D53A6"/>
              <w:right w:val="single" w:sz="8" w:color="2D53A6"/>
            </w:tcBorders>
            <w:shd w:val="clear" w:color="auto" w:fill="E6E6E6"/>
          </w:tcPr>
          <w:p>
            <w:pPr>
              <w:spacing w:after="0"/>
              <w:rPr>
                <w:sz w:val="20"/>
                <w:szCs w:val="20"/>
                <w:color w:val="auto"/>
              </w:rPr>
            </w:pPr>
          </w:p>
        </w:tc>
        <w:tc>
          <w:tcPr>
            <w:tcW w:w="660" w:type="dxa"/>
            <w:vAlign w:val="bottom"/>
            <w:tcBorders>
              <w:bottom w:val="single" w:sz="8" w:color="2D53A6"/>
              <w:right w:val="single" w:sz="8" w:color="2D53A6"/>
            </w:tcBorders>
            <w:shd w:val="clear" w:color="auto" w:fill="E6E6E6"/>
          </w:tcPr>
          <w:p>
            <w:pPr>
              <w:spacing w:after="0"/>
              <w:rPr>
                <w:sz w:val="20"/>
                <w:szCs w:val="20"/>
                <w:color w:val="auto"/>
              </w:rPr>
            </w:pPr>
          </w:p>
        </w:tc>
        <w:tc>
          <w:tcPr>
            <w:tcW w:w="700" w:type="dxa"/>
            <w:vAlign w:val="bottom"/>
            <w:tcBorders>
              <w:bottom w:val="single" w:sz="8" w:color="2D53A6"/>
              <w:right w:val="single" w:sz="8" w:color="2D53A6"/>
            </w:tcBorders>
            <w:shd w:val="clear" w:color="auto" w:fill="E6E6E6"/>
          </w:tcPr>
          <w:p>
            <w:pPr>
              <w:spacing w:after="0"/>
              <w:rPr>
                <w:sz w:val="20"/>
                <w:szCs w:val="20"/>
                <w:color w:val="auto"/>
              </w:rPr>
            </w:pPr>
          </w:p>
        </w:tc>
        <w:tc>
          <w:tcPr>
            <w:tcW w:w="720" w:type="dxa"/>
            <w:vAlign w:val="bottom"/>
            <w:tcBorders>
              <w:bottom w:val="single" w:sz="8" w:color="2D53A6"/>
              <w:right w:val="single" w:sz="8" w:color="2D53A6"/>
            </w:tcBorders>
            <w:shd w:val="clear" w:color="auto" w:fill="E6E6E6"/>
          </w:tcPr>
          <w:p>
            <w:pPr>
              <w:spacing w:after="0"/>
              <w:rPr>
                <w:sz w:val="20"/>
                <w:szCs w:val="20"/>
                <w:color w:val="auto"/>
              </w:rPr>
            </w:pPr>
          </w:p>
        </w:tc>
        <w:tc>
          <w:tcPr>
            <w:tcW w:w="660" w:type="dxa"/>
            <w:vAlign w:val="bottom"/>
            <w:tcBorders>
              <w:bottom w:val="single" w:sz="8" w:color="2D53A6"/>
              <w:right w:val="single" w:sz="8" w:color="2D53A6"/>
            </w:tcBorders>
            <w:shd w:val="clear" w:color="auto" w:fill="E6E6E6"/>
          </w:tcPr>
          <w:p>
            <w:pPr>
              <w:spacing w:after="0"/>
              <w:rPr>
                <w:sz w:val="20"/>
                <w:szCs w:val="20"/>
                <w:color w:val="auto"/>
              </w:rPr>
            </w:pPr>
          </w:p>
        </w:tc>
        <w:tc>
          <w:tcPr>
            <w:tcW w:w="660" w:type="dxa"/>
            <w:vAlign w:val="bottom"/>
            <w:tcBorders>
              <w:bottom w:val="single" w:sz="8" w:color="2D53A6"/>
              <w:right w:val="single" w:sz="8" w:color="2D53A6"/>
            </w:tcBorders>
            <w:shd w:val="clear" w:color="auto" w:fill="E6E6E6"/>
          </w:tcPr>
          <w:p>
            <w:pPr>
              <w:spacing w:after="0"/>
              <w:rPr>
                <w:sz w:val="20"/>
                <w:szCs w:val="20"/>
                <w:color w:val="auto"/>
              </w:rPr>
            </w:pPr>
          </w:p>
        </w:tc>
        <w:tc>
          <w:tcPr>
            <w:tcW w:w="880" w:type="dxa"/>
            <w:vAlign w:val="bottom"/>
            <w:tcBorders>
              <w:bottom w:val="single" w:sz="8" w:color="2D53A6"/>
            </w:tcBorders>
            <w:shd w:val="clear" w:color="auto" w:fill="E6E6E6"/>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5560" w:type="dxa"/>
            <w:vAlign w:val="bottom"/>
            <w:tcBorders>
              <w:right w:val="single" w:sz="8" w:color="2D53A6"/>
            </w:tcBorders>
          </w:tcPr>
          <w:p>
            <w:pPr>
              <w:spacing w:after="0" w:line="195" w:lineRule="exact"/>
              <w:rPr>
                <w:sz w:val="20"/>
                <w:szCs w:val="20"/>
                <w:color w:val="auto"/>
              </w:rPr>
            </w:pPr>
            <w:r>
              <w:rPr>
                <w:rFonts w:ascii="Arial" w:cs="Arial" w:eastAsia="Arial" w:hAnsi="Arial"/>
                <w:sz w:val="18"/>
                <w:szCs w:val="18"/>
                <w:b w:val="1"/>
                <w:bCs w:val="1"/>
                <w:color w:val="auto"/>
                <w:w w:val="90"/>
              </w:rPr>
              <w:t xml:space="preserve">Leadership Experience </w:t>
            </w:r>
            <w:r>
              <w:rPr>
                <w:rFonts w:ascii="Arial" w:cs="Arial" w:eastAsia="Arial" w:hAnsi="Arial"/>
                <w:sz w:val="18"/>
                <w:szCs w:val="18"/>
                <w:color w:val="auto"/>
                <w:w w:val="90"/>
              </w:rPr>
              <w:t>– Experience as a current or former chief executive</w:t>
            </w:r>
          </w:p>
        </w:tc>
        <w:tc>
          <w:tcPr>
            <w:tcW w:w="700" w:type="dxa"/>
            <w:vAlign w:val="bottom"/>
          </w:tcPr>
          <w:p>
            <w:pPr>
              <w:spacing w:after="0"/>
              <w:rPr>
                <w:sz w:val="16"/>
                <w:szCs w:val="16"/>
                <w:color w:val="auto"/>
              </w:rPr>
            </w:pPr>
          </w:p>
        </w:tc>
        <w:tc>
          <w:tcPr>
            <w:tcW w:w="700" w:type="dxa"/>
            <w:vAlign w:val="bottom"/>
            <w:tcBorders>
              <w:right w:val="single" w:sz="8" w:color="2D53A6"/>
            </w:tcBorders>
          </w:tcPr>
          <w:p>
            <w:pPr>
              <w:spacing w:after="0"/>
              <w:rPr>
                <w:sz w:val="16"/>
                <w:szCs w:val="16"/>
                <w:color w:val="auto"/>
              </w:rPr>
            </w:pPr>
          </w:p>
        </w:tc>
        <w:tc>
          <w:tcPr>
            <w:tcW w:w="660" w:type="dxa"/>
            <w:vAlign w:val="bottom"/>
            <w:tcBorders>
              <w:right w:val="single" w:sz="8" w:color="2D53A6"/>
            </w:tcBorders>
          </w:tcPr>
          <w:p>
            <w:pPr>
              <w:spacing w:after="0"/>
              <w:rPr>
                <w:sz w:val="16"/>
                <w:szCs w:val="16"/>
                <w:color w:val="auto"/>
              </w:rPr>
            </w:pPr>
          </w:p>
        </w:tc>
        <w:tc>
          <w:tcPr>
            <w:tcW w:w="700" w:type="dxa"/>
            <w:vAlign w:val="bottom"/>
            <w:tcBorders>
              <w:right w:val="single" w:sz="8" w:color="2D53A6"/>
            </w:tcBorders>
          </w:tcPr>
          <w:p>
            <w:pPr>
              <w:spacing w:after="0"/>
              <w:rPr>
                <w:sz w:val="16"/>
                <w:szCs w:val="16"/>
                <w:color w:val="auto"/>
              </w:rPr>
            </w:pPr>
          </w:p>
        </w:tc>
        <w:tc>
          <w:tcPr>
            <w:tcW w:w="720" w:type="dxa"/>
            <w:vAlign w:val="bottom"/>
            <w:tcBorders>
              <w:right w:val="single" w:sz="8" w:color="2D53A6"/>
            </w:tcBorders>
          </w:tcPr>
          <w:p>
            <w:pPr>
              <w:spacing w:after="0"/>
              <w:rPr>
                <w:sz w:val="16"/>
                <w:szCs w:val="16"/>
                <w:color w:val="auto"/>
              </w:rPr>
            </w:pPr>
          </w:p>
        </w:tc>
        <w:tc>
          <w:tcPr>
            <w:tcW w:w="660" w:type="dxa"/>
            <w:vAlign w:val="bottom"/>
            <w:tcBorders>
              <w:right w:val="single" w:sz="8" w:color="2D53A6"/>
            </w:tcBorders>
          </w:tcPr>
          <w:p>
            <w:pPr>
              <w:spacing w:after="0"/>
              <w:rPr>
                <w:sz w:val="16"/>
                <w:szCs w:val="16"/>
                <w:color w:val="auto"/>
              </w:rPr>
            </w:pPr>
          </w:p>
        </w:tc>
        <w:tc>
          <w:tcPr>
            <w:tcW w:w="660" w:type="dxa"/>
            <w:vAlign w:val="bottom"/>
            <w:tcBorders>
              <w:right w:val="single" w:sz="8" w:color="2D53A6"/>
            </w:tcBorders>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560" w:type="dxa"/>
            <w:vAlign w:val="bottom"/>
            <w:tcBorders>
              <w:right w:val="single" w:sz="8" w:color="2D53A6"/>
            </w:tcBorders>
          </w:tcPr>
          <w:p>
            <w:pPr>
              <w:spacing w:after="0"/>
              <w:rPr>
                <w:sz w:val="20"/>
                <w:szCs w:val="20"/>
                <w:color w:val="auto"/>
              </w:rPr>
            </w:pPr>
            <w:r>
              <w:rPr>
                <w:rFonts w:ascii="Arial" w:cs="Arial" w:eastAsia="Arial" w:hAnsi="Arial"/>
                <w:sz w:val="18"/>
                <w:szCs w:val="18"/>
                <w:color w:val="auto"/>
                <w:w w:val="96"/>
              </w:rPr>
              <w:t>officer (“CEO”), president, chief financial officer (“CFO”), chief operating</w:t>
            </w:r>
          </w:p>
        </w:tc>
        <w:tc>
          <w:tcPr>
            <w:tcW w:w="700" w:type="dxa"/>
            <w:vAlign w:val="bottom"/>
          </w:tcPr>
          <w:p>
            <w:pPr>
              <w:jc w:val="center"/>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2D53A6"/>
            </w:tcBorders>
          </w:tcPr>
          <w:p>
            <w:pPr>
              <w:jc w:val="center"/>
              <w:spacing w:after="0"/>
              <w:rPr>
                <w:sz w:val="20"/>
                <w:szCs w:val="20"/>
                <w:color w:val="auto"/>
              </w:rPr>
            </w:pPr>
            <w:r>
              <w:rPr>
                <w:rFonts w:ascii="Arial" w:cs="Arial" w:eastAsia="Arial" w:hAnsi="Arial"/>
                <w:sz w:val="18"/>
                <w:szCs w:val="18"/>
                <w:color w:val="auto"/>
              </w:rPr>
              <w:t>√</w:t>
            </w:r>
          </w:p>
        </w:tc>
        <w:tc>
          <w:tcPr>
            <w:tcW w:w="660" w:type="dxa"/>
            <w:vAlign w:val="bottom"/>
            <w:tcBorders>
              <w:right w:val="single" w:sz="8" w:color="2D53A6"/>
            </w:tcBorders>
          </w:tcPr>
          <w:p>
            <w:pPr>
              <w:jc w:val="center"/>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2D53A6"/>
            </w:tcBorders>
          </w:tcPr>
          <w:p>
            <w:pPr>
              <w:jc w:val="center"/>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2D53A6"/>
            </w:tcBorders>
          </w:tcPr>
          <w:p>
            <w:pPr>
              <w:jc w:val="center"/>
              <w:spacing w:after="0"/>
              <w:rPr>
                <w:sz w:val="20"/>
                <w:szCs w:val="20"/>
                <w:color w:val="auto"/>
              </w:rPr>
            </w:pPr>
            <w:r>
              <w:rPr>
                <w:rFonts w:ascii="Arial" w:cs="Arial" w:eastAsia="Arial" w:hAnsi="Arial"/>
                <w:sz w:val="18"/>
                <w:szCs w:val="18"/>
                <w:color w:val="auto"/>
              </w:rPr>
              <w:t>√</w:t>
            </w:r>
          </w:p>
        </w:tc>
        <w:tc>
          <w:tcPr>
            <w:tcW w:w="660" w:type="dxa"/>
            <w:vAlign w:val="bottom"/>
            <w:tcBorders>
              <w:right w:val="single" w:sz="8" w:color="2D53A6"/>
            </w:tcBorders>
          </w:tcPr>
          <w:p>
            <w:pPr>
              <w:jc w:val="center"/>
              <w:spacing w:after="0"/>
              <w:rPr>
                <w:sz w:val="20"/>
                <w:szCs w:val="20"/>
                <w:color w:val="auto"/>
              </w:rPr>
            </w:pPr>
            <w:r>
              <w:rPr>
                <w:rFonts w:ascii="Arial" w:cs="Arial" w:eastAsia="Arial" w:hAnsi="Arial"/>
                <w:sz w:val="18"/>
                <w:szCs w:val="18"/>
                <w:color w:val="auto"/>
              </w:rPr>
              <w:t>√</w:t>
            </w:r>
          </w:p>
        </w:tc>
        <w:tc>
          <w:tcPr>
            <w:tcW w:w="660" w:type="dxa"/>
            <w:vAlign w:val="bottom"/>
            <w:tcBorders>
              <w:right w:val="single" w:sz="8" w:color="2D53A6"/>
            </w:tcBorders>
          </w:tcPr>
          <w:p>
            <w:pPr>
              <w:jc w:val="center"/>
              <w:spacing w:after="0"/>
              <w:rPr>
                <w:sz w:val="20"/>
                <w:szCs w:val="20"/>
                <w:color w:val="auto"/>
              </w:rPr>
            </w:pPr>
            <w:r>
              <w:rPr>
                <w:rFonts w:ascii="Arial" w:cs="Arial" w:eastAsia="Arial" w:hAnsi="Arial"/>
                <w:sz w:val="18"/>
                <w:szCs w:val="18"/>
                <w:color w:val="auto"/>
              </w:rPr>
              <w:t>√</w:t>
            </w:r>
          </w:p>
        </w:tc>
        <w:tc>
          <w:tcPr>
            <w:tcW w:w="8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560" w:type="dxa"/>
            <w:vAlign w:val="bottom"/>
            <w:tcBorders>
              <w:bottom w:val="single" w:sz="8" w:color="2D53A6"/>
              <w:right w:val="single" w:sz="8" w:color="2D53A6"/>
            </w:tcBorders>
          </w:tcPr>
          <w:p>
            <w:pPr>
              <w:spacing w:after="0"/>
              <w:rPr>
                <w:sz w:val="20"/>
                <w:szCs w:val="20"/>
                <w:color w:val="auto"/>
              </w:rPr>
            </w:pPr>
            <w:r>
              <w:rPr>
                <w:rFonts w:ascii="Arial" w:cs="Arial" w:eastAsia="Arial" w:hAnsi="Arial"/>
                <w:sz w:val="18"/>
                <w:szCs w:val="18"/>
                <w:color w:val="auto"/>
              </w:rPr>
              <w:t>officer and/or general manager of a significant business</w:t>
            </w:r>
          </w:p>
        </w:tc>
        <w:tc>
          <w:tcPr>
            <w:tcW w:w="700" w:type="dxa"/>
            <w:vAlign w:val="bottom"/>
            <w:tcBorders>
              <w:bottom w:val="single" w:sz="8" w:color="2D53A6"/>
            </w:tcBorders>
          </w:tcPr>
          <w:p>
            <w:pPr>
              <w:spacing w:after="0"/>
              <w:rPr>
                <w:sz w:val="20"/>
                <w:szCs w:val="20"/>
                <w:color w:val="auto"/>
              </w:rPr>
            </w:pPr>
          </w:p>
        </w:tc>
        <w:tc>
          <w:tcPr>
            <w:tcW w:w="700" w:type="dxa"/>
            <w:vAlign w:val="bottom"/>
            <w:tcBorders>
              <w:bottom w:val="single" w:sz="8" w:color="2D53A6"/>
              <w:right w:val="single" w:sz="8" w:color="2D53A6"/>
            </w:tcBorders>
          </w:tcPr>
          <w:p>
            <w:pPr>
              <w:spacing w:after="0"/>
              <w:rPr>
                <w:sz w:val="20"/>
                <w:szCs w:val="20"/>
                <w:color w:val="auto"/>
              </w:rPr>
            </w:pPr>
          </w:p>
        </w:tc>
        <w:tc>
          <w:tcPr>
            <w:tcW w:w="660" w:type="dxa"/>
            <w:vAlign w:val="bottom"/>
            <w:tcBorders>
              <w:bottom w:val="single" w:sz="8" w:color="2D53A6"/>
              <w:right w:val="single" w:sz="8" w:color="2D53A6"/>
            </w:tcBorders>
          </w:tcPr>
          <w:p>
            <w:pPr>
              <w:spacing w:after="0"/>
              <w:rPr>
                <w:sz w:val="20"/>
                <w:szCs w:val="20"/>
                <w:color w:val="auto"/>
              </w:rPr>
            </w:pPr>
          </w:p>
        </w:tc>
        <w:tc>
          <w:tcPr>
            <w:tcW w:w="700" w:type="dxa"/>
            <w:vAlign w:val="bottom"/>
            <w:tcBorders>
              <w:bottom w:val="single" w:sz="8" w:color="2D53A6"/>
              <w:right w:val="single" w:sz="8" w:color="2D53A6"/>
            </w:tcBorders>
          </w:tcPr>
          <w:p>
            <w:pPr>
              <w:spacing w:after="0"/>
              <w:rPr>
                <w:sz w:val="20"/>
                <w:szCs w:val="20"/>
                <w:color w:val="auto"/>
              </w:rPr>
            </w:pPr>
          </w:p>
        </w:tc>
        <w:tc>
          <w:tcPr>
            <w:tcW w:w="720" w:type="dxa"/>
            <w:vAlign w:val="bottom"/>
            <w:tcBorders>
              <w:bottom w:val="single" w:sz="8" w:color="2D53A6"/>
              <w:right w:val="single" w:sz="8" w:color="2D53A6"/>
            </w:tcBorders>
          </w:tcPr>
          <w:p>
            <w:pPr>
              <w:spacing w:after="0"/>
              <w:rPr>
                <w:sz w:val="20"/>
                <w:szCs w:val="20"/>
                <w:color w:val="auto"/>
              </w:rPr>
            </w:pPr>
          </w:p>
        </w:tc>
        <w:tc>
          <w:tcPr>
            <w:tcW w:w="660" w:type="dxa"/>
            <w:vAlign w:val="bottom"/>
            <w:tcBorders>
              <w:bottom w:val="single" w:sz="8" w:color="2D53A6"/>
              <w:right w:val="single" w:sz="8" w:color="2D53A6"/>
            </w:tcBorders>
          </w:tcPr>
          <w:p>
            <w:pPr>
              <w:spacing w:after="0"/>
              <w:rPr>
                <w:sz w:val="20"/>
                <w:szCs w:val="20"/>
                <w:color w:val="auto"/>
              </w:rPr>
            </w:pPr>
          </w:p>
        </w:tc>
        <w:tc>
          <w:tcPr>
            <w:tcW w:w="660" w:type="dxa"/>
            <w:vAlign w:val="bottom"/>
            <w:tcBorders>
              <w:bottom w:val="single" w:sz="8" w:color="2D53A6"/>
              <w:right w:val="single" w:sz="8" w:color="2D53A6"/>
            </w:tcBorders>
          </w:tcPr>
          <w:p>
            <w:pPr>
              <w:spacing w:after="0"/>
              <w:rPr>
                <w:sz w:val="20"/>
                <w:szCs w:val="20"/>
                <w:color w:val="auto"/>
              </w:rPr>
            </w:pPr>
          </w:p>
        </w:tc>
        <w:tc>
          <w:tcPr>
            <w:tcW w:w="880" w:type="dxa"/>
            <w:vAlign w:val="bottom"/>
            <w:tcBorders>
              <w:bottom w:val="single" w:sz="8" w:color="2D53A6"/>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5560" w:type="dxa"/>
            <w:vAlign w:val="bottom"/>
            <w:tcBorders>
              <w:right w:val="single" w:sz="8" w:color="2D53A6"/>
            </w:tcBorders>
            <w:shd w:val="clear" w:color="auto" w:fill="E6E6E6"/>
          </w:tcPr>
          <w:p>
            <w:pPr>
              <w:spacing w:after="0" w:line="195" w:lineRule="exact"/>
              <w:rPr>
                <w:sz w:val="20"/>
                <w:szCs w:val="20"/>
                <w:color w:val="auto"/>
              </w:rPr>
            </w:pPr>
            <w:r>
              <w:rPr>
                <w:rFonts w:ascii="Arial" w:cs="Arial" w:eastAsia="Arial" w:hAnsi="Arial"/>
                <w:sz w:val="18"/>
                <w:szCs w:val="18"/>
                <w:b w:val="1"/>
                <w:bCs w:val="1"/>
                <w:color w:val="auto"/>
              </w:rPr>
              <w:t xml:space="preserve">Customer/Deep Technology Knowledge </w:t>
            </w:r>
            <w:r>
              <w:rPr>
                <w:rFonts w:ascii="Arial" w:cs="Arial" w:eastAsia="Arial" w:hAnsi="Arial"/>
                <w:sz w:val="18"/>
                <w:szCs w:val="18"/>
                <w:color w:val="auto"/>
              </w:rPr>
              <w:t>– Deep knowledge and</w:t>
            </w:r>
          </w:p>
        </w:tc>
        <w:tc>
          <w:tcPr>
            <w:tcW w:w="700" w:type="dxa"/>
            <w:vAlign w:val="bottom"/>
            <w:tcBorders>
              <w:right w:val="single" w:sz="8" w:color="E6E6E6"/>
            </w:tcBorders>
            <w:shd w:val="clear" w:color="auto" w:fill="E6E6E6"/>
          </w:tcPr>
          <w:p>
            <w:pPr>
              <w:spacing w:after="0"/>
              <w:rPr>
                <w:sz w:val="16"/>
                <w:szCs w:val="16"/>
                <w:color w:val="auto"/>
              </w:rPr>
            </w:pPr>
          </w:p>
        </w:tc>
        <w:tc>
          <w:tcPr>
            <w:tcW w:w="700" w:type="dxa"/>
            <w:vAlign w:val="bottom"/>
            <w:tcBorders>
              <w:right w:val="single" w:sz="8" w:color="2D53A6"/>
            </w:tcBorders>
            <w:shd w:val="clear" w:color="auto" w:fill="E6E6E6"/>
          </w:tcPr>
          <w:p>
            <w:pPr>
              <w:spacing w:after="0"/>
              <w:rPr>
                <w:sz w:val="16"/>
                <w:szCs w:val="16"/>
                <w:color w:val="auto"/>
              </w:rPr>
            </w:pPr>
          </w:p>
        </w:tc>
        <w:tc>
          <w:tcPr>
            <w:tcW w:w="660" w:type="dxa"/>
            <w:vAlign w:val="bottom"/>
            <w:tcBorders>
              <w:right w:val="single" w:sz="8" w:color="2D53A6"/>
            </w:tcBorders>
            <w:shd w:val="clear" w:color="auto" w:fill="E6E6E6"/>
          </w:tcPr>
          <w:p>
            <w:pPr>
              <w:spacing w:after="0"/>
              <w:rPr>
                <w:sz w:val="16"/>
                <w:szCs w:val="16"/>
                <w:color w:val="auto"/>
              </w:rPr>
            </w:pPr>
          </w:p>
        </w:tc>
        <w:tc>
          <w:tcPr>
            <w:tcW w:w="700" w:type="dxa"/>
            <w:vAlign w:val="bottom"/>
            <w:tcBorders>
              <w:right w:val="single" w:sz="8" w:color="2D53A6"/>
            </w:tcBorders>
            <w:shd w:val="clear" w:color="auto" w:fill="E6E6E6"/>
          </w:tcPr>
          <w:p>
            <w:pPr>
              <w:spacing w:after="0"/>
              <w:rPr>
                <w:sz w:val="16"/>
                <w:szCs w:val="16"/>
                <w:color w:val="auto"/>
              </w:rPr>
            </w:pPr>
          </w:p>
        </w:tc>
        <w:tc>
          <w:tcPr>
            <w:tcW w:w="720" w:type="dxa"/>
            <w:vAlign w:val="bottom"/>
            <w:tcBorders>
              <w:right w:val="single" w:sz="8" w:color="2D53A6"/>
            </w:tcBorders>
            <w:shd w:val="clear" w:color="auto" w:fill="E6E6E6"/>
          </w:tcPr>
          <w:p>
            <w:pPr>
              <w:spacing w:after="0"/>
              <w:rPr>
                <w:sz w:val="16"/>
                <w:szCs w:val="16"/>
                <w:color w:val="auto"/>
              </w:rPr>
            </w:pPr>
          </w:p>
        </w:tc>
        <w:tc>
          <w:tcPr>
            <w:tcW w:w="660" w:type="dxa"/>
            <w:vAlign w:val="bottom"/>
            <w:tcBorders>
              <w:right w:val="single" w:sz="8" w:color="2D53A6"/>
            </w:tcBorders>
            <w:shd w:val="clear" w:color="auto" w:fill="E6E6E6"/>
          </w:tcPr>
          <w:p>
            <w:pPr>
              <w:spacing w:after="0"/>
              <w:rPr>
                <w:sz w:val="16"/>
                <w:szCs w:val="16"/>
                <w:color w:val="auto"/>
              </w:rPr>
            </w:pPr>
          </w:p>
        </w:tc>
        <w:tc>
          <w:tcPr>
            <w:tcW w:w="660" w:type="dxa"/>
            <w:vAlign w:val="bottom"/>
            <w:tcBorders>
              <w:right w:val="single" w:sz="8" w:color="2D53A6"/>
            </w:tcBorders>
            <w:shd w:val="clear" w:color="auto" w:fill="E6E6E6"/>
          </w:tcPr>
          <w:p>
            <w:pPr>
              <w:spacing w:after="0"/>
              <w:rPr>
                <w:sz w:val="16"/>
                <w:szCs w:val="16"/>
                <w:color w:val="auto"/>
              </w:rPr>
            </w:pPr>
          </w:p>
        </w:tc>
        <w:tc>
          <w:tcPr>
            <w:tcW w:w="880" w:type="dxa"/>
            <w:vAlign w:val="bottom"/>
            <w:shd w:val="clear" w:color="auto" w:fill="E6E6E6"/>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560" w:type="dxa"/>
            <w:vAlign w:val="bottom"/>
            <w:tcBorders>
              <w:right w:val="single" w:sz="8" w:color="2D53A6"/>
            </w:tcBorders>
            <w:shd w:val="clear" w:color="auto" w:fill="E6E6E6"/>
          </w:tcPr>
          <w:p>
            <w:pPr>
              <w:spacing w:after="0"/>
              <w:rPr>
                <w:sz w:val="20"/>
                <w:szCs w:val="20"/>
                <w:color w:val="auto"/>
              </w:rPr>
            </w:pPr>
            <w:r>
              <w:rPr>
                <w:rFonts w:ascii="Arial" w:cs="Arial" w:eastAsia="Arial" w:hAnsi="Arial"/>
                <w:sz w:val="18"/>
                <w:szCs w:val="18"/>
                <w:color w:val="auto"/>
                <w:w w:val="99"/>
              </w:rPr>
              <w:t>understanding of semiconductor equipment technologies, including an</w:t>
            </w:r>
          </w:p>
        </w:tc>
        <w:tc>
          <w:tcPr>
            <w:tcW w:w="700" w:type="dxa"/>
            <w:vAlign w:val="bottom"/>
            <w:tcBorders>
              <w:right w:val="single" w:sz="8" w:color="E6E6E6"/>
            </w:tcBorders>
            <w:shd w:val="clear" w:color="auto" w:fill="E6E6E6"/>
          </w:tcPr>
          <w:p>
            <w:pPr>
              <w:spacing w:after="0"/>
              <w:rPr>
                <w:sz w:val="18"/>
                <w:szCs w:val="18"/>
                <w:color w:val="auto"/>
              </w:rPr>
            </w:pPr>
          </w:p>
        </w:tc>
        <w:tc>
          <w:tcPr>
            <w:tcW w:w="700" w:type="dxa"/>
            <w:vAlign w:val="bottom"/>
            <w:tcBorders>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660" w:type="dxa"/>
            <w:vAlign w:val="bottom"/>
            <w:tcBorders>
              <w:right w:val="single" w:sz="8" w:color="2D53A6"/>
            </w:tcBorders>
            <w:shd w:val="clear" w:color="auto" w:fill="E6E6E6"/>
          </w:tcPr>
          <w:p>
            <w:pPr>
              <w:spacing w:after="0"/>
              <w:rPr>
                <w:sz w:val="18"/>
                <w:szCs w:val="18"/>
                <w:color w:val="auto"/>
              </w:rPr>
            </w:pPr>
          </w:p>
        </w:tc>
        <w:tc>
          <w:tcPr>
            <w:tcW w:w="700" w:type="dxa"/>
            <w:vAlign w:val="bottom"/>
            <w:tcBorders>
              <w:right w:val="single" w:sz="8" w:color="2D53A6"/>
            </w:tcBorders>
            <w:shd w:val="clear" w:color="auto" w:fill="E6E6E6"/>
          </w:tcPr>
          <w:p>
            <w:pPr>
              <w:spacing w:after="0"/>
              <w:rPr>
                <w:sz w:val="18"/>
                <w:szCs w:val="18"/>
                <w:color w:val="auto"/>
              </w:rPr>
            </w:pPr>
          </w:p>
        </w:tc>
        <w:tc>
          <w:tcPr>
            <w:tcW w:w="720" w:type="dxa"/>
            <w:vAlign w:val="bottom"/>
            <w:tcBorders>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660" w:type="dxa"/>
            <w:vAlign w:val="bottom"/>
            <w:tcBorders>
              <w:right w:val="single" w:sz="8" w:color="2D53A6"/>
            </w:tcBorders>
            <w:shd w:val="clear" w:color="auto" w:fill="E6E6E6"/>
          </w:tcPr>
          <w:p>
            <w:pPr>
              <w:spacing w:after="0"/>
              <w:rPr>
                <w:sz w:val="18"/>
                <w:szCs w:val="18"/>
                <w:color w:val="auto"/>
              </w:rPr>
            </w:pPr>
          </w:p>
        </w:tc>
        <w:tc>
          <w:tcPr>
            <w:tcW w:w="660" w:type="dxa"/>
            <w:vAlign w:val="bottom"/>
            <w:tcBorders>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88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60" w:type="dxa"/>
            <w:vAlign w:val="bottom"/>
            <w:tcBorders>
              <w:bottom w:val="single" w:sz="8" w:color="2D53A6"/>
              <w:right w:val="single" w:sz="8" w:color="2D53A6"/>
            </w:tcBorders>
            <w:shd w:val="clear" w:color="auto" w:fill="E6E6E6"/>
          </w:tcPr>
          <w:p>
            <w:pPr>
              <w:spacing w:after="0"/>
              <w:rPr>
                <w:sz w:val="20"/>
                <w:szCs w:val="20"/>
                <w:color w:val="auto"/>
              </w:rPr>
            </w:pPr>
            <w:r>
              <w:rPr>
                <w:rFonts w:ascii="Arial" w:cs="Arial" w:eastAsia="Arial" w:hAnsi="Arial"/>
                <w:sz w:val="18"/>
                <w:szCs w:val="18"/>
                <w:color w:val="auto"/>
              </w:rPr>
              <w:t>understanding of our customers’ markets and needs</w:t>
            </w:r>
          </w:p>
        </w:tc>
        <w:tc>
          <w:tcPr>
            <w:tcW w:w="700" w:type="dxa"/>
            <w:vAlign w:val="bottom"/>
            <w:tcBorders>
              <w:bottom w:val="single" w:sz="8" w:color="2D53A6"/>
              <w:right w:val="single" w:sz="8" w:color="E6E6E6"/>
            </w:tcBorders>
            <w:shd w:val="clear" w:color="auto" w:fill="E6E6E6"/>
          </w:tcPr>
          <w:p>
            <w:pPr>
              <w:spacing w:after="0"/>
              <w:rPr>
                <w:sz w:val="20"/>
                <w:szCs w:val="20"/>
                <w:color w:val="auto"/>
              </w:rPr>
            </w:pPr>
          </w:p>
        </w:tc>
        <w:tc>
          <w:tcPr>
            <w:tcW w:w="700" w:type="dxa"/>
            <w:vAlign w:val="bottom"/>
            <w:tcBorders>
              <w:bottom w:val="single" w:sz="8" w:color="2D53A6"/>
              <w:right w:val="single" w:sz="8" w:color="2D53A6"/>
            </w:tcBorders>
            <w:shd w:val="clear" w:color="auto" w:fill="E6E6E6"/>
          </w:tcPr>
          <w:p>
            <w:pPr>
              <w:spacing w:after="0"/>
              <w:rPr>
                <w:sz w:val="20"/>
                <w:szCs w:val="20"/>
                <w:color w:val="auto"/>
              </w:rPr>
            </w:pPr>
          </w:p>
        </w:tc>
        <w:tc>
          <w:tcPr>
            <w:tcW w:w="660" w:type="dxa"/>
            <w:vAlign w:val="bottom"/>
            <w:tcBorders>
              <w:bottom w:val="single" w:sz="8" w:color="2D53A6"/>
              <w:right w:val="single" w:sz="8" w:color="2D53A6"/>
            </w:tcBorders>
            <w:shd w:val="clear" w:color="auto" w:fill="E6E6E6"/>
          </w:tcPr>
          <w:p>
            <w:pPr>
              <w:spacing w:after="0"/>
              <w:rPr>
                <w:sz w:val="20"/>
                <w:szCs w:val="20"/>
                <w:color w:val="auto"/>
              </w:rPr>
            </w:pPr>
          </w:p>
        </w:tc>
        <w:tc>
          <w:tcPr>
            <w:tcW w:w="700" w:type="dxa"/>
            <w:vAlign w:val="bottom"/>
            <w:tcBorders>
              <w:bottom w:val="single" w:sz="8" w:color="2D53A6"/>
              <w:right w:val="single" w:sz="8" w:color="2D53A6"/>
            </w:tcBorders>
            <w:shd w:val="clear" w:color="auto" w:fill="E6E6E6"/>
          </w:tcPr>
          <w:p>
            <w:pPr>
              <w:spacing w:after="0"/>
              <w:rPr>
                <w:sz w:val="20"/>
                <w:szCs w:val="20"/>
                <w:color w:val="auto"/>
              </w:rPr>
            </w:pPr>
          </w:p>
        </w:tc>
        <w:tc>
          <w:tcPr>
            <w:tcW w:w="720" w:type="dxa"/>
            <w:vAlign w:val="bottom"/>
            <w:tcBorders>
              <w:bottom w:val="single" w:sz="8" w:color="2D53A6"/>
              <w:right w:val="single" w:sz="8" w:color="2D53A6"/>
            </w:tcBorders>
            <w:shd w:val="clear" w:color="auto" w:fill="E6E6E6"/>
          </w:tcPr>
          <w:p>
            <w:pPr>
              <w:spacing w:after="0"/>
              <w:rPr>
                <w:sz w:val="20"/>
                <w:szCs w:val="20"/>
                <w:color w:val="auto"/>
              </w:rPr>
            </w:pPr>
          </w:p>
        </w:tc>
        <w:tc>
          <w:tcPr>
            <w:tcW w:w="660" w:type="dxa"/>
            <w:vAlign w:val="bottom"/>
            <w:tcBorders>
              <w:bottom w:val="single" w:sz="8" w:color="2D53A6"/>
              <w:right w:val="single" w:sz="8" w:color="2D53A6"/>
            </w:tcBorders>
            <w:shd w:val="clear" w:color="auto" w:fill="E6E6E6"/>
          </w:tcPr>
          <w:p>
            <w:pPr>
              <w:spacing w:after="0"/>
              <w:rPr>
                <w:sz w:val="20"/>
                <w:szCs w:val="20"/>
                <w:color w:val="auto"/>
              </w:rPr>
            </w:pPr>
          </w:p>
        </w:tc>
        <w:tc>
          <w:tcPr>
            <w:tcW w:w="660" w:type="dxa"/>
            <w:vAlign w:val="bottom"/>
            <w:tcBorders>
              <w:bottom w:val="single" w:sz="8" w:color="2D53A6"/>
              <w:right w:val="single" w:sz="8" w:color="2D53A6"/>
            </w:tcBorders>
            <w:shd w:val="clear" w:color="auto" w:fill="E6E6E6"/>
          </w:tcPr>
          <w:p>
            <w:pPr>
              <w:spacing w:after="0"/>
              <w:rPr>
                <w:sz w:val="20"/>
                <w:szCs w:val="20"/>
                <w:color w:val="auto"/>
              </w:rPr>
            </w:pPr>
          </w:p>
        </w:tc>
        <w:tc>
          <w:tcPr>
            <w:tcW w:w="880" w:type="dxa"/>
            <w:vAlign w:val="bottom"/>
            <w:tcBorders>
              <w:bottom w:val="single" w:sz="8" w:color="2D53A6"/>
            </w:tcBorders>
            <w:shd w:val="clear" w:color="auto" w:fill="E6E6E6"/>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5560" w:type="dxa"/>
            <w:vAlign w:val="bottom"/>
            <w:tcBorders>
              <w:right w:val="single" w:sz="8" w:color="2D53A6"/>
            </w:tcBorders>
          </w:tcPr>
          <w:p>
            <w:pPr>
              <w:spacing w:after="0" w:line="195" w:lineRule="exact"/>
              <w:rPr>
                <w:sz w:val="20"/>
                <w:szCs w:val="20"/>
                <w:color w:val="auto"/>
              </w:rPr>
            </w:pPr>
            <w:r>
              <w:rPr>
                <w:rFonts w:ascii="Arial" w:cs="Arial" w:eastAsia="Arial" w:hAnsi="Arial"/>
                <w:sz w:val="18"/>
                <w:szCs w:val="18"/>
                <w:b w:val="1"/>
                <w:bCs w:val="1"/>
                <w:color w:val="auto"/>
                <w:w w:val="91"/>
              </w:rPr>
              <w:t xml:space="preserve">Global Business Experience </w:t>
            </w:r>
            <w:r>
              <w:rPr>
                <w:rFonts w:ascii="Arial" w:cs="Arial" w:eastAsia="Arial" w:hAnsi="Arial"/>
                <w:sz w:val="18"/>
                <w:szCs w:val="18"/>
                <w:color w:val="auto"/>
                <w:w w:val="91"/>
              </w:rPr>
              <w:t>– Experience as a current or former business</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2D53A6"/>
            </w:tcBorders>
            <w:vMerge w:val="restart"/>
          </w:tcPr>
          <w:p>
            <w:pPr>
              <w:jc w:val="center"/>
              <w:spacing w:after="0"/>
              <w:rPr>
                <w:sz w:val="20"/>
                <w:szCs w:val="20"/>
                <w:color w:val="auto"/>
              </w:rPr>
            </w:pPr>
            <w:r>
              <w:rPr>
                <w:rFonts w:ascii="Arial" w:cs="Arial" w:eastAsia="Arial" w:hAnsi="Arial"/>
                <w:sz w:val="18"/>
                <w:szCs w:val="18"/>
                <w:color w:val="auto"/>
              </w:rPr>
              <w:t>√</w:t>
            </w:r>
          </w:p>
        </w:tc>
        <w:tc>
          <w:tcPr>
            <w:tcW w:w="660" w:type="dxa"/>
            <w:vAlign w:val="bottom"/>
            <w:tcBorders>
              <w:right w:val="single" w:sz="8" w:color="2D53A6"/>
            </w:tcBorders>
            <w:vMerge w:val="restart"/>
          </w:tcPr>
          <w:p>
            <w:pPr>
              <w:jc w:val="center"/>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2D53A6"/>
            </w:tcBorders>
            <w:vMerge w:val="restart"/>
          </w:tcPr>
          <w:p>
            <w:pPr>
              <w:jc w:val="center"/>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2D53A6"/>
            </w:tcBorders>
            <w:vMerge w:val="restart"/>
          </w:tcPr>
          <w:p>
            <w:pPr>
              <w:jc w:val="center"/>
              <w:spacing w:after="0"/>
              <w:rPr>
                <w:sz w:val="20"/>
                <w:szCs w:val="20"/>
                <w:color w:val="auto"/>
              </w:rPr>
            </w:pPr>
            <w:r>
              <w:rPr>
                <w:rFonts w:ascii="Arial" w:cs="Arial" w:eastAsia="Arial" w:hAnsi="Arial"/>
                <w:sz w:val="18"/>
                <w:szCs w:val="18"/>
                <w:color w:val="auto"/>
              </w:rPr>
              <w:t>√</w:t>
            </w:r>
          </w:p>
        </w:tc>
        <w:tc>
          <w:tcPr>
            <w:tcW w:w="660" w:type="dxa"/>
            <w:vAlign w:val="bottom"/>
            <w:tcBorders>
              <w:right w:val="single" w:sz="8" w:color="2D53A6"/>
            </w:tcBorders>
            <w:vMerge w:val="restart"/>
          </w:tcPr>
          <w:p>
            <w:pPr>
              <w:jc w:val="center"/>
              <w:spacing w:after="0"/>
              <w:rPr>
                <w:sz w:val="20"/>
                <w:szCs w:val="20"/>
                <w:color w:val="auto"/>
              </w:rPr>
            </w:pPr>
            <w:r>
              <w:rPr>
                <w:rFonts w:ascii="Arial" w:cs="Arial" w:eastAsia="Arial" w:hAnsi="Arial"/>
                <w:sz w:val="18"/>
                <w:szCs w:val="18"/>
                <w:color w:val="auto"/>
              </w:rPr>
              <w:t>√</w:t>
            </w:r>
          </w:p>
        </w:tc>
        <w:tc>
          <w:tcPr>
            <w:tcW w:w="660" w:type="dxa"/>
            <w:vAlign w:val="bottom"/>
            <w:tcBorders>
              <w:right w:val="single" w:sz="8" w:color="2D53A6"/>
            </w:tcBorders>
            <w:vMerge w:val="restart"/>
          </w:tcPr>
          <w:p>
            <w:pPr>
              <w:jc w:val="center"/>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5560" w:type="dxa"/>
            <w:vAlign w:val="bottom"/>
            <w:tcBorders>
              <w:right w:val="single" w:sz="8" w:color="2D53A6"/>
            </w:tcBorders>
            <w:vMerge w:val="restart"/>
          </w:tcPr>
          <w:p>
            <w:pPr>
              <w:spacing w:after="0"/>
              <w:rPr>
                <w:sz w:val="20"/>
                <w:szCs w:val="20"/>
                <w:color w:val="auto"/>
              </w:rPr>
            </w:pPr>
            <w:r>
              <w:rPr>
                <w:rFonts w:ascii="Arial" w:cs="Arial" w:eastAsia="Arial" w:hAnsi="Arial"/>
                <w:sz w:val="18"/>
                <w:szCs w:val="18"/>
                <w:color w:val="auto"/>
                <w:w w:val="90"/>
              </w:rPr>
              <w:t>executive of a business with significant global operations and customer base</w:t>
            </w:r>
          </w:p>
        </w:tc>
        <w:tc>
          <w:tcPr>
            <w:tcW w:w="700" w:type="dxa"/>
            <w:vAlign w:val="bottom"/>
            <w:vMerge w:val="continue"/>
          </w:tcPr>
          <w:p>
            <w:pPr>
              <w:spacing w:after="0"/>
              <w:rPr>
                <w:sz w:val="10"/>
                <w:szCs w:val="10"/>
                <w:color w:val="auto"/>
              </w:rPr>
            </w:pPr>
          </w:p>
        </w:tc>
        <w:tc>
          <w:tcPr>
            <w:tcW w:w="700" w:type="dxa"/>
            <w:vAlign w:val="bottom"/>
            <w:tcBorders>
              <w:right w:val="single" w:sz="8" w:color="2D53A6"/>
            </w:tcBorders>
            <w:vMerge w:val="continue"/>
          </w:tcPr>
          <w:p>
            <w:pPr>
              <w:spacing w:after="0"/>
              <w:rPr>
                <w:sz w:val="10"/>
                <w:szCs w:val="10"/>
                <w:color w:val="auto"/>
              </w:rPr>
            </w:pPr>
          </w:p>
        </w:tc>
        <w:tc>
          <w:tcPr>
            <w:tcW w:w="660" w:type="dxa"/>
            <w:vAlign w:val="bottom"/>
            <w:tcBorders>
              <w:right w:val="single" w:sz="8" w:color="2D53A6"/>
            </w:tcBorders>
            <w:vMerge w:val="continue"/>
          </w:tcPr>
          <w:p>
            <w:pPr>
              <w:spacing w:after="0"/>
              <w:rPr>
                <w:sz w:val="10"/>
                <w:szCs w:val="10"/>
                <w:color w:val="auto"/>
              </w:rPr>
            </w:pPr>
          </w:p>
        </w:tc>
        <w:tc>
          <w:tcPr>
            <w:tcW w:w="700" w:type="dxa"/>
            <w:vAlign w:val="bottom"/>
            <w:tcBorders>
              <w:right w:val="single" w:sz="8" w:color="2D53A6"/>
            </w:tcBorders>
            <w:vMerge w:val="continue"/>
          </w:tcPr>
          <w:p>
            <w:pPr>
              <w:spacing w:after="0"/>
              <w:rPr>
                <w:sz w:val="10"/>
                <w:szCs w:val="10"/>
                <w:color w:val="auto"/>
              </w:rPr>
            </w:pPr>
          </w:p>
        </w:tc>
        <w:tc>
          <w:tcPr>
            <w:tcW w:w="720" w:type="dxa"/>
            <w:vAlign w:val="bottom"/>
            <w:tcBorders>
              <w:right w:val="single" w:sz="8" w:color="2D53A6"/>
            </w:tcBorders>
            <w:vMerge w:val="continue"/>
          </w:tcPr>
          <w:p>
            <w:pPr>
              <w:spacing w:after="0"/>
              <w:rPr>
                <w:sz w:val="10"/>
                <w:szCs w:val="10"/>
                <w:color w:val="auto"/>
              </w:rPr>
            </w:pPr>
          </w:p>
        </w:tc>
        <w:tc>
          <w:tcPr>
            <w:tcW w:w="660" w:type="dxa"/>
            <w:vAlign w:val="bottom"/>
            <w:tcBorders>
              <w:right w:val="single" w:sz="8" w:color="2D53A6"/>
            </w:tcBorders>
            <w:vMerge w:val="continue"/>
          </w:tcPr>
          <w:p>
            <w:pPr>
              <w:spacing w:after="0"/>
              <w:rPr>
                <w:sz w:val="10"/>
                <w:szCs w:val="10"/>
                <w:color w:val="auto"/>
              </w:rPr>
            </w:pPr>
          </w:p>
        </w:tc>
        <w:tc>
          <w:tcPr>
            <w:tcW w:w="660" w:type="dxa"/>
            <w:vAlign w:val="bottom"/>
            <w:tcBorders>
              <w:right w:val="single" w:sz="8" w:color="2D53A6"/>
            </w:tcBorders>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560" w:type="dxa"/>
            <w:vAlign w:val="bottom"/>
            <w:tcBorders>
              <w:bottom w:val="single" w:sz="8" w:color="2D53A6"/>
              <w:right w:val="single" w:sz="8" w:color="2D53A6"/>
            </w:tcBorders>
            <w:vMerge w:val="continue"/>
          </w:tcPr>
          <w:p>
            <w:pPr>
              <w:spacing w:after="0"/>
              <w:rPr>
                <w:sz w:val="9"/>
                <w:szCs w:val="9"/>
                <w:color w:val="auto"/>
              </w:rPr>
            </w:pPr>
          </w:p>
        </w:tc>
        <w:tc>
          <w:tcPr>
            <w:tcW w:w="700" w:type="dxa"/>
            <w:vAlign w:val="bottom"/>
            <w:tcBorders>
              <w:bottom w:val="single" w:sz="8" w:color="2D53A6"/>
            </w:tcBorders>
          </w:tcPr>
          <w:p>
            <w:pPr>
              <w:spacing w:after="0"/>
              <w:rPr>
                <w:sz w:val="9"/>
                <w:szCs w:val="9"/>
                <w:color w:val="auto"/>
              </w:rPr>
            </w:pPr>
          </w:p>
        </w:tc>
        <w:tc>
          <w:tcPr>
            <w:tcW w:w="700" w:type="dxa"/>
            <w:vAlign w:val="bottom"/>
            <w:tcBorders>
              <w:bottom w:val="single" w:sz="8" w:color="2D53A6"/>
              <w:right w:val="single" w:sz="8" w:color="2D53A6"/>
            </w:tcBorders>
          </w:tcPr>
          <w:p>
            <w:pPr>
              <w:spacing w:after="0"/>
              <w:rPr>
                <w:sz w:val="9"/>
                <w:szCs w:val="9"/>
                <w:color w:val="auto"/>
              </w:rPr>
            </w:pPr>
          </w:p>
        </w:tc>
        <w:tc>
          <w:tcPr>
            <w:tcW w:w="660" w:type="dxa"/>
            <w:vAlign w:val="bottom"/>
            <w:tcBorders>
              <w:bottom w:val="single" w:sz="8" w:color="2D53A6"/>
              <w:right w:val="single" w:sz="8" w:color="2D53A6"/>
            </w:tcBorders>
          </w:tcPr>
          <w:p>
            <w:pPr>
              <w:spacing w:after="0"/>
              <w:rPr>
                <w:sz w:val="9"/>
                <w:szCs w:val="9"/>
                <w:color w:val="auto"/>
              </w:rPr>
            </w:pPr>
          </w:p>
        </w:tc>
        <w:tc>
          <w:tcPr>
            <w:tcW w:w="700" w:type="dxa"/>
            <w:vAlign w:val="bottom"/>
            <w:tcBorders>
              <w:bottom w:val="single" w:sz="8" w:color="2D53A6"/>
              <w:right w:val="single" w:sz="8" w:color="2D53A6"/>
            </w:tcBorders>
          </w:tcPr>
          <w:p>
            <w:pPr>
              <w:spacing w:after="0"/>
              <w:rPr>
                <w:sz w:val="9"/>
                <w:szCs w:val="9"/>
                <w:color w:val="auto"/>
              </w:rPr>
            </w:pPr>
          </w:p>
        </w:tc>
        <w:tc>
          <w:tcPr>
            <w:tcW w:w="720" w:type="dxa"/>
            <w:vAlign w:val="bottom"/>
            <w:tcBorders>
              <w:bottom w:val="single" w:sz="8" w:color="2D53A6"/>
              <w:right w:val="single" w:sz="8" w:color="2D53A6"/>
            </w:tcBorders>
          </w:tcPr>
          <w:p>
            <w:pPr>
              <w:spacing w:after="0"/>
              <w:rPr>
                <w:sz w:val="9"/>
                <w:szCs w:val="9"/>
                <w:color w:val="auto"/>
              </w:rPr>
            </w:pPr>
          </w:p>
        </w:tc>
        <w:tc>
          <w:tcPr>
            <w:tcW w:w="660" w:type="dxa"/>
            <w:vAlign w:val="bottom"/>
            <w:tcBorders>
              <w:bottom w:val="single" w:sz="8" w:color="2D53A6"/>
              <w:right w:val="single" w:sz="8" w:color="2D53A6"/>
            </w:tcBorders>
          </w:tcPr>
          <w:p>
            <w:pPr>
              <w:spacing w:after="0"/>
              <w:rPr>
                <w:sz w:val="9"/>
                <w:szCs w:val="9"/>
                <w:color w:val="auto"/>
              </w:rPr>
            </w:pPr>
          </w:p>
        </w:tc>
        <w:tc>
          <w:tcPr>
            <w:tcW w:w="660" w:type="dxa"/>
            <w:vAlign w:val="bottom"/>
            <w:tcBorders>
              <w:bottom w:val="single" w:sz="8" w:color="2D53A6"/>
              <w:right w:val="single" w:sz="8" w:color="2D53A6"/>
            </w:tcBorders>
          </w:tcPr>
          <w:p>
            <w:pPr>
              <w:spacing w:after="0"/>
              <w:rPr>
                <w:sz w:val="9"/>
                <w:szCs w:val="9"/>
                <w:color w:val="auto"/>
              </w:rPr>
            </w:pPr>
          </w:p>
        </w:tc>
        <w:tc>
          <w:tcPr>
            <w:tcW w:w="880" w:type="dxa"/>
            <w:vAlign w:val="bottom"/>
            <w:tcBorders>
              <w:bottom w:val="single" w:sz="8" w:color="2D53A6"/>
            </w:tcBorders>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5560" w:type="dxa"/>
            <w:vAlign w:val="bottom"/>
            <w:tcBorders>
              <w:right w:val="single" w:sz="8" w:color="2D53A6"/>
            </w:tcBorders>
            <w:shd w:val="clear" w:color="auto" w:fill="E6E6E6"/>
          </w:tcPr>
          <w:p>
            <w:pPr>
              <w:spacing w:after="0" w:line="195" w:lineRule="exact"/>
              <w:rPr>
                <w:sz w:val="20"/>
                <w:szCs w:val="20"/>
                <w:color w:val="auto"/>
              </w:rPr>
            </w:pPr>
            <w:r>
              <w:rPr>
                <w:rFonts w:ascii="Arial" w:cs="Arial" w:eastAsia="Arial" w:hAnsi="Arial"/>
                <w:sz w:val="18"/>
                <w:szCs w:val="18"/>
                <w:b w:val="1"/>
                <w:bCs w:val="1"/>
                <w:color w:val="auto"/>
              </w:rPr>
              <w:t xml:space="preserve">Finance and Accounting </w:t>
            </w:r>
            <w:r>
              <w:rPr>
                <w:rFonts w:ascii="Arial" w:cs="Arial" w:eastAsia="Arial" w:hAnsi="Arial"/>
                <w:sz w:val="18"/>
                <w:szCs w:val="18"/>
                <w:color w:val="auto"/>
              </w:rPr>
              <w:t>– Experience as current or former public</w:t>
            </w:r>
          </w:p>
        </w:tc>
        <w:tc>
          <w:tcPr>
            <w:tcW w:w="700" w:type="dxa"/>
            <w:vAlign w:val="bottom"/>
            <w:tcBorders>
              <w:right w:val="single" w:sz="8" w:color="E6E6E6"/>
            </w:tcBorders>
            <w:shd w:val="clear" w:color="auto" w:fill="E6E6E6"/>
          </w:tcPr>
          <w:p>
            <w:pPr>
              <w:spacing w:after="0"/>
              <w:rPr>
                <w:sz w:val="16"/>
                <w:szCs w:val="16"/>
                <w:color w:val="auto"/>
              </w:rPr>
            </w:pPr>
          </w:p>
        </w:tc>
        <w:tc>
          <w:tcPr>
            <w:tcW w:w="700" w:type="dxa"/>
            <w:vAlign w:val="bottom"/>
            <w:tcBorders>
              <w:right w:val="single" w:sz="8" w:color="2D53A6"/>
            </w:tcBorders>
            <w:shd w:val="clear" w:color="auto" w:fill="E6E6E6"/>
          </w:tcPr>
          <w:p>
            <w:pPr>
              <w:spacing w:after="0"/>
              <w:rPr>
                <w:sz w:val="16"/>
                <w:szCs w:val="16"/>
                <w:color w:val="auto"/>
              </w:rPr>
            </w:pPr>
          </w:p>
        </w:tc>
        <w:tc>
          <w:tcPr>
            <w:tcW w:w="660" w:type="dxa"/>
            <w:vAlign w:val="bottom"/>
            <w:tcBorders>
              <w:right w:val="single" w:sz="8" w:color="2D53A6"/>
            </w:tcBorders>
            <w:shd w:val="clear" w:color="auto" w:fill="E6E6E6"/>
          </w:tcPr>
          <w:p>
            <w:pPr>
              <w:spacing w:after="0"/>
              <w:rPr>
                <w:sz w:val="16"/>
                <w:szCs w:val="16"/>
                <w:color w:val="auto"/>
              </w:rPr>
            </w:pPr>
          </w:p>
        </w:tc>
        <w:tc>
          <w:tcPr>
            <w:tcW w:w="700" w:type="dxa"/>
            <w:vAlign w:val="bottom"/>
            <w:tcBorders>
              <w:right w:val="single" w:sz="8" w:color="2D53A6"/>
            </w:tcBorders>
            <w:shd w:val="clear" w:color="auto" w:fill="E6E6E6"/>
          </w:tcPr>
          <w:p>
            <w:pPr>
              <w:spacing w:after="0"/>
              <w:rPr>
                <w:sz w:val="16"/>
                <w:szCs w:val="16"/>
                <w:color w:val="auto"/>
              </w:rPr>
            </w:pPr>
          </w:p>
        </w:tc>
        <w:tc>
          <w:tcPr>
            <w:tcW w:w="720" w:type="dxa"/>
            <w:vAlign w:val="bottom"/>
            <w:tcBorders>
              <w:right w:val="single" w:sz="8" w:color="2D53A6"/>
            </w:tcBorders>
            <w:shd w:val="clear" w:color="auto" w:fill="E6E6E6"/>
          </w:tcPr>
          <w:p>
            <w:pPr>
              <w:spacing w:after="0"/>
              <w:rPr>
                <w:sz w:val="16"/>
                <w:szCs w:val="16"/>
                <w:color w:val="auto"/>
              </w:rPr>
            </w:pPr>
          </w:p>
        </w:tc>
        <w:tc>
          <w:tcPr>
            <w:tcW w:w="660" w:type="dxa"/>
            <w:vAlign w:val="bottom"/>
            <w:tcBorders>
              <w:right w:val="single" w:sz="8" w:color="2D53A6"/>
            </w:tcBorders>
            <w:shd w:val="clear" w:color="auto" w:fill="E6E6E6"/>
          </w:tcPr>
          <w:p>
            <w:pPr>
              <w:spacing w:after="0"/>
              <w:rPr>
                <w:sz w:val="16"/>
                <w:szCs w:val="16"/>
                <w:color w:val="auto"/>
              </w:rPr>
            </w:pPr>
          </w:p>
        </w:tc>
        <w:tc>
          <w:tcPr>
            <w:tcW w:w="660" w:type="dxa"/>
            <w:vAlign w:val="bottom"/>
            <w:tcBorders>
              <w:right w:val="single" w:sz="8" w:color="2D53A6"/>
            </w:tcBorders>
            <w:shd w:val="clear" w:color="auto" w:fill="E6E6E6"/>
          </w:tcPr>
          <w:p>
            <w:pPr>
              <w:spacing w:after="0"/>
              <w:rPr>
                <w:sz w:val="16"/>
                <w:szCs w:val="16"/>
                <w:color w:val="auto"/>
              </w:rPr>
            </w:pPr>
          </w:p>
        </w:tc>
        <w:tc>
          <w:tcPr>
            <w:tcW w:w="880" w:type="dxa"/>
            <w:vAlign w:val="bottom"/>
            <w:shd w:val="clear" w:color="auto" w:fill="E6E6E6"/>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560" w:type="dxa"/>
            <w:vAlign w:val="bottom"/>
            <w:tcBorders>
              <w:right w:val="single" w:sz="8" w:color="2D53A6"/>
            </w:tcBorders>
            <w:shd w:val="clear" w:color="auto" w:fill="E6E6E6"/>
          </w:tcPr>
          <w:p>
            <w:pPr>
              <w:spacing w:after="0"/>
              <w:rPr>
                <w:sz w:val="20"/>
                <w:szCs w:val="20"/>
                <w:color w:val="auto"/>
              </w:rPr>
            </w:pPr>
            <w:r>
              <w:rPr>
                <w:rFonts w:ascii="Arial" w:cs="Arial" w:eastAsia="Arial" w:hAnsi="Arial"/>
                <w:sz w:val="18"/>
                <w:szCs w:val="18"/>
                <w:color w:val="auto"/>
                <w:w w:val="99"/>
              </w:rPr>
              <w:t>company executive directly responsible for accounting operations and</w:t>
            </w:r>
          </w:p>
        </w:tc>
        <w:tc>
          <w:tcPr>
            <w:tcW w:w="700" w:type="dxa"/>
            <w:vAlign w:val="bottom"/>
            <w:tcBorders>
              <w:right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2D53A6"/>
            </w:tcBorders>
            <w:shd w:val="clear" w:color="auto" w:fill="E6E6E6"/>
          </w:tcPr>
          <w:p>
            <w:pPr>
              <w:spacing w:after="0"/>
              <w:rPr>
                <w:sz w:val="18"/>
                <w:szCs w:val="18"/>
                <w:color w:val="auto"/>
              </w:rPr>
            </w:pPr>
          </w:p>
        </w:tc>
        <w:tc>
          <w:tcPr>
            <w:tcW w:w="660" w:type="dxa"/>
            <w:vAlign w:val="bottom"/>
            <w:tcBorders>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2D53A6"/>
            </w:tcBorders>
            <w:shd w:val="clear" w:color="auto" w:fill="E6E6E6"/>
          </w:tcPr>
          <w:p>
            <w:pPr>
              <w:spacing w:after="0"/>
              <w:rPr>
                <w:sz w:val="18"/>
                <w:szCs w:val="18"/>
                <w:color w:val="auto"/>
              </w:rPr>
            </w:pPr>
          </w:p>
        </w:tc>
        <w:tc>
          <w:tcPr>
            <w:tcW w:w="720" w:type="dxa"/>
            <w:vAlign w:val="bottom"/>
            <w:tcBorders>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660" w:type="dxa"/>
            <w:vAlign w:val="bottom"/>
            <w:tcBorders>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660" w:type="dxa"/>
            <w:vAlign w:val="bottom"/>
            <w:tcBorders>
              <w:right w:val="single" w:sz="8" w:color="2D53A6"/>
            </w:tcBorders>
            <w:shd w:val="clear" w:color="auto" w:fill="E6E6E6"/>
          </w:tcPr>
          <w:p>
            <w:pPr>
              <w:spacing w:after="0"/>
              <w:rPr>
                <w:sz w:val="18"/>
                <w:szCs w:val="18"/>
                <w:color w:val="auto"/>
              </w:rPr>
            </w:pPr>
          </w:p>
        </w:tc>
        <w:tc>
          <w:tcPr>
            <w:tcW w:w="88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60" w:type="dxa"/>
            <w:vAlign w:val="bottom"/>
            <w:tcBorders>
              <w:bottom w:val="single" w:sz="8" w:color="2D53A6"/>
              <w:right w:val="single" w:sz="8" w:color="2D53A6"/>
            </w:tcBorders>
            <w:shd w:val="clear" w:color="auto" w:fill="E6E6E6"/>
          </w:tcPr>
          <w:p>
            <w:pPr>
              <w:spacing w:after="0"/>
              <w:rPr>
                <w:sz w:val="20"/>
                <w:szCs w:val="20"/>
                <w:color w:val="auto"/>
              </w:rPr>
            </w:pPr>
            <w:r>
              <w:rPr>
                <w:rFonts w:ascii="Arial" w:cs="Arial" w:eastAsia="Arial" w:hAnsi="Arial"/>
                <w:sz w:val="18"/>
                <w:szCs w:val="18"/>
                <w:color w:val="auto"/>
                <w:w w:val="96"/>
              </w:rPr>
              <w:t>financial reporting with a level of complexity comparable to the company</w:t>
            </w:r>
          </w:p>
        </w:tc>
        <w:tc>
          <w:tcPr>
            <w:tcW w:w="700" w:type="dxa"/>
            <w:vAlign w:val="bottom"/>
            <w:tcBorders>
              <w:bottom w:val="single" w:sz="8" w:color="2D53A6"/>
              <w:right w:val="single" w:sz="8" w:color="E6E6E6"/>
            </w:tcBorders>
            <w:shd w:val="clear" w:color="auto" w:fill="E6E6E6"/>
          </w:tcPr>
          <w:p>
            <w:pPr>
              <w:spacing w:after="0"/>
              <w:rPr>
                <w:sz w:val="20"/>
                <w:szCs w:val="20"/>
                <w:color w:val="auto"/>
              </w:rPr>
            </w:pPr>
          </w:p>
        </w:tc>
        <w:tc>
          <w:tcPr>
            <w:tcW w:w="700" w:type="dxa"/>
            <w:vAlign w:val="bottom"/>
            <w:tcBorders>
              <w:bottom w:val="single" w:sz="8" w:color="2D53A6"/>
              <w:right w:val="single" w:sz="8" w:color="2D53A6"/>
            </w:tcBorders>
            <w:shd w:val="clear" w:color="auto" w:fill="E6E6E6"/>
          </w:tcPr>
          <w:p>
            <w:pPr>
              <w:spacing w:after="0"/>
              <w:rPr>
                <w:sz w:val="20"/>
                <w:szCs w:val="20"/>
                <w:color w:val="auto"/>
              </w:rPr>
            </w:pPr>
          </w:p>
        </w:tc>
        <w:tc>
          <w:tcPr>
            <w:tcW w:w="660" w:type="dxa"/>
            <w:vAlign w:val="bottom"/>
            <w:tcBorders>
              <w:bottom w:val="single" w:sz="8" w:color="2D53A6"/>
              <w:right w:val="single" w:sz="8" w:color="2D53A6"/>
            </w:tcBorders>
            <w:shd w:val="clear" w:color="auto" w:fill="E6E6E6"/>
          </w:tcPr>
          <w:p>
            <w:pPr>
              <w:spacing w:after="0"/>
              <w:rPr>
                <w:sz w:val="20"/>
                <w:szCs w:val="20"/>
                <w:color w:val="auto"/>
              </w:rPr>
            </w:pPr>
          </w:p>
        </w:tc>
        <w:tc>
          <w:tcPr>
            <w:tcW w:w="700" w:type="dxa"/>
            <w:vAlign w:val="bottom"/>
            <w:tcBorders>
              <w:bottom w:val="single" w:sz="8" w:color="2D53A6"/>
              <w:right w:val="single" w:sz="8" w:color="2D53A6"/>
            </w:tcBorders>
            <w:shd w:val="clear" w:color="auto" w:fill="E6E6E6"/>
          </w:tcPr>
          <w:p>
            <w:pPr>
              <w:spacing w:after="0"/>
              <w:rPr>
                <w:sz w:val="20"/>
                <w:szCs w:val="20"/>
                <w:color w:val="auto"/>
              </w:rPr>
            </w:pPr>
          </w:p>
        </w:tc>
        <w:tc>
          <w:tcPr>
            <w:tcW w:w="720" w:type="dxa"/>
            <w:vAlign w:val="bottom"/>
            <w:tcBorders>
              <w:bottom w:val="single" w:sz="8" w:color="2D53A6"/>
              <w:right w:val="single" w:sz="8" w:color="2D53A6"/>
            </w:tcBorders>
            <w:shd w:val="clear" w:color="auto" w:fill="E6E6E6"/>
          </w:tcPr>
          <w:p>
            <w:pPr>
              <w:spacing w:after="0"/>
              <w:rPr>
                <w:sz w:val="20"/>
                <w:szCs w:val="20"/>
                <w:color w:val="auto"/>
              </w:rPr>
            </w:pPr>
          </w:p>
        </w:tc>
        <w:tc>
          <w:tcPr>
            <w:tcW w:w="660" w:type="dxa"/>
            <w:vAlign w:val="bottom"/>
            <w:tcBorders>
              <w:bottom w:val="single" w:sz="8" w:color="2D53A6"/>
              <w:right w:val="single" w:sz="8" w:color="2D53A6"/>
            </w:tcBorders>
            <w:shd w:val="clear" w:color="auto" w:fill="E6E6E6"/>
          </w:tcPr>
          <w:p>
            <w:pPr>
              <w:spacing w:after="0"/>
              <w:rPr>
                <w:sz w:val="20"/>
                <w:szCs w:val="20"/>
                <w:color w:val="auto"/>
              </w:rPr>
            </w:pPr>
          </w:p>
        </w:tc>
        <w:tc>
          <w:tcPr>
            <w:tcW w:w="660" w:type="dxa"/>
            <w:vAlign w:val="bottom"/>
            <w:tcBorders>
              <w:bottom w:val="single" w:sz="8" w:color="2D53A6"/>
              <w:right w:val="single" w:sz="8" w:color="2D53A6"/>
            </w:tcBorders>
            <w:shd w:val="clear" w:color="auto" w:fill="E6E6E6"/>
          </w:tcPr>
          <w:p>
            <w:pPr>
              <w:spacing w:after="0"/>
              <w:rPr>
                <w:sz w:val="20"/>
                <w:szCs w:val="20"/>
                <w:color w:val="auto"/>
              </w:rPr>
            </w:pPr>
          </w:p>
        </w:tc>
        <w:tc>
          <w:tcPr>
            <w:tcW w:w="880" w:type="dxa"/>
            <w:vAlign w:val="bottom"/>
            <w:tcBorders>
              <w:bottom w:val="single" w:sz="8" w:color="2D53A6"/>
            </w:tcBorders>
            <w:shd w:val="clear" w:color="auto" w:fill="E6E6E6"/>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5560" w:type="dxa"/>
            <w:vAlign w:val="bottom"/>
            <w:tcBorders>
              <w:right w:val="single" w:sz="8" w:color="2D53A6"/>
            </w:tcBorders>
          </w:tcPr>
          <w:p>
            <w:pPr>
              <w:spacing w:after="0" w:line="195" w:lineRule="exact"/>
              <w:rPr>
                <w:sz w:val="20"/>
                <w:szCs w:val="20"/>
                <w:color w:val="auto"/>
              </w:rPr>
            </w:pPr>
            <w:r>
              <w:rPr>
                <w:rFonts w:ascii="Arial" w:cs="Arial" w:eastAsia="Arial" w:hAnsi="Arial"/>
                <w:sz w:val="18"/>
                <w:szCs w:val="18"/>
                <w:b w:val="1"/>
                <w:bCs w:val="1"/>
                <w:color w:val="auto"/>
              </w:rPr>
              <w:t xml:space="preserve">Operations </w:t>
            </w:r>
            <w:r>
              <w:rPr>
                <w:rFonts w:ascii="Arial" w:cs="Arial" w:eastAsia="Arial" w:hAnsi="Arial"/>
                <w:sz w:val="18"/>
                <w:szCs w:val="18"/>
                <w:color w:val="auto"/>
              </w:rPr>
              <w:t>– Experience as a current or former senior executive in</w:t>
            </w:r>
          </w:p>
        </w:tc>
        <w:tc>
          <w:tcPr>
            <w:tcW w:w="700" w:type="dxa"/>
            <w:vAlign w:val="bottom"/>
          </w:tcPr>
          <w:p>
            <w:pPr>
              <w:spacing w:after="0"/>
              <w:rPr>
                <w:sz w:val="16"/>
                <w:szCs w:val="16"/>
                <w:color w:val="auto"/>
              </w:rPr>
            </w:pPr>
          </w:p>
        </w:tc>
        <w:tc>
          <w:tcPr>
            <w:tcW w:w="700" w:type="dxa"/>
            <w:vAlign w:val="bottom"/>
            <w:tcBorders>
              <w:right w:val="single" w:sz="8" w:color="2D53A6"/>
            </w:tcBorders>
            <w:vMerge w:val="restart"/>
          </w:tcPr>
          <w:p>
            <w:pPr>
              <w:jc w:val="center"/>
              <w:spacing w:after="0"/>
              <w:rPr>
                <w:sz w:val="20"/>
                <w:szCs w:val="20"/>
                <w:color w:val="auto"/>
              </w:rPr>
            </w:pPr>
            <w:r>
              <w:rPr>
                <w:rFonts w:ascii="Arial" w:cs="Arial" w:eastAsia="Arial" w:hAnsi="Arial"/>
                <w:sz w:val="18"/>
                <w:szCs w:val="18"/>
                <w:color w:val="auto"/>
              </w:rPr>
              <w:t>√</w:t>
            </w:r>
          </w:p>
        </w:tc>
        <w:tc>
          <w:tcPr>
            <w:tcW w:w="660" w:type="dxa"/>
            <w:vAlign w:val="bottom"/>
            <w:tcBorders>
              <w:right w:val="single" w:sz="8" w:color="2D53A6"/>
            </w:tcBorders>
          </w:tcPr>
          <w:p>
            <w:pPr>
              <w:spacing w:after="0"/>
              <w:rPr>
                <w:sz w:val="16"/>
                <w:szCs w:val="16"/>
                <w:color w:val="auto"/>
              </w:rPr>
            </w:pPr>
          </w:p>
        </w:tc>
        <w:tc>
          <w:tcPr>
            <w:tcW w:w="700" w:type="dxa"/>
            <w:vAlign w:val="bottom"/>
            <w:tcBorders>
              <w:right w:val="single" w:sz="8" w:color="2D53A6"/>
            </w:tcBorders>
          </w:tcPr>
          <w:p>
            <w:pPr>
              <w:spacing w:after="0"/>
              <w:rPr>
                <w:sz w:val="16"/>
                <w:szCs w:val="16"/>
                <w:color w:val="auto"/>
              </w:rPr>
            </w:pPr>
          </w:p>
        </w:tc>
        <w:tc>
          <w:tcPr>
            <w:tcW w:w="720" w:type="dxa"/>
            <w:vAlign w:val="bottom"/>
            <w:tcBorders>
              <w:right w:val="single" w:sz="8" w:color="2D53A6"/>
            </w:tcBorders>
            <w:vMerge w:val="restart"/>
          </w:tcPr>
          <w:p>
            <w:pPr>
              <w:jc w:val="center"/>
              <w:spacing w:after="0"/>
              <w:rPr>
                <w:sz w:val="20"/>
                <w:szCs w:val="20"/>
                <w:color w:val="auto"/>
              </w:rPr>
            </w:pPr>
            <w:r>
              <w:rPr>
                <w:rFonts w:ascii="Arial" w:cs="Arial" w:eastAsia="Arial" w:hAnsi="Arial"/>
                <w:sz w:val="18"/>
                <w:szCs w:val="18"/>
                <w:color w:val="auto"/>
              </w:rPr>
              <w:t>√</w:t>
            </w:r>
          </w:p>
        </w:tc>
        <w:tc>
          <w:tcPr>
            <w:tcW w:w="660" w:type="dxa"/>
            <w:vAlign w:val="bottom"/>
            <w:tcBorders>
              <w:right w:val="single" w:sz="8" w:color="2D53A6"/>
            </w:tcBorders>
          </w:tcPr>
          <w:p>
            <w:pPr>
              <w:spacing w:after="0"/>
              <w:rPr>
                <w:sz w:val="16"/>
                <w:szCs w:val="16"/>
                <w:color w:val="auto"/>
              </w:rPr>
            </w:pPr>
          </w:p>
        </w:tc>
        <w:tc>
          <w:tcPr>
            <w:tcW w:w="660" w:type="dxa"/>
            <w:vAlign w:val="bottom"/>
            <w:tcBorders>
              <w:right w:val="single" w:sz="8" w:color="2D53A6"/>
            </w:tcBorders>
            <w:vMerge w:val="restart"/>
          </w:tcPr>
          <w:p>
            <w:pPr>
              <w:jc w:val="center"/>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5560" w:type="dxa"/>
            <w:vAlign w:val="bottom"/>
            <w:tcBorders>
              <w:right w:val="single" w:sz="8" w:color="2D53A6"/>
            </w:tcBorders>
            <w:vMerge w:val="restart"/>
          </w:tcPr>
          <w:p>
            <w:pPr>
              <w:spacing w:after="0"/>
              <w:rPr>
                <w:sz w:val="20"/>
                <w:szCs w:val="20"/>
                <w:color w:val="auto"/>
              </w:rPr>
            </w:pPr>
            <w:r>
              <w:rPr>
                <w:rFonts w:ascii="Arial" w:cs="Arial" w:eastAsia="Arial" w:hAnsi="Arial"/>
                <w:sz w:val="18"/>
                <w:szCs w:val="18"/>
                <w:color w:val="auto"/>
              </w:rPr>
              <w:t>operational roles, with complex global operations and supply chain</w:t>
            </w:r>
          </w:p>
        </w:tc>
        <w:tc>
          <w:tcPr>
            <w:tcW w:w="700" w:type="dxa"/>
            <w:vAlign w:val="bottom"/>
          </w:tcPr>
          <w:p>
            <w:pPr>
              <w:spacing w:after="0"/>
              <w:rPr>
                <w:sz w:val="10"/>
                <w:szCs w:val="10"/>
                <w:color w:val="auto"/>
              </w:rPr>
            </w:pPr>
          </w:p>
        </w:tc>
        <w:tc>
          <w:tcPr>
            <w:tcW w:w="700" w:type="dxa"/>
            <w:vAlign w:val="bottom"/>
            <w:tcBorders>
              <w:right w:val="single" w:sz="8" w:color="2D53A6"/>
            </w:tcBorders>
            <w:vMerge w:val="continue"/>
          </w:tcPr>
          <w:p>
            <w:pPr>
              <w:spacing w:after="0"/>
              <w:rPr>
                <w:sz w:val="10"/>
                <w:szCs w:val="10"/>
                <w:color w:val="auto"/>
              </w:rPr>
            </w:pPr>
          </w:p>
        </w:tc>
        <w:tc>
          <w:tcPr>
            <w:tcW w:w="660" w:type="dxa"/>
            <w:vAlign w:val="bottom"/>
            <w:tcBorders>
              <w:right w:val="single" w:sz="8" w:color="2D53A6"/>
            </w:tcBorders>
          </w:tcPr>
          <w:p>
            <w:pPr>
              <w:spacing w:after="0"/>
              <w:rPr>
                <w:sz w:val="10"/>
                <w:szCs w:val="10"/>
                <w:color w:val="auto"/>
              </w:rPr>
            </w:pPr>
          </w:p>
        </w:tc>
        <w:tc>
          <w:tcPr>
            <w:tcW w:w="700" w:type="dxa"/>
            <w:vAlign w:val="bottom"/>
            <w:tcBorders>
              <w:right w:val="single" w:sz="8" w:color="2D53A6"/>
            </w:tcBorders>
          </w:tcPr>
          <w:p>
            <w:pPr>
              <w:spacing w:after="0"/>
              <w:rPr>
                <w:sz w:val="10"/>
                <w:szCs w:val="10"/>
                <w:color w:val="auto"/>
              </w:rPr>
            </w:pPr>
          </w:p>
        </w:tc>
        <w:tc>
          <w:tcPr>
            <w:tcW w:w="720" w:type="dxa"/>
            <w:vAlign w:val="bottom"/>
            <w:tcBorders>
              <w:right w:val="single" w:sz="8" w:color="2D53A6"/>
            </w:tcBorders>
            <w:vMerge w:val="continue"/>
          </w:tcPr>
          <w:p>
            <w:pPr>
              <w:spacing w:after="0"/>
              <w:rPr>
                <w:sz w:val="10"/>
                <w:szCs w:val="10"/>
                <w:color w:val="auto"/>
              </w:rPr>
            </w:pPr>
          </w:p>
        </w:tc>
        <w:tc>
          <w:tcPr>
            <w:tcW w:w="660" w:type="dxa"/>
            <w:vAlign w:val="bottom"/>
            <w:tcBorders>
              <w:right w:val="single" w:sz="8" w:color="2D53A6"/>
            </w:tcBorders>
          </w:tcPr>
          <w:p>
            <w:pPr>
              <w:spacing w:after="0"/>
              <w:rPr>
                <w:sz w:val="10"/>
                <w:szCs w:val="10"/>
                <w:color w:val="auto"/>
              </w:rPr>
            </w:pPr>
          </w:p>
        </w:tc>
        <w:tc>
          <w:tcPr>
            <w:tcW w:w="660" w:type="dxa"/>
            <w:vAlign w:val="bottom"/>
            <w:tcBorders>
              <w:right w:val="single" w:sz="8" w:color="2D53A6"/>
            </w:tcBorders>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560" w:type="dxa"/>
            <w:vAlign w:val="bottom"/>
            <w:tcBorders>
              <w:bottom w:val="single" w:sz="8" w:color="2D53A6"/>
              <w:right w:val="single" w:sz="8" w:color="2D53A6"/>
            </w:tcBorders>
            <w:vMerge w:val="continue"/>
          </w:tcPr>
          <w:p>
            <w:pPr>
              <w:spacing w:after="0"/>
              <w:rPr>
                <w:sz w:val="9"/>
                <w:szCs w:val="9"/>
                <w:color w:val="auto"/>
              </w:rPr>
            </w:pPr>
          </w:p>
        </w:tc>
        <w:tc>
          <w:tcPr>
            <w:tcW w:w="700" w:type="dxa"/>
            <w:vAlign w:val="bottom"/>
            <w:tcBorders>
              <w:bottom w:val="single" w:sz="8" w:color="2D53A6"/>
            </w:tcBorders>
          </w:tcPr>
          <w:p>
            <w:pPr>
              <w:spacing w:after="0"/>
              <w:rPr>
                <w:sz w:val="9"/>
                <w:szCs w:val="9"/>
                <w:color w:val="auto"/>
              </w:rPr>
            </w:pPr>
          </w:p>
        </w:tc>
        <w:tc>
          <w:tcPr>
            <w:tcW w:w="700" w:type="dxa"/>
            <w:vAlign w:val="bottom"/>
            <w:tcBorders>
              <w:bottom w:val="single" w:sz="8" w:color="2D53A6"/>
              <w:right w:val="single" w:sz="8" w:color="2D53A6"/>
            </w:tcBorders>
          </w:tcPr>
          <w:p>
            <w:pPr>
              <w:spacing w:after="0"/>
              <w:rPr>
                <w:sz w:val="9"/>
                <w:szCs w:val="9"/>
                <w:color w:val="auto"/>
              </w:rPr>
            </w:pPr>
          </w:p>
        </w:tc>
        <w:tc>
          <w:tcPr>
            <w:tcW w:w="660" w:type="dxa"/>
            <w:vAlign w:val="bottom"/>
            <w:tcBorders>
              <w:bottom w:val="single" w:sz="8" w:color="2D53A6"/>
              <w:right w:val="single" w:sz="8" w:color="2D53A6"/>
            </w:tcBorders>
          </w:tcPr>
          <w:p>
            <w:pPr>
              <w:spacing w:after="0"/>
              <w:rPr>
                <w:sz w:val="9"/>
                <w:szCs w:val="9"/>
                <w:color w:val="auto"/>
              </w:rPr>
            </w:pPr>
          </w:p>
        </w:tc>
        <w:tc>
          <w:tcPr>
            <w:tcW w:w="700" w:type="dxa"/>
            <w:vAlign w:val="bottom"/>
            <w:tcBorders>
              <w:bottom w:val="single" w:sz="8" w:color="2D53A6"/>
              <w:right w:val="single" w:sz="8" w:color="2D53A6"/>
            </w:tcBorders>
          </w:tcPr>
          <w:p>
            <w:pPr>
              <w:spacing w:after="0"/>
              <w:rPr>
                <w:sz w:val="9"/>
                <w:szCs w:val="9"/>
                <w:color w:val="auto"/>
              </w:rPr>
            </w:pPr>
          </w:p>
        </w:tc>
        <w:tc>
          <w:tcPr>
            <w:tcW w:w="720" w:type="dxa"/>
            <w:vAlign w:val="bottom"/>
            <w:tcBorders>
              <w:bottom w:val="single" w:sz="8" w:color="2D53A6"/>
              <w:right w:val="single" w:sz="8" w:color="2D53A6"/>
            </w:tcBorders>
          </w:tcPr>
          <w:p>
            <w:pPr>
              <w:spacing w:after="0"/>
              <w:rPr>
                <w:sz w:val="9"/>
                <w:szCs w:val="9"/>
                <w:color w:val="auto"/>
              </w:rPr>
            </w:pPr>
          </w:p>
        </w:tc>
        <w:tc>
          <w:tcPr>
            <w:tcW w:w="660" w:type="dxa"/>
            <w:vAlign w:val="bottom"/>
            <w:tcBorders>
              <w:bottom w:val="single" w:sz="8" w:color="2D53A6"/>
              <w:right w:val="single" w:sz="8" w:color="2D53A6"/>
            </w:tcBorders>
          </w:tcPr>
          <w:p>
            <w:pPr>
              <w:spacing w:after="0"/>
              <w:rPr>
                <w:sz w:val="9"/>
                <w:szCs w:val="9"/>
                <w:color w:val="auto"/>
              </w:rPr>
            </w:pPr>
          </w:p>
        </w:tc>
        <w:tc>
          <w:tcPr>
            <w:tcW w:w="660" w:type="dxa"/>
            <w:vAlign w:val="bottom"/>
            <w:tcBorders>
              <w:bottom w:val="single" w:sz="8" w:color="2D53A6"/>
              <w:right w:val="single" w:sz="8" w:color="2D53A6"/>
            </w:tcBorders>
          </w:tcPr>
          <w:p>
            <w:pPr>
              <w:spacing w:after="0"/>
              <w:rPr>
                <w:sz w:val="9"/>
                <w:szCs w:val="9"/>
                <w:color w:val="auto"/>
              </w:rPr>
            </w:pPr>
          </w:p>
        </w:tc>
        <w:tc>
          <w:tcPr>
            <w:tcW w:w="880" w:type="dxa"/>
            <w:vAlign w:val="bottom"/>
            <w:tcBorders>
              <w:bottom w:val="single" w:sz="8" w:color="2D53A6"/>
            </w:tcBorders>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5560" w:type="dxa"/>
            <w:vAlign w:val="bottom"/>
            <w:tcBorders>
              <w:right w:val="single" w:sz="8" w:color="2D53A6"/>
            </w:tcBorders>
            <w:shd w:val="clear" w:color="auto" w:fill="E6E6E6"/>
          </w:tcPr>
          <w:p>
            <w:pPr>
              <w:spacing w:after="0" w:line="195" w:lineRule="exact"/>
              <w:rPr>
                <w:sz w:val="20"/>
                <w:szCs w:val="20"/>
                <w:color w:val="auto"/>
              </w:rPr>
            </w:pPr>
            <w:r>
              <w:rPr>
                <w:rFonts w:ascii="Arial" w:cs="Arial" w:eastAsia="Arial" w:hAnsi="Arial"/>
                <w:sz w:val="18"/>
                <w:szCs w:val="18"/>
                <w:b w:val="1"/>
                <w:bCs w:val="1"/>
                <w:color w:val="auto"/>
                <w:w w:val="99"/>
              </w:rPr>
              <w:t xml:space="preserve">Human Capital Management Experience </w:t>
            </w:r>
            <w:r>
              <w:rPr>
                <w:rFonts w:ascii="Arial" w:cs="Arial" w:eastAsia="Arial" w:hAnsi="Arial"/>
                <w:sz w:val="18"/>
                <w:szCs w:val="18"/>
                <w:color w:val="auto"/>
                <w:w w:val="99"/>
              </w:rPr>
              <w:t>– Experience serving as a</w:t>
            </w:r>
          </w:p>
        </w:tc>
        <w:tc>
          <w:tcPr>
            <w:tcW w:w="700" w:type="dxa"/>
            <w:vAlign w:val="bottom"/>
            <w:tcBorders>
              <w:right w:val="single" w:sz="8" w:color="E6E6E6"/>
            </w:tcBorders>
            <w:shd w:val="clear" w:color="auto" w:fill="E6E6E6"/>
          </w:tcPr>
          <w:p>
            <w:pPr>
              <w:spacing w:after="0"/>
              <w:rPr>
                <w:sz w:val="16"/>
                <w:szCs w:val="16"/>
                <w:color w:val="auto"/>
              </w:rPr>
            </w:pPr>
          </w:p>
        </w:tc>
        <w:tc>
          <w:tcPr>
            <w:tcW w:w="700" w:type="dxa"/>
            <w:vAlign w:val="bottom"/>
            <w:tcBorders>
              <w:right w:val="single" w:sz="8" w:color="2D53A6"/>
            </w:tcBorders>
            <w:shd w:val="clear" w:color="auto" w:fill="E6E6E6"/>
          </w:tcPr>
          <w:p>
            <w:pPr>
              <w:spacing w:after="0"/>
              <w:rPr>
                <w:sz w:val="16"/>
                <w:szCs w:val="16"/>
                <w:color w:val="auto"/>
              </w:rPr>
            </w:pPr>
          </w:p>
        </w:tc>
        <w:tc>
          <w:tcPr>
            <w:tcW w:w="660" w:type="dxa"/>
            <w:vAlign w:val="bottom"/>
            <w:tcBorders>
              <w:right w:val="single" w:sz="8" w:color="2D53A6"/>
            </w:tcBorders>
            <w:shd w:val="clear" w:color="auto" w:fill="E6E6E6"/>
          </w:tcPr>
          <w:p>
            <w:pPr>
              <w:spacing w:after="0"/>
              <w:rPr>
                <w:sz w:val="16"/>
                <w:szCs w:val="16"/>
                <w:color w:val="auto"/>
              </w:rPr>
            </w:pPr>
          </w:p>
        </w:tc>
        <w:tc>
          <w:tcPr>
            <w:tcW w:w="700" w:type="dxa"/>
            <w:vAlign w:val="bottom"/>
            <w:tcBorders>
              <w:right w:val="single" w:sz="8" w:color="2D53A6"/>
            </w:tcBorders>
            <w:shd w:val="clear" w:color="auto" w:fill="E6E6E6"/>
          </w:tcPr>
          <w:p>
            <w:pPr>
              <w:spacing w:after="0"/>
              <w:rPr>
                <w:sz w:val="16"/>
                <w:szCs w:val="16"/>
                <w:color w:val="auto"/>
              </w:rPr>
            </w:pPr>
          </w:p>
        </w:tc>
        <w:tc>
          <w:tcPr>
            <w:tcW w:w="720" w:type="dxa"/>
            <w:vAlign w:val="bottom"/>
            <w:tcBorders>
              <w:right w:val="single" w:sz="8" w:color="2D53A6"/>
            </w:tcBorders>
            <w:shd w:val="clear" w:color="auto" w:fill="E6E6E6"/>
          </w:tcPr>
          <w:p>
            <w:pPr>
              <w:spacing w:after="0"/>
              <w:rPr>
                <w:sz w:val="16"/>
                <w:szCs w:val="16"/>
                <w:color w:val="auto"/>
              </w:rPr>
            </w:pPr>
          </w:p>
        </w:tc>
        <w:tc>
          <w:tcPr>
            <w:tcW w:w="660" w:type="dxa"/>
            <w:vAlign w:val="bottom"/>
            <w:tcBorders>
              <w:right w:val="single" w:sz="8" w:color="2D53A6"/>
            </w:tcBorders>
            <w:shd w:val="clear" w:color="auto" w:fill="E6E6E6"/>
          </w:tcPr>
          <w:p>
            <w:pPr>
              <w:spacing w:after="0"/>
              <w:rPr>
                <w:sz w:val="16"/>
                <w:szCs w:val="16"/>
                <w:color w:val="auto"/>
              </w:rPr>
            </w:pPr>
          </w:p>
        </w:tc>
        <w:tc>
          <w:tcPr>
            <w:tcW w:w="660" w:type="dxa"/>
            <w:vAlign w:val="bottom"/>
            <w:tcBorders>
              <w:right w:val="single" w:sz="8" w:color="2D53A6"/>
            </w:tcBorders>
            <w:shd w:val="clear" w:color="auto" w:fill="E6E6E6"/>
          </w:tcPr>
          <w:p>
            <w:pPr>
              <w:spacing w:after="0"/>
              <w:rPr>
                <w:sz w:val="16"/>
                <w:szCs w:val="16"/>
                <w:color w:val="auto"/>
              </w:rPr>
            </w:pPr>
          </w:p>
        </w:tc>
        <w:tc>
          <w:tcPr>
            <w:tcW w:w="880" w:type="dxa"/>
            <w:vAlign w:val="bottom"/>
            <w:shd w:val="clear" w:color="auto" w:fill="E6E6E6"/>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560" w:type="dxa"/>
            <w:vAlign w:val="bottom"/>
            <w:tcBorders>
              <w:right w:val="single" w:sz="8" w:color="2D53A6"/>
            </w:tcBorders>
            <w:shd w:val="clear" w:color="auto" w:fill="E6E6E6"/>
          </w:tcPr>
          <w:p>
            <w:pPr>
              <w:spacing w:after="0"/>
              <w:rPr>
                <w:sz w:val="20"/>
                <w:szCs w:val="20"/>
                <w:color w:val="auto"/>
              </w:rPr>
            </w:pPr>
            <w:r>
              <w:rPr>
                <w:rFonts w:ascii="Arial" w:cs="Arial" w:eastAsia="Arial" w:hAnsi="Arial"/>
                <w:sz w:val="18"/>
                <w:szCs w:val="18"/>
                <w:color w:val="auto"/>
                <w:w w:val="99"/>
              </w:rPr>
              <w:t>member of the compensation committee of a public company, head of</w:t>
            </w:r>
          </w:p>
        </w:tc>
        <w:tc>
          <w:tcPr>
            <w:tcW w:w="700" w:type="dxa"/>
            <w:vAlign w:val="bottom"/>
            <w:tcBorders>
              <w:right w:val="single" w:sz="8" w:color="E6E6E6"/>
            </w:tcBorders>
            <w:shd w:val="clear" w:color="auto" w:fill="E6E6E6"/>
          </w:tcPr>
          <w:p>
            <w:pPr>
              <w:spacing w:after="0"/>
              <w:rPr>
                <w:sz w:val="18"/>
                <w:szCs w:val="18"/>
                <w:color w:val="auto"/>
              </w:rPr>
            </w:pPr>
          </w:p>
        </w:tc>
        <w:tc>
          <w:tcPr>
            <w:tcW w:w="700" w:type="dxa"/>
            <w:vAlign w:val="bottom"/>
            <w:tcBorders>
              <w:right w:val="single" w:sz="8" w:color="2D53A6"/>
            </w:tcBorders>
            <w:shd w:val="clear" w:color="auto" w:fill="E6E6E6"/>
          </w:tcPr>
          <w:p>
            <w:pPr>
              <w:spacing w:after="0"/>
              <w:rPr>
                <w:sz w:val="18"/>
                <w:szCs w:val="18"/>
                <w:color w:val="auto"/>
              </w:rPr>
            </w:pPr>
          </w:p>
        </w:tc>
        <w:tc>
          <w:tcPr>
            <w:tcW w:w="660" w:type="dxa"/>
            <w:vAlign w:val="bottom"/>
            <w:tcBorders>
              <w:right w:val="single" w:sz="8" w:color="2D53A6"/>
            </w:tcBorders>
            <w:shd w:val="clear" w:color="auto" w:fill="E6E6E6"/>
          </w:tcPr>
          <w:p>
            <w:pPr>
              <w:spacing w:after="0"/>
              <w:rPr>
                <w:sz w:val="18"/>
                <w:szCs w:val="18"/>
                <w:color w:val="auto"/>
              </w:rPr>
            </w:pPr>
          </w:p>
        </w:tc>
        <w:tc>
          <w:tcPr>
            <w:tcW w:w="700" w:type="dxa"/>
            <w:vAlign w:val="bottom"/>
            <w:tcBorders>
              <w:right w:val="single" w:sz="8" w:color="2D53A6"/>
            </w:tcBorders>
            <w:shd w:val="clear" w:color="auto" w:fill="E6E6E6"/>
          </w:tcPr>
          <w:p>
            <w:pPr>
              <w:spacing w:after="0"/>
              <w:rPr>
                <w:sz w:val="18"/>
                <w:szCs w:val="18"/>
                <w:color w:val="auto"/>
              </w:rPr>
            </w:pPr>
          </w:p>
        </w:tc>
        <w:tc>
          <w:tcPr>
            <w:tcW w:w="720" w:type="dxa"/>
            <w:vAlign w:val="bottom"/>
            <w:tcBorders>
              <w:right w:val="single" w:sz="8" w:color="2D53A6"/>
            </w:tcBorders>
            <w:shd w:val="clear" w:color="auto" w:fill="E6E6E6"/>
          </w:tcPr>
          <w:p>
            <w:pPr>
              <w:spacing w:after="0"/>
              <w:rPr>
                <w:sz w:val="18"/>
                <w:szCs w:val="18"/>
                <w:color w:val="auto"/>
              </w:rPr>
            </w:pPr>
          </w:p>
        </w:tc>
        <w:tc>
          <w:tcPr>
            <w:tcW w:w="660" w:type="dxa"/>
            <w:vAlign w:val="bottom"/>
            <w:tcBorders>
              <w:right w:val="single" w:sz="8" w:color="2D53A6"/>
            </w:tcBorders>
            <w:shd w:val="clear" w:color="auto" w:fill="E6E6E6"/>
          </w:tcPr>
          <w:p>
            <w:pPr>
              <w:spacing w:after="0"/>
              <w:rPr>
                <w:sz w:val="18"/>
                <w:szCs w:val="18"/>
                <w:color w:val="auto"/>
              </w:rPr>
            </w:pPr>
          </w:p>
        </w:tc>
        <w:tc>
          <w:tcPr>
            <w:tcW w:w="660" w:type="dxa"/>
            <w:vAlign w:val="bottom"/>
            <w:tcBorders>
              <w:right w:val="single" w:sz="8" w:color="2D53A6"/>
            </w:tcBorders>
            <w:shd w:val="clear" w:color="auto" w:fill="E6E6E6"/>
          </w:tcPr>
          <w:p>
            <w:pPr>
              <w:spacing w:after="0"/>
              <w:rPr>
                <w:sz w:val="18"/>
                <w:szCs w:val="18"/>
                <w:color w:val="auto"/>
              </w:rPr>
            </w:pPr>
          </w:p>
        </w:tc>
        <w:tc>
          <w:tcPr>
            <w:tcW w:w="88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Borders>
              <w:right w:val="single" w:sz="8" w:color="2D53A6"/>
            </w:tcBorders>
            <w:shd w:val="clear" w:color="auto" w:fill="E6E6E6"/>
          </w:tcPr>
          <w:p>
            <w:pPr>
              <w:spacing w:after="0"/>
              <w:rPr>
                <w:sz w:val="20"/>
                <w:szCs w:val="20"/>
                <w:color w:val="auto"/>
              </w:rPr>
            </w:pPr>
            <w:r>
              <w:rPr>
                <w:rFonts w:ascii="Arial" w:cs="Arial" w:eastAsia="Arial" w:hAnsi="Arial"/>
                <w:sz w:val="18"/>
                <w:szCs w:val="18"/>
                <w:color w:val="auto"/>
                <w:w w:val="92"/>
              </w:rPr>
              <w:t>human resources, or as direct manager of the head of human resources, or</w:t>
            </w:r>
          </w:p>
        </w:tc>
        <w:tc>
          <w:tcPr>
            <w:tcW w:w="700" w:type="dxa"/>
            <w:vAlign w:val="bottom"/>
            <w:tcBorders>
              <w:right w:val="single" w:sz="8" w:color="E6E6E6"/>
            </w:tcBorders>
            <w:vMerge w:val="restart"/>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2D53A6"/>
            </w:tcBorders>
            <w:vMerge w:val="restart"/>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660" w:type="dxa"/>
            <w:vAlign w:val="bottom"/>
            <w:tcBorders>
              <w:right w:val="single" w:sz="8" w:color="2D53A6"/>
            </w:tcBorders>
            <w:shd w:val="clear" w:color="auto" w:fill="E6E6E6"/>
          </w:tcPr>
          <w:p>
            <w:pPr>
              <w:spacing w:after="0"/>
              <w:rPr>
                <w:sz w:val="18"/>
                <w:szCs w:val="18"/>
                <w:color w:val="auto"/>
              </w:rPr>
            </w:pPr>
          </w:p>
        </w:tc>
        <w:tc>
          <w:tcPr>
            <w:tcW w:w="700" w:type="dxa"/>
            <w:vAlign w:val="bottom"/>
            <w:tcBorders>
              <w:right w:val="single" w:sz="8" w:color="2D53A6"/>
            </w:tcBorders>
            <w:vMerge w:val="restart"/>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2D53A6"/>
            </w:tcBorders>
            <w:vMerge w:val="restart"/>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660" w:type="dxa"/>
            <w:vAlign w:val="bottom"/>
            <w:tcBorders>
              <w:right w:val="single" w:sz="8" w:color="2D53A6"/>
            </w:tcBorders>
            <w:vMerge w:val="restart"/>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660" w:type="dxa"/>
            <w:vAlign w:val="bottom"/>
            <w:tcBorders>
              <w:right w:val="single" w:sz="8" w:color="2D53A6"/>
            </w:tcBorders>
            <w:vMerge w:val="restart"/>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5560" w:type="dxa"/>
            <w:vAlign w:val="bottom"/>
            <w:tcBorders>
              <w:right w:val="single" w:sz="8" w:color="2D53A6"/>
            </w:tcBorders>
            <w:vMerge w:val="restart"/>
            <w:shd w:val="clear" w:color="auto" w:fill="E6E6E6"/>
          </w:tcPr>
          <w:p>
            <w:pPr>
              <w:spacing w:after="0"/>
              <w:rPr>
                <w:sz w:val="20"/>
                <w:szCs w:val="20"/>
                <w:color w:val="auto"/>
              </w:rPr>
            </w:pPr>
            <w:r>
              <w:rPr>
                <w:rFonts w:ascii="Arial" w:cs="Arial" w:eastAsia="Arial" w:hAnsi="Arial"/>
                <w:sz w:val="18"/>
                <w:szCs w:val="18"/>
                <w:color w:val="auto"/>
                <w:w w:val="95"/>
              </w:rPr>
              <w:t>other experience in setting HCM policies in large organizations, including</w:t>
            </w:r>
          </w:p>
        </w:tc>
        <w:tc>
          <w:tcPr>
            <w:tcW w:w="700" w:type="dxa"/>
            <w:vAlign w:val="bottom"/>
            <w:tcBorders>
              <w:right w:val="single" w:sz="8" w:color="E6E6E6"/>
            </w:tcBorders>
            <w:vMerge w:val="continue"/>
            <w:shd w:val="clear" w:color="auto" w:fill="E6E6E6"/>
          </w:tcPr>
          <w:p>
            <w:pPr>
              <w:spacing w:after="0"/>
              <w:rPr>
                <w:sz w:val="10"/>
                <w:szCs w:val="10"/>
                <w:color w:val="auto"/>
              </w:rPr>
            </w:pPr>
          </w:p>
        </w:tc>
        <w:tc>
          <w:tcPr>
            <w:tcW w:w="700" w:type="dxa"/>
            <w:vAlign w:val="bottom"/>
            <w:tcBorders>
              <w:right w:val="single" w:sz="8" w:color="2D53A6"/>
            </w:tcBorders>
            <w:vMerge w:val="continue"/>
            <w:shd w:val="clear" w:color="auto" w:fill="E6E6E6"/>
          </w:tcPr>
          <w:p>
            <w:pPr>
              <w:spacing w:after="0"/>
              <w:rPr>
                <w:sz w:val="10"/>
                <w:szCs w:val="10"/>
                <w:color w:val="auto"/>
              </w:rPr>
            </w:pPr>
          </w:p>
        </w:tc>
        <w:tc>
          <w:tcPr>
            <w:tcW w:w="660" w:type="dxa"/>
            <w:vAlign w:val="bottom"/>
            <w:tcBorders>
              <w:right w:val="single" w:sz="8" w:color="2D53A6"/>
            </w:tcBorders>
            <w:shd w:val="clear" w:color="auto" w:fill="E6E6E6"/>
          </w:tcPr>
          <w:p>
            <w:pPr>
              <w:spacing w:after="0"/>
              <w:rPr>
                <w:sz w:val="10"/>
                <w:szCs w:val="10"/>
                <w:color w:val="auto"/>
              </w:rPr>
            </w:pPr>
          </w:p>
        </w:tc>
        <w:tc>
          <w:tcPr>
            <w:tcW w:w="700" w:type="dxa"/>
            <w:vAlign w:val="bottom"/>
            <w:tcBorders>
              <w:right w:val="single" w:sz="8" w:color="2D53A6"/>
            </w:tcBorders>
            <w:vMerge w:val="continue"/>
            <w:shd w:val="clear" w:color="auto" w:fill="E6E6E6"/>
          </w:tcPr>
          <w:p>
            <w:pPr>
              <w:spacing w:after="0"/>
              <w:rPr>
                <w:sz w:val="10"/>
                <w:szCs w:val="10"/>
                <w:color w:val="auto"/>
              </w:rPr>
            </w:pPr>
          </w:p>
        </w:tc>
        <w:tc>
          <w:tcPr>
            <w:tcW w:w="720" w:type="dxa"/>
            <w:vAlign w:val="bottom"/>
            <w:tcBorders>
              <w:right w:val="single" w:sz="8" w:color="2D53A6"/>
            </w:tcBorders>
            <w:vMerge w:val="continue"/>
            <w:shd w:val="clear" w:color="auto" w:fill="E6E6E6"/>
          </w:tcPr>
          <w:p>
            <w:pPr>
              <w:spacing w:after="0"/>
              <w:rPr>
                <w:sz w:val="10"/>
                <w:szCs w:val="10"/>
                <w:color w:val="auto"/>
              </w:rPr>
            </w:pPr>
          </w:p>
        </w:tc>
        <w:tc>
          <w:tcPr>
            <w:tcW w:w="660" w:type="dxa"/>
            <w:vAlign w:val="bottom"/>
            <w:tcBorders>
              <w:right w:val="single" w:sz="8" w:color="2D53A6"/>
            </w:tcBorders>
            <w:vMerge w:val="continue"/>
            <w:shd w:val="clear" w:color="auto" w:fill="E6E6E6"/>
          </w:tcPr>
          <w:p>
            <w:pPr>
              <w:spacing w:after="0"/>
              <w:rPr>
                <w:sz w:val="10"/>
                <w:szCs w:val="10"/>
                <w:color w:val="auto"/>
              </w:rPr>
            </w:pPr>
          </w:p>
        </w:tc>
        <w:tc>
          <w:tcPr>
            <w:tcW w:w="660" w:type="dxa"/>
            <w:vAlign w:val="bottom"/>
            <w:tcBorders>
              <w:right w:val="single" w:sz="8" w:color="2D53A6"/>
            </w:tcBorders>
            <w:vMerge w:val="continue"/>
            <w:shd w:val="clear" w:color="auto" w:fill="E6E6E6"/>
          </w:tcPr>
          <w:p>
            <w:pPr>
              <w:spacing w:after="0"/>
              <w:rPr>
                <w:sz w:val="10"/>
                <w:szCs w:val="10"/>
                <w:color w:val="auto"/>
              </w:rPr>
            </w:pPr>
          </w:p>
        </w:tc>
        <w:tc>
          <w:tcPr>
            <w:tcW w:w="880" w:type="dxa"/>
            <w:vAlign w:val="bottom"/>
            <w:vMerge w:val="continue"/>
            <w:shd w:val="clear" w:color="auto" w:fill="E6E6E6"/>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5560" w:type="dxa"/>
            <w:vAlign w:val="bottom"/>
            <w:tcBorders>
              <w:right w:val="single" w:sz="8" w:color="2D53A6"/>
            </w:tcBorders>
            <w:vMerge w:val="continue"/>
            <w:shd w:val="clear" w:color="auto" w:fill="E6E6E6"/>
          </w:tcPr>
          <w:p>
            <w:pPr>
              <w:spacing w:after="0"/>
              <w:rPr>
                <w:sz w:val="8"/>
                <w:szCs w:val="8"/>
                <w:color w:val="auto"/>
              </w:rPr>
            </w:pPr>
          </w:p>
        </w:tc>
        <w:tc>
          <w:tcPr>
            <w:tcW w:w="700" w:type="dxa"/>
            <w:vAlign w:val="bottom"/>
            <w:tcBorders>
              <w:right w:val="single" w:sz="8" w:color="E6E6E6"/>
            </w:tcBorders>
            <w:shd w:val="clear" w:color="auto" w:fill="E6E6E6"/>
          </w:tcPr>
          <w:p>
            <w:pPr>
              <w:spacing w:after="0"/>
              <w:rPr>
                <w:sz w:val="8"/>
                <w:szCs w:val="8"/>
                <w:color w:val="auto"/>
              </w:rPr>
            </w:pPr>
          </w:p>
        </w:tc>
        <w:tc>
          <w:tcPr>
            <w:tcW w:w="700" w:type="dxa"/>
            <w:vAlign w:val="bottom"/>
            <w:tcBorders>
              <w:right w:val="single" w:sz="8" w:color="2D53A6"/>
            </w:tcBorders>
            <w:shd w:val="clear" w:color="auto" w:fill="E6E6E6"/>
          </w:tcPr>
          <w:p>
            <w:pPr>
              <w:spacing w:after="0"/>
              <w:rPr>
                <w:sz w:val="8"/>
                <w:szCs w:val="8"/>
                <w:color w:val="auto"/>
              </w:rPr>
            </w:pPr>
          </w:p>
        </w:tc>
        <w:tc>
          <w:tcPr>
            <w:tcW w:w="660" w:type="dxa"/>
            <w:vAlign w:val="bottom"/>
            <w:tcBorders>
              <w:right w:val="single" w:sz="8" w:color="2D53A6"/>
            </w:tcBorders>
            <w:shd w:val="clear" w:color="auto" w:fill="E6E6E6"/>
          </w:tcPr>
          <w:p>
            <w:pPr>
              <w:spacing w:after="0"/>
              <w:rPr>
                <w:sz w:val="8"/>
                <w:szCs w:val="8"/>
                <w:color w:val="auto"/>
              </w:rPr>
            </w:pPr>
          </w:p>
        </w:tc>
        <w:tc>
          <w:tcPr>
            <w:tcW w:w="700" w:type="dxa"/>
            <w:vAlign w:val="bottom"/>
            <w:tcBorders>
              <w:right w:val="single" w:sz="8" w:color="2D53A6"/>
            </w:tcBorders>
            <w:shd w:val="clear" w:color="auto" w:fill="E6E6E6"/>
          </w:tcPr>
          <w:p>
            <w:pPr>
              <w:spacing w:after="0"/>
              <w:rPr>
                <w:sz w:val="8"/>
                <w:szCs w:val="8"/>
                <w:color w:val="auto"/>
              </w:rPr>
            </w:pPr>
          </w:p>
        </w:tc>
        <w:tc>
          <w:tcPr>
            <w:tcW w:w="720" w:type="dxa"/>
            <w:vAlign w:val="bottom"/>
            <w:tcBorders>
              <w:right w:val="single" w:sz="8" w:color="2D53A6"/>
            </w:tcBorders>
            <w:shd w:val="clear" w:color="auto" w:fill="E6E6E6"/>
          </w:tcPr>
          <w:p>
            <w:pPr>
              <w:spacing w:after="0"/>
              <w:rPr>
                <w:sz w:val="8"/>
                <w:szCs w:val="8"/>
                <w:color w:val="auto"/>
              </w:rPr>
            </w:pPr>
          </w:p>
        </w:tc>
        <w:tc>
          <w:tcPr>
            <w:tcW w:w="660" w:type="dxa"/>
            <w:vAlign w:val="bottom"/>
            <w:tcBorders>
              <w:right w:val="single" w:sz="8" w:color="2D53A6"/>
            </w:tcBorders>
            <w:shd w:val="clear" w:color="auto" w:fill="E6E6E6"/>
          </w:tcPr>
          <w:p>
            <w:pPr>
              <w:spacing w:after="0"/>
              <w:rPr>
                <w:sz w:val="8"/>
                <w:szCs w:val="8"/>
                <w:color w:val="auto"/>
              </w:rPr>
            </w:pPr>
          </w:p>
        </w:tc>
        <w:tc>
          <w:tcPr>
            <w:tcW w:w="660" w:type="dxa"/>
            <w:vAlign w:val="bottom"/>
            <w:tcBorders>
              <w:right w:val="single" w:sz="8" w:color="2D53A6"/>
            </w:tcBorders>
            <w:shd w:val="clear" w:color="auto" w:fill="E6E6E6"/>
          </w:tcPr>
          <w:p>
            <w:pPr>
              <w:spacing w:after="0"/>
              <w:rPr>
                <w:sz w:val="8"/>
                <w:szCs w:val="8"/>
                <w:color w:val="auto"/>
              </w:rPr>
            </w:pPr>
          </w:p>
        </w:tc>
        <w:tc>
          <w:tcPr>
            <w:tcW w:w="880" w:type="dxa"/>
            <w:vAlign w:val="bottom"/>
            <w:shd w:val="clear" w:color="auto" w:fill="E6E6E6"/>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560" w:type="dxa"/>
            <w:vAlign w:val="bottom"/>
            <w:tcBorders>
              <w:right w:val="single" w:sz="8" w:color="2D53A6"/>
            </w:tcBorders>
            <w:shd w:val="clear" w:color="auto" w:fill="E6E6E6"/>
          </w:tcPr>
          <w:p>
            <w:pPr>
              <w:spacing w:after="0"/>
              <w:rPr>
                <w:sz w:val="20"/>
                <w:szCs w:val="20"/>
                <w:color w:val="auto"/>
              </w:rPr>
            </w:pPr>
            <w:r>
              <w:rPr>
                <w:rFonts w:ascii="Arial" w:cs="Arial" w:eastAsia="Arial" w:hAnsi="Arial"/>
                <w:sz w:val="18"/>
                <w:szCs w:val="18"/>
                <w:color w:val="auto"/>
                <w:w w:val="92"/>
              </w:rPr>
              <w:t>recruiting, retention, compensation, organizational planning and leadership</w:t>
            </w:r>
          </w:p>
        </w:tc>
        <w:tc>
          <w:tcPr>
            <w:tcW w:w="700" w:type="dxa"/>
            <w:vAlign w:val="bottom"/>
            <w:tcBorders>
              <w:right w:val="single" w:sz="8" w:color="E6E6E6"/>
            </w:tcBorders>
            <w:shd w:val="clear" w:color="auto" w:fill="E6E6E6"/>
          </w:tcPr>
          <w:p>
            <w:pPr>
              <w:spacing w:after="0"/>
              <w:rPr>
                <w:sz w:val="18"/>
                <w:szCs w:val="18"/>
                <w:color w:val="auto"/>
              </w:rPr>
            </w:pPr>
          </w:p>
        </w:tc>
        <w:tc>
          <w:tcPr>
            <w:tcW w:w="700" w:type="dxa"/>
            <w:vAlign w:val="bottom"/>
            <w:tcBorders>
              <w:right w:val="single" w:sz="8" w:color="2D53A6"/>
            </w:tcBorders>
            <w:shd w:val="clear" w:color="auto" w:fill="E6E6E6"/>
          </w:tcPr>
          <w:p>
            <w:pPr>
              <w:spacing w:after="0"/>
              <w:rPr>
                <w:sz w:val="18"/>
                <w:szCs w:val="18"/>
                <w:color w:val="auto"/>
              </w:rPr>
            </w:pPr>
          </w:p>
        </w:tc>
        <w:tc>
          <w:tcPr>
            <w:tcW w:w="660" w:type="dxa"/>
            <w:vAlign w:val="bottom"/>
            <w:tcBorders>
              <w:right w:val="single" w:sz="8" w:color="2D53A6"/>
            </w:tcBorders>
            <w:shd w:val="clear" w:color="auto" w:fill="E6E6E6"/>
          </w:tcPr>
          <w:p>
            <w:pPr>
              <w:spacing w:after="0"/>
              <w:rPr>
                <w:sz w:val="18"/>
                <w:szCs w:val="18"/>
                <w:color w:val="auto"/>
              </w:rPr>
            </w:pPr>
          </w:p>
        </w:tc>
        <w:tc>
          <w:tcPr>
            <w:tcW w:w="700" w:type="dxa"/>
            <w:vAlign w:val="bottom"/>
            <w:tcBorders>
              <w:right w:val="single" w:sz="8" w:color="2D53A6"/>
            </w:tcBorders>
            <w:shd w:val="clear" w:color="auto" w:fill="E6E6E6"/>
          </w:tcPr>
          <w:p>
            <w:pPr>
              <w:spacing w:after="0"/>
              <w:rPr>
                <w:sz w:val="18"/>
                <w:szCs w:val="18"/>
                <w:color w:val="auto"/>
              </w:rPr>
            </w:pPr>
          </w:p>
        </w:tc>
        <w:tc>
          <w:tcPr>
            <w:tcW w:w="720" w:type="dxa"/>
            <w:vAlign w:val="bottom"/>
            <w:tcBorders>
              <w:right w:val="single" w:sz="8" w:color="2D53A6"/>
            </w:tcBorders>
            <w:shd w:val="clear" w:color="auto" w:fill="E6E6E6"/>
          </w:tcPr>
          <w:p>
            <w:pPr>
              <w:spacing w:after="0"/>
              <w:rPr>
                <w:sz w:val="18"/>
                <w:szCs w:val="18"/>
                <w:color w:val="auto"/>
              </w:rPr>
            </w:pPr>
          </w:p>
        </w:tc>
        <w:tc>
          <w:tcPr>
            <w:tcW w:w="660" w:type="dxa"/>
            <w:vAlign w:val="bottom"/>
            <w:tcBorders>
              <w:right w:val="single" w:sz="8" w:color="2D53A6"/>
            </w:tcBorders>
            <w:shd w:val="clear" w:color="auto" w:fill="E6E6E6"/>
          </w:tcPr>
          <w:p>
            <w:pPr>
              <w:spacing w:after="0"/>
              <w:rPr>
                <w:sz w:val="18"/>
                <w:szCs w:val="18"/>
                <w:color w:val="auto"/>
              </w:rPr>
            </w:pPr>
          </w:p>
        </w:tc>
        <w:tc>
          <w:tcPr>
            <w:tcW w:w="660" w:type="dxa"/>
            <w:vAlign w:val="bottom"/>
            <w:tcBorders>
              <w:right w:val="single" w:sz="8" w:color="2D53A6"/>
            </w:tcBorders>
            <w:shd w:val="clear" w:color="auto" w:fill="E6E6E6"/>
          </w:tcPr>
          <w:p>
            <w:pPr>
              <w:spacing w:after="0"/>
              <w:rPr>
                <w:sz w:val="18"/>
                <w:szCs w:val="18"/>
                <w:color w:val="auto"/>
              </w:rPr>
            </w:pPr>
          </w:p>
        </w:tc>
        <w:tc>
          <w:tcPr>
            <w:tcW w:w="88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60" w:type="dxa"/>
            <w:vAlign w:val="bottom"/>
            <w:tcBorders>
              <w:bottom w:val="single" w:sz="8" w:color="2D53A6"/>
              <w:right w:val="single" w:sz="8" w:color="2D53A6"/>
            </w:tcBorders>
            <w:shd w:val="clear" w:color="auto" w:fill="E6E6E6"/>
          </w:tcPr>
          <w:p>
            <w:pPr>
              <w:spacing w:after="0"/>
              <w:rPr>
                <w:sz w:val="20"/>
                <w:szCs w:val="20"/>
                <w:color w:val="auto"/>
              </w:rPr>
            </w:pPr>
            <w:r>
              <w:rPr>
                <w:rFonts w:ascii="Arial" w:cs="Arial" w:eastAsia="Arial" w:hAnsi="Arial"/>
                <w:sz w:val="18"/>
                <w:szCs w:val="18"/>
                <w:color w:val="auto"/>
              </w:rPr>
              <w:t>development</w:t>
            </w:r>
          </w:p>
        </w:tc>
        <w:tc>
          <w:tcPr>
            <w:tcW w:w="700" w:type="dxa"/>
            <w:vAlign w:val="bottom"/>
            <w:tcBorders>
              <w:bottom w:val="single" w:sz="8" w:color="2D53A6"/>
              <w:right w:val="single" w:sz="8" w:color="E6E6E6"/>
            </w:tcBorders>
            <w:shd w:val="clear" w:color="auto" w:fill="E6E6E6"/>
          </w:tcPr>
          <w:p>
            <w:pPr>
              <w:spacing w:after="0"/>
              <w:rPr>
                <w:sz w:val="20"/>
                <w:szCs w:val="20"/>
                <w:color w:val="auto"/>
              </w:rPr>
            </w:pPr>
          </w:p>
        </w:tc>
        <w:tc>
          <w:tcPr>
            <w:tcW w:w="700" w:type="dxa"/>
            <w:vAlign w:val="bottom"/>
            <w:tcBorders>
              <w:bottom w:val="single" w:sz="8" w:color="2D53A6"/>
              <w:right w:val="single" w:sz="8" w:color="2D53A6"/>
            </w:tcBorders>
            <w:shd w:val="clear" w:color="auto" w:fill="E6E6E6"/>
          </w:tcPr>
          <w:p>
            <w:pPr>
              <w:spacing w:after="0"/>
              <w:rPr>
                <w:sz w:val="20"/>
                <w:szCs w:val="20"/>
                <w:color w:val="auto"/>
              </w:rPr>
            </w:pPr>
          </w:p>
        </w:tc>
        <w:tc>
          <w:tcPr>
            <w:tcW w:w="660" w:type="dxa"/>
            <w:vAlign w:val="bottom"/>
            <w:tcBorders>
              <w:bottom w:val="single" w:sz="8" w:color="2D53A6"/>
              <w:right w:val="single" w:sz="8" w:color="2D53A6"/>
            </w:tcBorders>
            <w:shd w:val="clear" w:color="auto" w:fill="E6E6E6"/>
          </w:tcPr>
          <w:p>
            <w:pPr>
              <w:spacing w:after="0"/>
              <w:rPr>
                <w:sz w:val="20"/>
                <w:szCs w:val="20"/>
                <w:color w:val="auto"/>
              </w:rPr>
            </w:pPr>
          </w:p>
        </w:tc>
        <w:tc>
          <w:tcPr>
            <w:tcW w:w="700" w:type="dxa"/>
            <w:vAlign w:val="bottom"/>
            <w:tcBorders>
              <w:bottom w:val="single" w:sz="8" w:color="2D53A6"/>
              <w:right w:val="single" w:sz="8" w:color="2D53A6"/>
            </w:tcBorders>
            <w:shd w:val="clear" w:color="auto" w:fill="E6E6E6"/>
          </w:tcPr>
          <w:p>
            <w:pPr>
              <w:spacing w:after="0"/>
              <w:rPr>
                <w:sz w:val="20"/>
                <w:szCs w:val="20"/>
                <w:color w:val="auto"/>
              </w:rPr>
            </w:pPr>
          </w:p>
        </w:tc>
        <w:tc>
          <w:tcPr>
            <w:tcW w:w="720" w:type="dxa"/>
            <w:vAlign w:val="bottom"/>
            <w:tcBorders>
              <w:bottom w:val="single" w:sz="8" w:color="2D53A6"/>
              <w:right w:val="single" w:sz="8" w:color="2D53A6"/>
            </w:tcBorders>
            <w:shd w:val="clear" w:color="auto" w:fill="E6E6E6"/>
          </w:tcPr>
          <w:p>
            <w:pPr>
              <w:spacing w:after="0"/>
              <w:rPr>
                <w:sz w:val="20"/>
                <w:szCs w:val="20"/>
                <w:color w:val="auto"/>
              </w:rPr>
            </w:pPr>
          </w:p>
        </w:tc>
        <w:tc>
          <w:tcPr>
            <w:tcW w:w="660" w:type="dxa"/>
            <w:vAlign w:val="bottom"/>
            <w:tcBorders>
              <w:bottom w:val="single" w:sz="8" w:color="2D53A6"/>
              <w:right w:val="single" w:sz="8" w:color="2D53A6"/>
            </w:tcBorders>
            <w:shd w:val="clear" w:color="auto" w:fill="E6E6E6"/>
          </w:tcPr>
          <w:p>
            <w:pPr>
              <w:spacing w:after="0"/>
              <w:rPr>
                <w:sz w:val="20"/>
                <w:szCs w:val="20"/>
                <w:color w:val="auto"/>
              </w:rPr>
            </w:pPr>
          </w:p>
        </w:tc>
        <w:tc>
          <w:tcPr>
            <w:tcW w:w="660" w:type="dxa"/>
            <w:vAlign w:val="bottom"/>
            <w:tcBorders>
              <w:bottom w:val="single" w:sz="8" w:color="2D53A6"/>
              <w:right w:val="single" w:sz="8" w:color="2D53A6"/>
            </w:tcBorders>
            <w:shd w:val="clear" w:color="auto" w:fill="E6E6E6"/>
          </w:tcPr>
          <w:p>
            <w:pPr>
              <w:spacing w:after="0"/>
              <w:rPr>
                <w:sz w:val="20"/>
                <w:szCs w:val="20"/>
                <w:color w:val="auto"/>
              </w:rPr>
            </w:pPr>
          </w:p>
        </w:tc>
        <w:tc>
          <w:tcPr>
            <w:tcW w:w="880" w:type="dxa"/>
            <w:vAlign w:val="bottom"/>
            <w:tcBorders>
              <w:bottom w:val="single" w:sz="8" w:color="2D53A6"/>
            </w:tcBorders>
            <w:shd w:val="clear" w:color="auto" w:fill="E6E6E6"/>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5560" w:type="dxa"/>
            <w:vAlign w:val="bottom"/>
            <w:tcBorders>
              <w:right w:val="single" w:sz="8" w:color="2D53A6"/>
            </w:tcBorders>
          </w:tcPr>
          <w:p>
            <w:pPr>
              <w:spacing w:after="0" w:line="195" w:lineRule="exact"/>
              <w:rPr>
                <w:sz w:val="20"/>
                <w:szCs w:val="20"/>
                <w:color w:val="auto"/>
              </w:rPr>
            </w:pPr>
            <w:r>
              <w:rPr>
                <w:rFonts w:ascii="Arial" w:cs="Arial" w:eastAsia="Arial" w:hAnsi="Arial"/>
                <w:sz w:val="18"/>
                <w:szCs w:val="18"/>
                <w:b w:val="1"/>
                <w:bCs w:val="1"/>
                <w:color w:val="auto"/>
                <w:w w:val="96"/>
              </w:rPr>
              <w:t>Mergers and Acquisitions (</w:t>
            </w:r>
            <w:r>
              <w:rPr>
                <w:rFonts w:ascii="Arial" w:cs="Arial" w:eastAsia="Arial" w:hAnsi="Arial"/>
                <w:sz w:val="18"/>
                <w:szCs w:val="18"/>
                <w:color w:val="auto"/>
                <w:w w:val="96"/>
              </w:rPr>
              <w:t>“</w:t>
            </w:r>
            <w:r>
              <w:rPr>
                <w:rFonts w:ascii="Arial" w:cs="Arial" w:eastAsia="Arial" w:hAnsi="Arial"/>
                <w:sz w:val="18"/>
                <w:szCs w:val="18"/>
                <w:b w:val="1"/>
                <w:bCs w:val="1"/>
                <w:color w:val="auto"/>
                <w:w w:val="96"/>
              </w:rPr>
              <w:t>M&amp;A</w:t>
            </w:r>
            <w:r>
              <w:rPr>
                <w:rFonts w:ascii="Arial" w:cs="Arial" w:eastAsia="Arial" w:hAnsi="Arial"/>
                <w:sz w:val="18"/>
                <w:szCs w:val="18"/>
                <w:color w:val="auto"/>
                <w:w w:val="96"/>
              </w:rPr>
              <w:t>”</w:t>
            </w:r>
            <w:r>
              <w:rPr>
                <w:rFonts w:ascii="Arial" w:cs="Arial" w:eastAsia="Arial" w:hAnsi="Arial"/>
                <w:sz w:val="18"/>
                <w:szCs w:val="18"/>
                <w:b w:val="1"/>
                <w:bCs w:val="1"/>
                <w:color w:val="auto"/>
                <w:w w:val="96"/>
              </w:rPr>
              <w:t xml:space="preserve">) Experience </w:t>
            </w:r>
            <w:r>
              <w:rPr>
                <w:rFonts w:ascii="Arial" w:cs="Arial" w:eastAsia="Arial" w:hAnsi="Arial"/>
                <w:sz w:val="18"/>
                <w:szCs w:val="18"/>
                <w:color w:val="auto"/>
                <w:w w:val="96"/>
              </w:rPr>
              <w:t>– M&amp;A and integration</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2D53A6"/>
            </w:tcBorders>
            <w:vMerge w:val="restart"/>
          </w:tcPr>
          <w:p>
            <w:pPr>
              <w:jc w:val="center"/>
              <w:spacing w:after="0"/>
              <w:rPr>
                <w:sz w:val="20"/>
                <w:szCs w:val="20"/>
                <w:color w:val="auto"/>
              </w:rPr>
            </w:pPr>
            <w:r>
              <w:rPr>
                <w:rFonts w:ascii="Arial" w:cs="Arial" w:eastAsia="Arial" w:hAnsi="Arial"/>
                <w:sz w:val="18"/>
                <w:szCs w:val="18"/>
                <w:color w:val="auto"/>
              </w:rPr>
              <w:t>√</w:t>
            </w:r>
          </w:p>
        </w:tc>
        <w:tc>
          <w:tcPr>
            <w:tcW w:w="660" w:type="dxa"/>
            <w:vAlign w:val="bottom"/>
            <w:tcBorders>
              <w:right w:val="single" w:sz="8" w:color="2D53A6"/>
            </w:tcBorders>
            <w:vMerge w:val="restart"/>
          </w:tcPr>
          <w:p>
            <w:pPr>
              <w:jc w:val="center"/>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2D53A6"/>
            </w:tcBorders>
          </w:tcPr>
          <w:p>
            <w:pPr>
              <w:spacing w:after="0"/>
              <w:rPr>
                <w:sz w:val="16"/>
                <w:szCs w:val="16"/>
                <w:color w:val="auto"/>
              </w:rPr>
            </w:pPr>
          </w:p>
        </w:tc>
        <w:tc>
          <w:tcPr>
            <w:tcW w:w="720" w:type="dxa"/>
            <w:vAlign w:val="bottom"/>
            <w:tcBorders>
              <w:right w:val="single" w:sz="8" w:color="2D53A6"/>
            </w:tcBorders>
            <w:vMerge w:val="restart"/>
          </w:tcPr>
          <w:p>
            <w:pPr>
              <w:jc w:val="center"/>
              <w:spacing w:after="0"/>
              <w:rPr>
                <w:sz w:val="20"/>
                <w:szCs w:val="20"/>
                <w:color w:val="auto"/>
              </w:rPr>
            </w:pPr>
            <w:r>
              <w:rPr>
                <w:rFonts w:ascii="Arial" w:cs="Arial" w:eastAsia="Arial" w:hAnsi="Arial"/>
                <w:sz w:val="18"/>
                <w:szCs w:val="18"/>
                <w:color w:val="auto"/>
              </w:rPr>
              <w:t>√</w:t>
            </w:r>
          </w:p>
        </w:tc>
        <w:tc>
          <w:tcPr>
            <w:tcW w:w="660" w:type="dxa"/>
            <w:vAlign w:val="bottom"/>
            <w:tcBorders>
              <w:right w:val="single" w:sz="8" w:color="2D53A6"/>
            </w:tcBorders>
            <w:vMerge w:val="restart"/>
          </w:tcPr>
          <w:p>
            <w:pPr>
              <w:jc w:val="center"/>
              <w:spacing w:after="0"/>
              <w:rPr>
                <w:sz w:val="20"/>
                <w:szCs w:val="20"/>
                <w:color w:val="auto"/>
              </w:rPr>
            </w:pPr>
            <w:r>
              <w:rPr>
                <w:rFonts w:ascii="Arial" w:cs="Arial" w:eastAsia="Arial" w:hAnsi="Arial"/>
                <w:sz w:val="18"/>
                <w:szCs w:val="18"/>
                <w:color w:val="auto"/>
              </w:rPr>
              <w:t>√</w:t>
            </w:r>
          </w:p>
        </w:tc>
        <w:tc>
          <w:tcPr>
            <w:tcW w:w="660" w:type="dxa"/>
            <w:vAlign w:val="bottom"/>
            <w:tcBorders>
              <w:right w:val="single" w:sz="8" w:color="2D53A6"/>
            </w:tcBorders>
            <w:vMerge w:val="restart"/>
          </w:tcPr>
          <w:p>
            <w:pPr>
              <w:jc w:val="center"/>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5560" w:type="dxa"/>
            <w:vAlign w:val="bottom"/>
            <w:tcBorders>
              <w:right w:val="single" w:sz="8" w:color="2D53A6"/>
            </w:tcBorders>
            <w:vMerge w:val="restart"/>
          </w:tcPr>
          <w:p>
            <w:pPr>
              <w:spacing w:after="0"/>
              <w:rPr>
                <w:sz w:val="20"/>
                <w:szCs w:val="20"/>
                <w:color w:val="auto"/>
              </w:rPr>
            </w:pPr>
            <w:r>
              <w:rPr>
                <w:rFonts w:ascii="Arial" w:cs="Arial" w:eastAsia="Arial" w:hAnsi="Arial"/>
                <w:sz w:val="18"/>
                <w:szCs w:val="18"/>
                <w:color w:val="auto"/>
              </w:rPr>
              <w:t>experience (including buy- and sell-side) as a public company officer</w:t>
            </w:r>
          </w:p>
        </w:tc>
        <w:tc>
          <w:tcPr>
            <w:tcW w:w="700" w:type="dxa"/>
            <w:vAlign w:val="bottom"/>
            <w:vMerge w:val="continue"/>
          </w:tcPr>
          <w:p>
            <w:pPr>
              <w:spacing w:after="0"/>
              <w:rPr>
                <w:sz w:val="10"/>
                <w:szCs w:val="10"/>
                <w:color w:val="auto"/>
              </w:rPr>
            </w:pPr>
          </w:p>
        </w:tc>
        <w:tc>
          <w:tcPr>
            <w:tcW w:w="700" w:type="dxa"/>
            <w:vAlign w:val="bottom"/>
            <w:tcBorders>
              <w:right w:val="single" w:sz="8" w:color="2D53A6"/>
            </w:tcBorders>
            <w:vMerge w:val="continue"/>
          </w:tcPr>
          <w:p>
            <w:pPr>
              <w:spacing w:after="0"/>
              <w:rPr>
                <w:sz w:val="10"/>
                <w:szCs w:val="10"/>
                <w:color w:val="auto"/>
              </w:rPr>
            </w:pPr>
          </w:p>
        </w:tc>
        <w:tc>
          <w:tcPr>
            <w:tcW w:w="660" w:type="dxa"/>
            <w:vAlign w:val="bottom"/>
            <w:tcBorders>
              <w:right w:val="single" w:sz="8" w:color="2D53A6"/>
            </w:tcBorders>
            <w:vMerge w:val="continue"/>
          </w:tcPr>
          <w:p>
            <w:pPr>
              <w:spacing w:after="0"/>
              <w:rPr>
                <w:sz w:val="10"/>
                <w:szCs w:val="10"/>
                <w:color w:val="auto"/>
              </w:rPr>
            </w:pPr>
          </w:p>
        </w:tc>
        <w:tc>
          <w:tcPr>
            <w:tcW w:w="700" w:type="dxa"/>
            <w:vAlign w:val="bottom"/>
            <w:tcBorders>
              <w:right w:val="single" w:sz="8" w:color="2D53A6"/>
            </w:tcBorders>
          </w:tcPr>
          <w:p>
            <w:pPr>
              <w:spacing w:after="0"/>
              <w:rPr>
                <w:sz w:val="10"/>
                <w:szCs w:val="10"/>
                <w:color w:val="auto"/>
              </w:rPr>
            </w:pPr>
          </w:p>
        </w:tc>
        <w:tc>
          <w:tcPr>
            <w:tcW w:w="720" w:type="dxa"/>
            <w:vAlign w:val="bottom"/>
            <w:tcBorders>
              <w:right w:val="single" w:sz="8" w:color="2D53A6"/>
            </w:tcBorders>
            <w:vMerge w:val="continue"/>
          </w:tcPr>
          <w:p>
            <w:pPr>
              <w:spacing w:after="0"/>
              <w:rPr>
                <w:sz w:val="10"/>
                <w:szCs w:val="10"/>
                <w:color w:val="auto"/>
              </w:rPr>
            </w:pPr>
          </w:p>
        </w:tc>
        <w:tc>
          <w:tcPr>
            <w:tcW w:w="660" w:type="dxa"/>
            <w:vAlign w:val="bottom"/>
            <w:tcBorders>
              <w:right w:val="single" w:sz="8" w:color="2D53A6"/>
            </w:tcBorders>
            <w:vMerge w:val="continue"/>
          </w:tcPr>
          <w:p>
            <w:pPr>
              <w:spacing w:after="0"/>
              <w:rPr>
                <w:sz w:val="10"/>
                <w:szCs w:val="10"/>
                <w:color w:val="auto"/>
              </w:rPr>
            </w:pPr>
          </w:p>
        </w:tc>
        <w:tc>
          <w:tcPr>
            <w:tcW w:w="660" w:type="dxa"/>
            <w:vAlign w:val="bottom"/>
            <w:tcBorders>
              <w:right w:val="single" w:sz="8" w:color="2D53A6"/>
            </w:tcBorders>
            <w:vMerge w:val="continue"/>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560" w:type="dxa"/>
            <w:vAlign w:val="bottom"/>
            <w:tcBorders>
              <w:bottom w:val="single" w:sz="8" w:color="2D53A6"/>
              <w:right w:val="single" w:sz="8" w:color="2D53A6"/>
            </w:tcBorders>
            <w:vMerge w:val="continue"/>
          </w:tcPr>
          <w:p>
            <w:pPr>
              <w:spacing w:after="0"/>
              <w:rPr>
                <w:sz w:val="9"/>
                <w:szCs w:val="9"/>
                <w:color w:val="auto"/>
              </w:rPr>
            </w:pPr>
          </w:p>
        </w:tc>
        <w:tc>
          <w:tcPr>
            <w:tcW w:w="700" w:type="dxa"/>
            <w:vAlign w:val="bottom"/>
            <w:tcBorders>
              <w:bottom w:val="single" w:sz="8" w:color="2D53A6"/>
            </w:tcBorders>
          </w:tcPr>
          <w:p>
            <w:pPr>
              <w:spacing w:after="0"/>
              <w:rPr>
                <w:sz w:val="9"/>
                <w:szCs w:val="9"/>
                <w:color w:val="auto"/>
              </w:rPr>
            </w:pPr>
          </w:p>
        </w:tc>
        <w:tc>
          <w:tcPr>
            <w:tcW w:w="700" w:type="dxa"/>
            <w:vAlign w:val="bottom"/>
            <w:tcBorders>
              <w:bottom w:val="single" w:sz="8" w:color="2D53A6"/>
              <w:right w:val="single" w:sz="8" w:color="2D53A6"/>
            </w:tcBorders>
          </w:tcPr>
          <w:p>
            <w:pPr>
              <w:spacing w:after="0"/>
              <w:rPr>
                <w:sz w:val="9"/>
                <w:szCs w:val="9"/>
                <w:color w:val="auto"/>
              </w:rPr>
            </w:pPr>
          </w:p>
        </w:tc>
        <w:tc>
          <w:tcPr>
            <w:tcW w:w="660" w:type="dxa"/>
            <w:vAlign w:val="bottom"/>
            <w:tcBorders>
              <w:bottom w:val="single" w:sz="8" w:color="2D53A6"/>
              <w:right w:val="single" w:sz="8" w:color="2D53A6"/>
            </w:tcBorders>
          </w:tcPr>
          <w:p>
            <w:pPr>
              <w:spacing w:after="0"/>
              <w:rPr>
                <w:sz w:val="9"/>
                <w:szCs w:val="9"/>
                <w:color w:val="auto"/>
              </w:rPr>
            </w:pPr>
          </w:p>
        </w:tc>
        <w:tc>
          <w:tcPr>
            <w:tcW w:w="700" w:type="dxa"/>
            <w:vAlign w:val="bottom"/>
            <w:tcBorders>
              <w:bottom w:val="single" w:sz="8" w:color="2D53A6"/>
              <w:right w:val="single" w:sz="8" w:color="2D53A6"/>
            </w:tcBorders>
          </w:tcPr>
          <w:p>
            <w:pPr>
              <w:spacing w:after="0"/>
              <w:rPr>
                <w:sz w:val="9"/>
                <w:szCs w:val="9"/>
                <w:color w:val="auto"/>
              </w:rPr>
            </w:pPr>
          </w:p>
        </w:tc>
        <w:tc>
          <w:tcPr>
            <w:tcW w:w="720" w:type="dxa"/>
            <w:vAlign w:val="bottom"/>
            <w:tcBorders>
              <w:bottom w:val="single" w:sz="8" w:color="2D53A6"/>
              <w:right w:val="single" w:sz="8" w:color="2D53A6"/>
            </w:tcBorders>
          </w:tcPr>
          <w:p>
            <w:pPr>
              <w:spacing w:after="0"/>
              <w:rPr>
                <w:sz w:val="9"/>
                <w:szCs w:val="9"/>
                <w:color w:val="auto"/>
              </w:rPr>
            </w:pPr>
          </w:p>
        </w:tc>
        <w:tc>
          <w:tcPr>
            <w:tcW w:w="660" w:type="dxa"/>
            <w:vAlign w:val="bottom"/>
            <w:tcBorders>
              <w:bottom w:val="single" w:sz="8" w:color="2D53A6"/>
              <w:right w:val="single" w:sz="8" w:color="2D53A6"/>
            </w:tcBorders>
          </w:tcPr>
          <w:p>
            <w:pPr>
              <w:spacing w:after="0"/>
              <w:rPr>
                <w:sz w:val="9"/>
                <w:szCs w:val="9"/>
                <w:color w:val="auto"/>
              </w:rPr>
            </w:pPr>
          </w:p>
        </w:tc>
        <w:tc>
          <w:tcPr>
            <w:tcW w:w="660" w:type="dxa"/>
            <w:vAlign w:val="bottom"/>
            <w:tcBorders>
              <w:bottom w:val="single" w:sz="8" w:color="2D53A6"/>
              <w:right w:val="single" w:sz="8" w:color="2D53A6"/>
            </w:tcBorders>
          </w:tcPr>
          <w:p>
            <w:pPr>
              <w:spacing w:after="0"/>
              <w:rPr>
                <w:sz w:val="9"/>
                <w:szCs w:val="9"/>
                <w:color w:val="auto"/>
              </w:rPr>
            </w:pPr>
          </w:p>
        </w:tc>
        <w:tc>
          <w:tcPr>
            <w:tcW w:w="880" w:type="dxa"/>
            <w:vAlign w:val="bottom"/>
            <w:tcBorders>
              <w:bottom w:val="single" w:sz="8" w:color="2D53A6"/>
            </w:tcBorders>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5560" w:type="dxa"/>
            <w:vAlign w:val="bottom"/>
            <w:tcBorders>
              <w:right w:val="single" w:sz="8" w:color="2D53A6"/>
            </w:tcBorders>
            <w:shd w:val="clear" w:color="auto" w:fill="E6E6E6"/>
          </w:tcPr>
          <w:p>
            <w:pPr>
              <w:spacing w:after="0" w:line="195" w:lineRule="exact"/>
              <w:rPr>
                <w:sz w:val="20"/>
                <w:szCs w:val="20"/>
                <w:color w:val="auto"/>
              </w:rPr>
            </w:pPr>
            <w:r>
              <w:rPr>
                <w:rFonts w:ascii="Arial" w:cs="Arial" w:eastAsia="Arial" w:hAnsi="Arial"/>
                <w:sz w:val="18"/>
                <w:szCs w:val="18"/>
                <w:b w:val="1"/>
                <w:bCs w:val="1"/>
                <w:color w:val="auto"/>
                <w:w w:val="93"/>
              </w:rPr>
              <w:t xml:space="preserve">Risk Management Experience </w:t>
            </w:r>
            <w:r>
              <w:rPr>
                <w:rFonts w:ascii="Arial" w:cs="Arial" w:eastAsia="Arial" w:hAnsi="Arial"/>
                <w:sz w:val="18"/>
                <w:szCs w:val="18"/>
                <w:color w:val="auto"/>
                <w:w w:val="93"/>
              </w:rPr>
              <w:t>– Experience serving as a member of the</w:t>
            </w:r>
          </w:p>
        </w:tc>
        <w:tc>
          <w:tcPr>
            <w:tcW w:w="700" w:type="dxa"/>
            <w:vAlign w:val="bottom"/>
            <w:tcBorders>
              <w:right w:val="single" w:sz="8" w:color="E6E6E6"/>
            </w:tcBorders>
            <w:shd w:val="clear" w:color="auto" w:fill="E6E6E6"/>
          </w:tcPr>
          <w:p>
            <w:pPr>
              <w:spacing w:after="0"/>
              <w:rPr>
                <w:sz w:val="16"/>
                <w:szCs w:val="16"/>
                <w:color w:val="auto"/>
              </w:rPr>
            </w:pPr>
          </w:p>
        </w:tc>
        <w:tc>
          <w:tcPr>
            <w:tcW w:w="700" w:type="dxa"/>
            <w:vAlign w:val="bottom"/>
            <w:tcBorders>
              <w:right w:val="single" w:sz="8" w:color="2D53A6"/>
            </w:tcBorders>
            <w:shd w:val="clear" w:color="auto" w:fill="E6E6E6"/>
          </w:tcPr>
          <w:p>
            <w:pPr>
              <w:spacing w:after="0"/>
              <w:rPr>
                <w:sz w:val="16"/>
                <w:szCs w:val="16"/>
                <w:color w:val="auto"/>
              </w:rPr>
            </w:pPr>
          </w:p>
        </w:tc>
        <w:tc>
          <w:tcPr>
            <w:tcW w:w="660" w:type="dxa"/>
            <w:vAlign w:val="bottom"/>
            <w:tcBorders>
              <w:right w:val="single" w:sz="8" w:color="2D53A6"/>
            </w:tcBorders>
            <w:shd w:val="clear" w:color="auto" w:fill="E6E6E6"/>
          </w:tcPr>
          <w:p>
            <w:pPr>
              <w:spacing w:after="0"/>
              <w:rPr>
                <w:sz w:val="16"/>
                <w:szCs w:val="16"/>
                <w:color w:val="auto"/>
              </w:rPr>
            </w:pPr>
          </w:p>
        </w:tc>
        <w:tc>
          <w:tcPr>
            <w:tcW w:w="700" w:type="dxa"/>
            <w:vAlign w:val="bottom"/>
            <w:tcBorders>
              <w:right w:val="single" w:sz="8" w:color="2D53A6"/>
            </w:tcBorders>
            <w:shd w:val="clear" w:color="auto" w:fill="E6E6E6"/>
          </w:tcPr>
          <w:p>
            <w:pPr>
              <w:spacing w:after="0"/>
              <w:rPr>
                <w:sz w:val="16"/>
                <w:szCs w:val="16"/>
                <w:color w:val="auto"/>
              </w:rPr>
            </w:pPr>
          </w:p>
        </w:tc>
        <w:tc>
          <w:tcPr>
            <w:tcW w:w="720" w:type="dxa"/>
            <w:vAlign w:val="bottom"/>
            <w:tcBorders>
              <w:right w:val="single" w:sz="8" w:color="2D53A6"/>
            </w:tcBorders>
            <w:shd w:val="clear" w:color="auto" w:fill="E6E6E6"/>
          </w:tcPr>
          <w:p>
            <w:pPr>
              <w:spacing w:after="0"/>
              <w:rPr>
                <w:sz w:val="16"/>
                <w:szCs w:val="16"/>
                <w:color w:val="auto"/>
              </w:rPr>
            </w:pPr>
          </w:p>
        </w:tc>
        <w:tc>
          <w:tcPr>
            <w:tcW w:w="660" w:type="dxa"/>
            <w:vAlign w:val="bottom"/>
            <w:tcBorders>
              <w:right w:val="single" w:sz="8" w:color="2D53A6"/>
            </w:tcBorders>
            <w:shd w:val="clear" w:color="auto" w:fill="E6E6E6"/>
          </w:tcPr>
          <w:p>
            <w:pPr>
              <w:spacing w:after="0"/>
              <w:rPr>
                <w:sz w:val="16"/>
                <w:szCs w:val="16"/>
                <w:color w:val="auto"/>
              </w:rPr>
            </w:pPr>
          </w:p>
        </w:tc>
        <w:tc>
          <w:tcPr>
            <w:tcW w:w="660" w:type="dxa"/>
            <w:vAlign w:val="bottom"/>
            <w:tcBorders>
              <w:right w:val="single" w:sz="8" w:color="2D53A6"/>
            </w:tcBorders>
            <w:shd w:val="clear" w:color="auto" w:fill="E6E6E6"/>
          </w:tcPr>
          <w:p>
            <w:pPr>
              <w:spacing w:after="0"/>
              <w:rPr>
                <w:sz w:val="16"/>
                <w:szCs w:val="16"/>
                <w:color w:val="auto"/>
              </w:rPr>
            </w:pPr>
          </w:p>
        </w:tc>
        <w:tc>
          <w:tcPr>
            <w:tcW w:w="880" w:type="dxa"/>
            <w:vAlign w:val="bottom"/>
            <w:shd w:val="clear" w:color="auto" w:fill="E6E6E6"/>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560" w:type="dxa"/>
            <w:vAlign w:val="bottom"/>
            <w:tcBorders>
              <w:right w:val="single" w:sz="8" w:color="2D53A6"/>
            </w:tcBorders>
            <w:shd w:val="clear" w:color="auto" w:fill="E6E6E6"/>
          </w:tcPr>
          <w:p>
            <w:pPr>
              <w:spacing w:after="0"/>
              <w:rPr>
                <w:sz w:val="20"/>
                <w:szCs w:val="20"/>
                <w:color w:val="auto"/>
              </w:rPr>
            </w:pPr>
            <w:r>
              <w:rPr>
                <w:rFonts w:ascii="Arial" w:cs="Arial" w:eastAsia="Arial" w:hAnsi="Arial"/>
                <w:sz w:val="18"/>
                <w:szCs w:val="18"/>
                <w:color w:val="auto"/>
                <w:w w:val="93"/>
              </w:rPr>
              <w:t>audit committee of a public company, or directly overseeing enterprise risk</w:t>
            </w:r>
          </w:p>
        </w:tc>
        <w:tc>
          <w:tcPr>
            <w:tcW w:w="700" w:type="dxa"/>
            <w:vAlign w:val="bottom"/>
            <w:tcBorders>
              <w:right w:val="single" w:sz="8" w:color="E6E6E6"/>
            </w:tcBorders>
            <w:shd w:val="clear" w:color="auto" w:fill="E6E6E6"/>
          </w:tcPr>
          <w:p>
            <w:pPr>
              <w:spacing w:after="0"/>
              <w:rPr>
                <w:sz w:val="18"/>
                <w:szCs w:val="18"/>
                <w:color w:val="auto"/>
              </w:rPr>
            </w:pPr>
          </w:p>
        </w:tc>
        <w:tc>
          <w:tcPr>
            <w:tcW w:w="700" w:type="dxa"/>
            <w:vAlign w:val="bottom"/>
            <w:tcBorders>
              <w:right w:val="single" w:sz="8" w:color="2D53A6"/>
            </w:tcBorders>
            <w:shd w:val="clear" w:color="auto" w:fill="E6E6E6"/>
          </w:tcPr>
          <w:p>
            <w:pPr>
              <w:spacing w:after="0"/>
              <w:rPr>
                <w:sz w:val="18"/>
                <w:szCs w:val="18"/>
                <w:color w:val="auto"/>
              </w:rPr>
            </w:pPr>
          </w:p>
        </w:tc>
        <w:tc>
          <w:tcPr>
            <w:tcW w:w="660" w:type="dxa"/>
            <w:vAlign w:val="bottom"/>
            <w:tcBorders>
              <w:right w:val="single" w:sz="8" w:color="2D53A6"/>
            </w:tcBorders>
            <w:shd w:val="clear" w:color="auto" w:fill="E6E6E6"/>
          </w:tcPr>
          <w:p>
            <w:pPr>
              <w:spacing w:after="0"/>
              <w:rPr>
                <w:sz w:val="18"/>
                <w:szCs w:val="18"/>
                <w:color w:val="auto"/>
              </w:rPr>
            </w:pPr>
          </w:p>
        </w:tc>
        <w:tc>
          <w:tcPr>
            <w:tcW w:w="700" w:type="dxa"/>
            <w:vAlign w:val="bottom"/>
            <w:tcBorders>
              <w:right w:val="single" w:sz="8" w:color="2D53A6"/>
            </w:tcBorders>
            <w:shd w:val="clear" w:color="auto" w:fill="E6E6E6"/>
          </w:tcPr>
          <w:p>
            <w:pPr>
              <w:spacing w:after="0"/>
              <w:rPr>
                <w:sz w:val="18"/>
                <w:szCs w:val="18"/>
                <w:color w:val="auto"/>
              </w:rPr>
            </w:pPr>
          </w:p>
        </w:tc>
        <w:tc>
          <w:tcPr>
            <w:tcW w:w="720" w:type="dxa"/>
            <w:vAlign w:val="bottom"/>
            <w:tcBorders>
              <w:right w:val="single" w:sz="8" w:color="2D53A6"/>
            </w:tcBorders>
            <w:shd w:val="clear" w:color="auto" w:fill="E6E6E6"/>
          </w:tcPr>
          <w:p>
            <w:pPr>
              <w:spacing w:after="0"/>
              <w:rPr>
                <w:sz w:val="18"/>
                <w:szCs w:val="18"/>
                <w:color w:val="auto"/>
              </w:rPr>
            </w:pPr>
          </w:p>
        </w:tc>
        <w:tc>
          <w:tcPr>
            <w:tcW w:w="660" w:type="dxa"/>
            <w:vAlign w:val="bottom"/>
            <w:tcBorders>
              <w:right w:val="single" w:sz="8" w:color="2D53A6"/>
            </w:tcBorders>
            <w:shd w:val="clear" w:color="auto" w:fill="E6E6E6"/>
          </w:tcPr>
          <w:p>
            <w:pPr>
              <w:spacing w:after="0"/>
              <w:rPr>
                <w:sz w:val="18"/>
                <w:szCs w:val="18"/>
                <w:color w:val="auto"/>
              </w:rPr>
            </w:pPr>
          </w:p>
        </w:tc>
        <w:tc>
          <w:tcPr>
            <w:tcW w:w="660" w:type="dxa"/>
            <w:vAlign w:val="bottom"/>
            <w:tcBorders>
              <w:right w:val="single" w:sz="8" w:color="2D53A6"/>
            </w:tcBorders>
            <w:shd w:val="clear" w:color="auto" w:fill="E6E6E6"/>
          </w:tcPr>
          <w:p>
            <w:pPr>
              <w:spacing w:after="0"/>
              <w:rPr>
                <w:sz w:val="18"/>
                <w:szCs w:val="18"/>
                <w:color w:val="auto"/>
              </w:rPr>
            </w:pPr>
          </w:p>
        </w:tc>
        <w:tc>
          <w:tcPr>
            <w:tcW w:w="88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Borders>
              <w:right w:val="single" w:sz="8" w:color="2D53A6"/>
            </w:tcBorders>
            <w:shd w:val="clear" w:color="auto" w:fill="E6E6E6"/>
          </w:tcPr>
          <w:p>
            <w:pPr>
              <w:spacing w:after="0"/>
              <w:rPr>
                <w:sz w:val="20"/>
                <w:szCs w:val="20"/>
                <w:color w:val="auto"/>
              </w:rPr>
            </w:pPr>
            <w:r>
              <w:rPr>
                <w:rFonts w:ascii="Arial" w:cs="Arial" w:eastAsia="Arial" w:hAnsi="Arial"/>
                <w:sz w:val="18"/>
                <w:szCs w:val="18"/>
                <w:color w:val="auto"/>
                <w:w w:val="90"/>
              </w:rPr>
              <w:t>management or business continuity planning in a large organization, or other</w:t>
            </w:r>
          </w:p>
        </w:tc>
        <w:tc>
          <w:tcPr>
            <w:tcW w:w="700" w:type="dxa"/>
            <w:vAlign w:val="bottom"/>
            <w:tcBorders>
              <w:right w:val="single" w:sz="8" w:color="E6E6E6"/>
            </w:tcBorders>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660" w:type="dxa"/>
            <w:vAlign w:val="bottom"/>
            <w:tcBorders>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2D53A6"/>
            </w:tcBorders>
            <w:shd w:val="clear" w:color="auto" w:fill="E6E6E6"/>
          </w:tcPr>
          <w:p>
            <w:pPr>
              <w:spacing w:after="0"/>
              <w:rPr>
                <w:sz w:val="18"/>
                <w:szCs w:val="18"/>
                <w:color w:val="auto"/>
              </w:rPr>
            </w:pPr>
          </w:p>
        </w:tc>
        <w:tc>
          <w:tcPr>
            <w:tcW w:w="720" w:type="dxa"/>
            <w:vAlign w:val="bottom"/>
            <w:tcBorders>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660" w:type="dxa"/>
            <w:vAlign w:val="bottom"/>
            <w:tcBorders>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660" w:type="dxa"/>
            <w:vAlign w:val="bottom"/>
            <w:tcBorders>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880" w:type="dxa"/>
            <w:vAlign w:val="bottom"/>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60" w:type="dxa"/>
            <w:vAlign w:val="bottom"/>
            <w:tcBorders>
              <w:right w:val="single" w:sz="8" w:color="2D53A6"/>
            </w:tcBorders>
            <w:shd w:val="clear" w:color="auto" w:fill="E6E6E6"/>
          </w:tcPr>
          <w:p>
            <w:pPr>
              <w:spacing w:after="0"/>
              <w:rPr>
                <w:sz w:val="20"/>
                <w:szCs w:val="20"/>
                <w:color w:val="auto"/>
              </w:rPr>
            </w:pPr>
            <w:r>
              <w:rPr>
                <w:rFonts w:ascii="Arial" w:cs="Arial" w:eastAsia="Arial" w:hAnsi="Arial"/>
                <w:sz w:val="18"/>
                <w:szCs w:val="18"/>
                <w:color w:val="auto"/>
                <w:w w:val="91"/>
              </w:rPr>
              <w:t>experience in managing risk at the enterprise level or in a senior compliance</w:t>
            </w:r>
          </w:p>
        </w:tc>
        <w:tc>
          <w:tcPr>
            <w:tcW w:w="700" w:type="dxa"/>
            <w:vAlign w:val="bottom"/>
            <w:tcBorders>
              <w:right w:val="single" w:sz="8" w:color="E6E6E6"/>
            </w:tcBorders>
            <w:shd w:val="clear" w:color="auto" w:fill="E6E6E6"/>
          </w:tcPr>
          <w:p>
            <w:pPr>
              <w:spacing w:after="0"/>
              <w:rPr>
                <w:sz w:val="18"/>
                <w:szCs w:val="18"/>
                <w:color w:val="auto"/>
              </w:rPr>
            </w:pPr>
          </w:p>
        </w:tc>
        <w:tc>
          <w:tcPr>
            <w:tcW w:w="700" w:type="dxa"/>
            <w:vAlign w:val="bottom"/>
            <w:tcBorders>
              <w:right w:val="single" w:sz="8" w:color="2D53A6"/>
            </w:tcBorders>
            <w:shd w:val="clear" w:color="auto" w:fill="E6E6E6"/>
          </w:tcPr>
          <w:p>
            <w:pPr>
              <w:spacing w:after="0"/>
              <w:rPr>
                <w:sz w:val="18"/>
                <w:szCs w:val="18"/>
                <w:color w:val="auto"/>
              </w:rPr>
            </w:pPr>
          </w:p>
        </w:tc>
        <w:tc>
          <w:tcPr>
            <w:tcW w:w="660" w:type="dxa"/>
            <w:vAlign w:val="bottom"/>
            <w:tcBorders>
              <w:right w:val="single" w:sz="8" w:color="2D53A6"/>
            </w:tcBorders>
            <w:shd w:val="clear" w:color="auto" w:fill="E6E6E6"/>
          </w:tcPr>
          <w:p>
            <w:pPr>
              <w:spacing w:after="0"/>
              <w:rPr>
                <w:sz w:val="18"/>
                <w:szCs w:val="18"/>
                <w:color w:val="auto"/>
              </w:rPr>
            </w:pPr>
          </w:p>
        </w:tc>
        <w:tc>
          <w:tcPr>
            <w:tcW w:w="700" w:type="dxa"/>
            <w:vAlign w:val="bottom"/>
            <w:tcBorders>
              <w:right w:val="single" w:sz="8" w:color="2D53A6"/>
            </w:tcBorders>
            <w:shd w:val="clear" w:color="auto" w:fill="E6E6E6"/>
          </w:tcPr>
          <w:p>
            <w:pPr>
              <w:spacing w:after="0"/>
              <w:rPr>
                <w:sz w:val="18"/>
                <w:szCs w:val="18"/>
                <w:color w:val="auto"/>
              </w:rPr>
            </w:pPr>
          </w:p>
        </w:tc>
        <w:tc>
          <w:tcPr>
            <w:tcW w:w="720" w:type="dxa"/>
            <w:vAlign w:val="bottom"/>
            <w:tcBorders>
              <w:right w:val="single" w:sz="8" w:color="2D53A6"/>
            </w:tcBorders>
            <w:shd w:val="clear" w:color="auto" w:fill="E6E6E6"/>
          </w:tcPr>
          <w:p>
            <w:pPr>
              <w:spacing w:after="0"/>
              <w:rPr>
                <w:sz w:val="18"/>
                <w:szCs w:val="18"/>
                <w:color w:val="auto"/>
              </w:rPr>
            </w:pPr>
          </w:p>
        </w:tc>
        <w:tc>
          <w:tcPr>
            <w:tcW w:w="660" w:type="dxa"/>
            <w:vAlign w:val="bottom"/>
            <w:tcBorders>
              <w:right w:val="single" w:sz="8" w:color="2D53A6"/>
            </w:tcBorders>
            <w:shd w:val="clear" w:color="auto" w:fill="E6E6E6"/>
          </w:tcPr>
          <w:p>
            <w:pPr>
              <w:spacing w:after="0"/>
              <w:rPr>
                <w:sz w:val="18"/>
                <w:szCs w:val="18"/>
                <w:color w:val="auto"/>
              </w:rPr>
            </w:pPr>
          </w:p>
        </w:tc>
        <w:tc>
          <w:tcPr>
            <w:tcW w:w="660" w:type="dxa"/>
            <w:vAlign w:val="bottom"/>
            <w:tcBorders>
              <w:right w:val="single" w:sz="8" w:color="2D53A6"/>
            </w:tcBorders>
            <w:shd w:val="clear" w:color="auto" w:fill="E6E6E6"/>
          </w:tcPr>
          <w:p>
            <w:pPr>
              <w:spacing w:after="0"/>
              <w:rPr>
                <w:sz w:val="18"/>
                <w:szCs w:val="18"/>
                <w:color w:val="auto"/>
              </w:rPr>
            </w:pPr>
          </w:p>
        </w:tc>
        <w:tc>
          <w:tcPr>
            <w:tcW w:w="88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60" w:type="dxa"/>
            <w:vAlign w:val="bottom"/>
            <w:tcBorders>
              <w:bottom w:val="single" w:sz="8" w:color="2D53A6"/>
              <w:right w:val="single" w:sz="8" w:color="2D53A6"/>
            </w:tcBorders>
            <w:shd w:val="clear" w:color="auto" w:fill="E6E6E6"/>
          </w:tcPr>
          <w:p>
            <w:pPr>
              <w:spacing w:after="0"/>
              <w:rPr>
                <w:sz w:val="20"/>
                <w:szCs w:val="20"/>
                <w:color w:val="auto"/>
              </w:rPr>
            </w:pPr>
            <w:r>
              <w:rPr>
                <w:rFonts w:ascii="Arial" w:cs="Arial" w:eastAsia="Arial" w:hAnsi="Arial"/>
                <w:sz w:val="18"/>
                <w:szCs w:val="18"/>
                <w:color w:val="auto"/>
              </w:rPr>
              <w:t>or regulatory role</w:t>
            </w:r>
          </w:p>
        </w:tc>
        <w:tc>
          <w:tcPr>
            <w:tcW w:w="700" w:type="dxa"/>
            <w:vAlign w:val="bottom"/>
            <w:tcBorders>
              <w:bottom w:val="single" w:sz="8" w:color="2D53A6"/>
              <w:right w:val="single" w:sz="8" w:color="E6E6E6"/>
            </w:tcBorders>
            <w:shd w:val="clear" w:color="auto" w:fill="E6E6E6"/>
          </w:tcPr>
          <w:p>
            <w:pPr>
              <w:spacing w:after="0"/>
              <w:rPr>
                <w:sz w:val="20"/>
                <w:szCs w:val="20"/>
                <w:color w:val="auto"/>
              </w:rPr>
            </w:pPr>
          </w:p>
        </w:tc>
        <w:tc>
          <w:tcPr>
            <w:tcW w:w="700" w:type="dxa"/>
            <w:vAlign w:val="bottom"/>
            <w:tcBorders>
              <w:bottom w:val="single" w:sz="8" w:color="2D53A6"/>
              <w:right w:val="single" w:sz="8" w:color="2D53A6"/>
            </w:tcBorders>
            <w:shd w:val="clear" w:color="auto" w:fill="E6E6E6"/>
          </w:tcPr>
          <w:p>
            <w:pPr>
              <w:spacing w:after="0"/>
              <w:rPr>
                <w:sz w:val="20"/>
                <w:szCs w:val="20"/>
                <w:color w:val="auto"/>
              </w:rPr>
            </w:pPr>
          </w:p>
        </w:tc>
        <w:tc>
          <w:tcPr>
            <w:tcW w:w="660" w:type="dxa"/>
            <w:vAlign w:val="bottom"/>
            <w:tcBorders>
              <w:bottom w:val="single" w:sz="8" w:color="2D53A6"/>
              <w:right w:val="single" w:sz="8" w:color="2D53A6"/>
            </w:tcBorders>
            <w:shd w:val="clear" w:color="auto" w:fill="E6E6E6"/>
          </w:tcPr>
          <w:p>
            <w:pPr>
              <w:spacing w:after="0"/>
              <w:rPr>
                <w:sz w:val="20"/>
                <w:szCs w:val="20"/>
                <w:color w:val="auto"/>
              </w:rPr>
            </w:pPr>
          </w:p>
        </w:tc>
        <w:tc>
          <w:tcPr>
            <w:tcW w:w="700" w:type="dxa"/>
            <w:vAlign w:val="bottom"/>
            <w:tcBorders>
              <w:bottom w:val="single" w:sz="8" w:color="2D53A6"/>
              <w:right w:val="single" w:sz="8" w:color="2D53A6"/>
            </w:tcBorders>
            <w:shd w:val="clear" w:color="auto" w:fill="E6E6E6"/>
          </w:tcPr>
          <w:p>
            <w:pPr>
              <w:spacing w:after="0"/>
              <w:rPr>
                <w:sz w:val="20"/>
                <w:szCs w:val="20"/>
                <w:color w:val="auto"/>
              </w:rPr>
            </w:pPr>
          </w:p>
        </w:tc>
        <w:tc>
          <w:tcPr>
            <w:tcW w:w="720" w:type="dxa"/>
            <w:vAlign w:val="bottom"/>
            <w:tcBorders>
              <w:bottom w:val="single" w:sz="8" w:color="2D53A6"/>
              <w:right w:val="single" w:sz="8" w:color="2D53A6"/>
            </w:tcBorders>
            <w:shd w:val="clear" w:color="auto" w:fill="E6E6E6"/>
          </w:tcPr>
          <w:p>
            <w:pPr>
              <w:spacing w:after="0"/>
              <w:rPr>
                <w:sz w:val="20"/>
                <w:szCs w:val="20"/>
                <w:color w:val="auto"/>
              </w:rPr>
            </w:pPr>
          </w:p>
        </w:tc>
        <w:tc>
          <w:tcPr>
            <w:tcW w:w="660" w:type="dxa"/>
            <w:vAlign w:val="bottom"/>
            <w:tcBorders>
              <w:bottom w:val="single" w:sz="8" w:color="2D53A6"/>
              <w:right w:val="single" w:sz="8" w:color="2D53A6"/>
            </w:tcBorders>
            <w:shd w:val="clear" w:color="auto" w:fill="E6E6E6"/>
          </w:tcPr>
          <w:p>
            <w:pPr>
              <w:spacing w:after="0"/>
              <w:rPr>
                <w:sz w:val="20"/>
                <w:szCs w:val="20"/>
                <w:color w:val="auto"/>
              </w:rPr>
            </w:pPr>
          </w:p>
        </w:tc>
        <w:tc>
          <w:tcPr>
            <w:tcW w:w="660" w:type="dxa"/>
            <w:vAlign w:val="bottom"/>
            <w:tcBorders>
              <w:bottom w:val="single" w:sz="8" w:color="2D53A6"/>
              <w:right w:val="single" w:sz="8" w:color="2D53A6"/>
            </w:tcBorders>
            <w:shd w:val="clear" w:color="auto" w:fill="E6E6E6"/>
          </w:tcPr>
          <w:p>
            <w:pPr>
              <w:spacing w:after="0"/>
              <w:rPr>
                <w:sz w:val="20"/>
                <w:szCs w:val="20"/>
                <w:color w:val="auto"/>
              </w:rPr>
            </w:pPr>
          </w:p>
        </w:tc>
        <w:tc>
          <w:tcPr>
            <w:tcW w:w="880" w:type="dxa"/>
            <w:vAlign w:val="bottom"/>
            <w:tcBorders>
              <w:bottom w:val="single" w:sz="8" w:color="2D53A6"/>
            </w:tcBorders>
            <w:shd w:val="clear" w:color="auto" w:fill="E6E6E6"/>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560" w:type="dxa"/>
            <w:vAlign w:val="bottom"/>
            <w:tcBorders>
              <w:right w:val="single" w:sz="8" w:color="2D53A6"/>
            </w:tcBorders>
            <w:shd w:val="clear" w:color="auto" w:fill="2D53A6"/>
          </w:tcPr>
          <w:p>
            <w:pPr>
              <w:spacing w:after="0"/>
              <w:rPr>
                <w:sz w:val="20"/>
                <w:szCs w:val="20"/>
                <w:color w:val="auto"/>
              </w:rPr>
            </w:pPr>
            <w:r>
              <w:rPr>
                <w:rFonts w:ascii="Arial" w:cs="Arial" w:eastAsia="Arial" w:hAnsi="Arial"/>
                <w:sz w:val="18"/>
                <w:szCs w:val="18"/>
                <w:b w:val="1"/>
                <w:bCs w:val="1"/>
                <w:color w:val="FFFFFF"/>
              </w:rPr>
              <w:t>Additional Qualifications and Information</w:t>
            </w:r>
          </w:p>
        </w:tc>
        <w:tc>
          <w:tcPr>
            <w:tcW w:w="700" w:type="dxa"/>
            <w:vAlign w:val="bottom"/>
            <w:tcBorders>
              <w:right w:val="single" w:sz="8" w:color="2D53A6"/>
            </w:tcBorders>
            <w:shd w:val="clear" w:color="auto" w:fill="2D53A6"/>
          </w:tcPr>
          <w:p>
            <w:pPr>
              <w:spacing w:after="0"/>
              <w:rPr>
                <w:sz w:val="21"/>
                <w:szCs w:val="21"/>
                <w:color w:val="auto"/>
              </w:rPr>
            </w:pPr>
          </w:p>
        </w:tc>
        <w:tc>
          <w:tcPr>
            <w:tcW w:w="700" w:type="dxa"/>
            <w:vAlign w:val="bottom"/>
            <w:tcBorders>
              <w:right w:val="single" w:sz="8" w:color="2D53A6"/>
            </w:tcBorders>
            <w:shd w:val="clear" w:color="auto" w:fill="2D53A6"/>
          </w:tcPr>
          <w:p>
            <w:pPr>
              <w:spacing w:after="0"/>
              <w:rPr>
                <w:sz w:val="21"/>
                <w:szCs w:val="21"/>
                <w:color w:val="auto"/>
              </w:rPr>
            </w:pPr>
          </w:p>
        </w:tc>
        <w:tc>
          <w:tcPr>
            <w:tcW w:w="660" w:type="dxa"/>
            <w:vAlign w:val="bottom"/>
            <w:tcBorders>
              <w:right w:val="single" w:sz="8" w:color="2D53A6"/>
            </w:tcBorders>
            <w:shd w:val="clear" w:color="auto" w:fill="2D53A6"/>
          </w:tcPr>
          <w:p>
            <w:pPr>
              <w:spacing w:after="0"/>
              <w:rPr>
                <w:sz w:val="21"/>
                <w:szCs w:val="21"/>
                <w:color w:val="auto"/>
              </w:rPr>
            </w:pPr>
          </w:p>
        </w:tc>
        <w:tc>
          <w:tcPr>
            <w:tcW w:w="700" w:type="dxa"/>
            <w:vAlign w:val="bottom"/>
            <w:tcBorders>
              <w:right w:val="single" w:sz="8" w:color="2D53A6"/>
            </w:tcBorders>
            <w:shd w:val="clear" w:color="auto" w:fill="2D53A6"/>
          </w:tcPr>
          <w:p>
            <w:pPr>
              <w:spacing w:after="0"/>
              <w:rPr>
                <w:sz w:val="21"/>
                <w:szCs w:val="21"/>
                <w:color w:val="auto"/>
              </w:rPr>
            </w:pPr>
          </w:p>
        </w:tc>
        <w:tc>
          <w:tcPr>
            <w:tcW w:w="720" w:type="dxa"/>
            <w:vAlign w:val="bottom"/>
            <w:tcBorders>
              <w:right w:val="single" w:sz="8" w:color="2D53A6"/>
            </w:tcBorders>
            <w:shd w:val="clear" w:color="auto" w:fill="2D53A6"/>
          </w:tcPr>
          <w:p>
            <w:pPr>
              <w:spacing w:after="0"/>
              <w:rPr>
                <w:sz w:val="21"/>
                <w:szCs w:val="21"/>
                <w:color w:val="auto"/>
              </w:rPr>
            </w:pPr>
          </w:p>
        </w:tc>
        <w:tc>
          <w:tcPr>
            <w:tcW w:w="660" w:type="dxa"/>
            <w:vAlign w:val="bottom"/>
            <w:tcBorders>
              <w:right w:val="single" w:sz="8" w:color="2D53A6"/>
            </w:tcBorders>
            <w:shd w:val="clear" w:color="auto" w:fill="2D53A6"/>
          </w:tcPr>
          <w:p>
            <w:pPr>
              <w:spacing w:after="0"/>
              <w:rPr>
                <w:sz w:val="21"/>
                <w:szCs w:val="21"/>
                <w:color w:val="auto"/>
              </w:rPr>
            </w:pPr>
          </w:p>
        </w:tc>
        <w:tc>
          <w:tcPr>
            <w:tcW w:w="660" w:type="dxa"/>
            <w:vAlign w:val="bottom"/>
            <w:tcBorders>
              <w:right w:val="single" w:sz="8" w:color="2D53A6"/>
            </w:tcBorders>
            <w:shd w:val="clear" w:color="auto" w:fill="2D53A6"/>
          </w:tcPr>
          <w:p>
            <w:pPr>
              <w:spacing w:after="0"/>
              <w:rPr>
                <w:sz w:val="21"/>
                <w:szCs w:val="21"/>
                <w:color w:val="auto"/>
              </w:rPr>
            </w:pPr>
          </w:p>
        </w:tc>
        <w:tc>
          <w:tcPr>
            <w:tcW w:w="880" w:type="dxa"/>
            <w:vAlign w:val="bottom"/>
            <w:shd w:val="clear" w:color="auto" w:fill="2D53A6"/>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560" w:type="dxa"/>
            <w:vAlign w:val="bottom"/>
            <w:tcBorders>
              <w:bottom w:val="single" w:sz="8" w:color="2D53A6"/>
              <w:right w:val="single" w:sz="8" w:color="2D53A6"/>
            </w:tcBorders>
          </w:tcPr>
          <w:p>
            <w:pPr>
              <w:spacing w:after="0" w:line="216" w:lineRule="exact"/>
              <w:rPr>
                <w:sz w:val="20"/>
                <w:szCs w:val="20"/>
                <w:color w:val="auto"/>
              </w:rPr>
            </w:pPr>
            <w:r>
              <w:rPr>
                <w:rFonts w:ascii="Arial" w:cs="Arial" w:eastAsia="Arial" w:hAnsi="Arial"/>
                <w:sz w:val="16"/>
                <w:szCs w:val="16"/>
                <w:b w:val="1"/>
                <w:bCs w:val="1"/>
                <w:color w:val="auto"/>
              </w:rPr>
              <w:t xml:space="preserve">Tenure on Cohu Board (years) </w:t>
            </w:r>
            <w:r>
              <w:rPr>
                <w:rFonts w:ascii="Arial" w:cs="Arial" w:eastAsia="Arial" w:hAnsi="Arial"/>
                <w:sz w:val="25"/>
                <w:szCs w:val="25"/>
                <w:b w:val="1"/>
                <w:bCs w:val="1"/>
                <w:color w:val="auto"/>
                <w:vertAlign w:val="superscript"/>
              </w:rPr>
              <w:t>(2)</w:t>
            </w:r>
          </w:p>
        </w:tc>
        <w:tc>
          <w:tcPr>
            <w:tcW w:w="70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89"/>
              </w:rPr>
              <w:t>11</w:t>
            </w:r>
          </w:p>
        </w:tc>
        <w:tc>
          <w:tcPr>
            <w:tcW w:w="70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89"/>
              </w:rPr>
              <w:t>13</w:t>
            </w:r>
          </w:p>
        </w:tc>
        <w:tc>
          <w:tcPr>
            <w:tcW w:w="66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9"/>
              </w:rPr>
              <w:t>8</w:t>
            </w:r>
          </w:p>
        </w:tc>
        <w:tc>
          <w:tcPr>
            <w:tcW w:w="70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9"/>
              </w:rPr>
              <w:t>3</w:t>
            </w:r>
          </w:p>
        </w:tc>
        <w:tc>
          <w:tcPr>
            <w:tcW w:w="72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89"/>
              </w:rPr>
              <w:t>23</w:t>
            </w:r>
          </w:p>
        </w:tc>
        <w:tc>
          <w:tcPr>
            <w:tcW w:w="66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9"/>
              </w:rPr>
              <w:t>1</w:t>
            </w:r>
          </w:p>
        </w:tc>
        <w:tc>
          <w:tcPr>
            <w:tcW w:w="66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9"/>
              </w:rPr>
              <w:t>8</w:t>
            </w:r>
          </w:p>
        </w:tc>
        <w:tc>
          <w:tcPr>
            <w:tcW w:w="880" w:type="dxa"/>
            <w:vAlign w:val="bottom"/>
            <w:tcBorders>
              <w:bottom w:val="single" w:sz="8" w:color="2D53A6"/>
            </w:tcBorders>
          </w:tcPr>
          <w:p>
            <w:pPr>
              <w:jc w:val="center"/>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10"/>
        </w:trPr>
        <w:tc>
          <w:tcPr>
            <w:tcW w:w="5560" w:type="dxa"/>
            <w:vAlign w:val="bottom"/>
            <w:tcBorders>
              <w:bottom w:val="single" w:sz="8" w:color="2D53A6"/>
              <w:right w:val="single" w:sz="8" w:color="2D53A6"/>
            </w:tcBorders>
            <w:shd w:val="clear" w:color="auto" w:fill="E6E6E6"/>
          </w:tcPr>
          <w:p>
            <w:pPr>
              <w:spacing w:after="0" w:line="210" w:lineRule="exact"/>
              <w:rPr>
                <w:sz w:val="20"/>
                <w:szCs w:val="20"/>
                <w:color w:val="auto"/>
              </w:rPr>
            </w:pPr>
            <w:r>
              <w:rPr>
                <w:rFonts w:ascii="Arial" w:cs="Arial" w:eastAsia="Arial" w:hAnsi="Arial"/>
                <w:sz w:val="15"/>
                <w:szCs w:val="15"/>
                <w:b w:val="1"/>
                <w:bCs w:val="1"/>
                <w:color w:val="auto"/>
              </w:rPr>
              <w:t xml:space="preserve">Other Current Public Company Boards </w:t>
            </w:r>
            <w:r>
              <w:rPr>
                <w:rFonts w:ascii="Arial" w:cs="Arial" w:eastAsia="Arial" w:hAnsi="Arial"/>
                <w:sz w:val="24"/>
                <w:szCs w:val="24"/>
                <w:b w:val="1"/>
                <w:bCs w:val="1"/>
                <w:color w:val="auto"/>
                <w:vertAlign w:val="superscript"/>
              </w:rPr>
              <w:t>(3)</w:t>
            </w:r>
          </w:p>
        </w:tc>
        <w:tc>
          <w:tcPr>
            <w:tcW w:w="700" w:type="dxa"/>
            <w:vAlign w:val="bottom"/>
            <w:tcBorders>
              <w:bottom w:val="single" w:sz="8" w:color="2D53A6"/>
              <w:right w:val="single" w:sz="8" w:color="2D53A6"/>
            </w:tcBorders>
            <w:shd w:val="clear" w:color="auto" w:fill="E6E6E6"/>
          </w:tcPr>
          <w:p>
            <w:pPr>
              <w:spacing w:after="0"/>
              <w:rPr>
                <w:sz w:val="18"/>
                <w:szCs w:val="18"/>
                <w:color w:val="auto"/>
              </w:rPr>
            </w:pPr>
          </w:p>
        </w:tc>
        <w:tc>
          <w:tcPr>
            <w:tcW w:w="700" w:type="dxa"/>
            <w:vAlign w:val="bottom"/>
            <w:tcBorders>
              <w:bottom w:val="single" w:sz="8" w:color="2D53A6"/>
              <w:right w:val="single" w:sz="8" w:color="2D53A6"/>
            </w:tcBorders>
            <w:shd w:val="clear" w:color="auto" w:fill="E6E6E6"/>
          </w:tcPr>
          <w:p>
            <w:pPr>
              <w:spacing w:after="0"/>
              <w:rPr>
                <w:sz w:val="18"/>
                <w:szCs w:val="18"/>
                <w:color w:val="auto"/>
              </w:rPr>
            </w:pPr>
          </w:p>
        </w:tc>
        <w:tc>
          <w:tcPr>
            <w:tcW w:w="660" w:type="dxa"/>
            <w:vAlign w:val="bottom"/>
            <w:tcBorders>
              <w:bottom w:val="single" w:sz="8" w:color="2D53A6"/>
              <w:right w:val="single" w:sz="8" w:color="2D53A6"/>
            </w:tcBorders>
            <w:shd w:val="clear" w:color="auto" w:fill="E6E6E6"/>
          </w:tcPr>
          <w:p>
            <w:pPr>
              <w:spacing w:after="0"/>
              <w:rPr>
                <w:sz w:val="18"/>
                <w:szCs w:val="18"/>
                <w:color w:val="auto"/>
              </w:rPr>
            </w:pPr>
          </w:p>
        </w:tc>
        <w:tc>
          <w:tcPr>
            <w:tcW w:w="700" w:type="dxa"/>
            <w:vAlign w:val="bottom"/>
            <w:tcBorders>
              <w:bottom w:val="single" w:sz="8" w:color="2D53A6"/>
              <w:right w:val="single" w:sz="8" w:color="2D53A6"/>
            </w:tcBorders>
            <w:shd w:val="clear" w:color="auto" w:fill="E6E6E6"/>
          </w:tcPr>
          <w:p>
            <w:pPr>
              <w:spacing w:after="0"/>
              <w:rPr>
                <w:sz w:val="18"/>
                <w:szCs w:val="18"/>
                <w:color w:val="auto"/>
              </w:rPr>
            </w:pPr>
          </w:p>
        </w:tc>
        <w:tc>
          <w:tcPr>
            <w:tcW w:w="720" w:type="dxa"/>
            <w:vAlign w:val="bottom"/>
            <w:tcBorders>
              <w:bottom w:val="single" w:sz="8" w:color="2D53A6"/>
              <w:right w:val="single" w:sz="8" w:color="2D53A6"/>
            </w:tcBorders>
            <w:shd w:val="clear" w:color="auto" w:fill="E6E6E6"/>
          </w:tcPr>
          <w:p>
            <w:pPr>
              <w:spacing w:after="0"/>
              <w:rPr>
                <w:sz w:val="18"/>
                <w:szCs w:val="18"/>
                <w:color w:val="auto"/>
              </w:rPr>
            </w:pPr>
          </w:p>
        </w:tc>
        <w:tc>
          <w:tcPr>
            <w:tcW w:w="66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9"/>
              </w:rPr>
              <w:t>2</w:t>
            </w:r>
          </w:p>
        </w:tc>
        <w:tc>
          <w:tcPr>
            <w:tcW w:w="66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9"/>
              </w:rPr>
              <w:t>1</w:t>
            </w:r>
          </w:p>
        </w:tc>
        <w:tc>
          <w:tcPr>
            <w:tcW w:w="880" w:type="dxa"/>
            <w:vAlign w:val="bottom"/>
            <w:tcBorders>
              <w:bottom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4159885</wp:posOffset>
            </wp:positionH>
            <wp:positionV relativeFrom="page">
              <wp:posOffset>380365</wp:posOffset>
            </wp:positionV>
            <wp:extent cx="8890" cy="44919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890" cy="4491990"/>
                    </a:xfrm>
                    <a:prstGeom prst="rect">
                      <a:avLst/>
                    </a:prstGeom>
                    <a:noFill/>
                  </pic:spPr>
                </pic:pic>
              </a:graphicData>
            </a:graphic>
          </wp:anchor>
        </w:drawing>
      </w: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Ms. Camp is not standing for re-election and her term will expire as of the meeting date.</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Measured as of 2022 annual meeting.</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 of March 15, 2022.</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5" w:right="339" w:bottom="1440" w:gutter="0" w:footer="0" w:header="0"/>
        </w:sectPr>
      </w:pPr>
    </w:p>
    <w:bookmarkStart w:id="11" w:name="page12"/>
    <w:bookmarkEnd w:id="11"/>
    <w:p>
      <w:pPr>
        <w:spacing w:after="0"/>
        <w:rPr>
          <w:sz w:val="20"/>
          <w:szCs w:val="20"/>
          <w:color w:val="auto"/>
        </w:rPr>
      </w:pPr>
      <w:r>
        <w:rPr>
          <w:rFonts w:ascii="Arial" w:cs="Arial" w:eastAsia="Arial" w:hAnsi="Arial"/>
          <w:sz w:val="22"/>
          <w:szCs w:val="22"/>
          <w:b w:val="1"/>
          <w:bCs w:val="1"/>
          <w:color w:val="2D53A6"/>
        </w:rPr>
        <w:t>Director Demographic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0629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0629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FFFFFF"/>
        </w:rPr>
        <w:t>Cohu is committed to diversity, equity, inclusion and full compliance with</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FFFFFF"/>
        </w:rPr>
        <w:t>applicable laws and regulations governing employment.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FFFFFF"/>
        </w:rPr>
        <w:t>We endeavor to create a culture where everyone feels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FFFFFF"/>
        </w:rPr>
        <w:t>welcomed, valued and respected</w:t>
      </w:r>
    </w:p>
    <w:p>
      <w:pPr>
        <w:spacing w:after="0" w:line="200" w:lineRule="exact"/>
        <w:rPr>
          <w:sz w:val="20"/>
          <w:szCs w:val="20"/>
          <w:color w:val="auto"/>
        </w:rPr>
      </w:pPr>
    </w:p>
    <w:p>
      <w:pPr>
        <w:spacing w:after="0" w:line="238"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Our Board values ethnic, cultural, gender, economic, professional and educational diversity in evaluating new Board candidates and seeks to incorporate a wide range of these attributes within Cohu’s Board. The following matrix provides self-disclosed gender and ethnic/racial diversity information regarding our Board.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Cohu Board Diversity Matrix (as of March 15,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-129540</wp:posOffset>
            </wp:positionV>
            <wp:extent cx="7136130" cy="1581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6130" cy="15811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Size: 8</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440" w:type="dxa"/>
            <w:vAlign w:val="bottom"/>
            <w:tcBorders>
              <w:top w:val="single" w:sz="8" w:color="2D53A6"/>
              <w:bottom w:val="single" w:sz="8" w:color="2D53A6"/>
              <w:right w:val="single" w:sz="8" w:color="2D53A6"/>
            </w:tcBorders>
            <w:shd w:val="clear" w:color="auto" w:fill="E6E6E6"/>
          </w:tcPr>
          <w:p>
            <w:pPr>
              <w:spacing w:after="0"/>
              <w:rPr>
                <w:sz w:val="20"/>
                <w:szCs w:val="20"/>
                <w:color w:val="auto"/>
              </w:rPr>
            </w:pPr>
            <w:r>
              <w:rPr>
                <w:rFonts w:ascii="Arial" w:cs="Arial" w:eastAsia="Arial" w:hAnsi="Arial"/>
                <w:sz w:val="18"/>
                <w:szCs w:val="18"/>
                <w:color w:val="auto"/>
              </w:rPr>
              <w:t>Total Number of Directors</w:t>
            </w:r>
          </w:p>
        </w:tc>
        <w:tc>
          <w:tcPr>
            <w:tcW w:w="1520" w:type="dxa"/>
            <w:vAlign w:val="bottom"/>
            <w:tcBorders>
              <w:top w:val="single" w:sz="8" w:color="2D53A6"/>
              <w:bottom w:val="single" w:sz="8" w:color="2D53A6"/>
              <w:right w:val="single" w:sz="8" w:color="E6E6E6"/>
            </w:tcBorders>
            <w:shd w:val="clear" w:color="auto" w:fill="E6E6E6"/>
          </w:tcPr>
          <w:p>
            <w:pPr>
              <w:spacing w:after="0"/>
              <w:rPr>
                <w:sz w:val="19"/>
                <w:szCs w:val="19"/>
                <w:color w:val="auto"/>
              </w:rPr>
            </w:pPr>
          </w:p>
        </w:tc>
        <w:tc>
          <w:tcPr>
            <w:tcW w:w="1180" w:type="dxa"/>
            <w:vAlign w:val="bottom"/>
            <w:tcBorders>
              <w:top w:val="single" w:sz="8" w:color="2D53A6"/>
              <w:bottom w:val="single" w:sz="8" w:color="2D53A6"/>
            </w:tcBorders>
            <w:shd w:val="clear" w:color="auto" w:fill="E6E6E6"/>
          </w:tcPr>
          <w:p>
            <w:pPr>
              <w:spacing w:after="0"/>
              <w:rPr>
                <w:sz w:val="19"/>
                <w:szCs w:val="19"/>
                <w:color w:val="auto"/>
              </w:rPr>
            </w:pPr>
          </w:p>
        </w:tc>
        <w:tc>
          <w:tcPr>
            <w:tcW w:w="320" w:type="dxa"/>
            <w:vAlign w:val="bottom"/>
            <w:tcBorders>
              <w:top w:val="single" w:sz="8" w:color="2D53A6"/>
              <w:bottom w:val="single" w:sz="8" w:color="2D53A6"/>
              <w:right w:val="single" w:sz="8" w:color="E6E6E6"/>
            </w:tcBorders>
            <w:shd w:val="clear" w:color="auto" w:fill="E6E6E6"/>
          </w:tcPr>
          <w:p>
            <w:pPr>
              <w:jc w:val="right"/>
              <w:spacing w:after="0"/>
              <w:rPr>
                <w:sz w:val="20"/>
                <w:szCs w:val="20"/>
                <w:color w:val="auto"/>
              </w:rPr>
            </w:pPr>
            <w:r>
              <w:rPr>
                <w:rFonts w:ascii="Arial" w:cs="Arial" w:eastAsia="Arial" w:hAnsi="Arial"/>
                <w:sz w:val="18"/>
                <w:szCs w:val="18"/>
                <w:b w:val="1"/>
                <w:bCs w:val="1"/>
                <w:color w:val="auto"/>
              </w:rPr>
              <w:t>8</w:t>
            </w:r>
          </w:p>
        </w:tc>
        <w:tc>
          <w:tcPr>
            <w:tcW w:w="1520" w:type="dxa"/>
            <w:vAlign w:val="bottom"/>
            <w:tcBorders>
              <w:top w:val="single" w:sz="8" w:color="2D53A6"/>
              <w:bottom w:val="single" w:sz="8" w:color="2D53A6"/>
              <w:right w:val="single" w:sz="8" w:color="E6E6E6"/>
            </w:tcBorders>
            <w:shd w:val="clear" w:color="auto" w:fill="E6E6E6"/>
          </w:tcPr>
          <w:p>
            <w:pPr>
              <w:spacing w:after="0"/>
              <w:rPr>
                <w:sz w:val="19"/>
                <w:szCs w:val="19"/>
                <w:color w:val="auto"/>
              </w:rPr>
            </w:pPr>
          </w:p>
        </w:tc>
        <w:tc>
          <w:tcPr>
            <w:tcW w:w="1260" w:type="dxa"/>
            <w:vAlign w:val="bottom"/>
            <w:tcBorders>
              <w:top w:val="single" w:sz="8" w:color="2D53A6"/>
              <w:bottom w:val="single" w:sz="8" w:color="2D53A6"/>
            </w:tcBorders>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5440" w:type="dxa"/>
            <w:vAlign w:val="bottom"/>
            <w:tcBorders>
              <w:right w:val="single" w:sz="8" w:color="2D53A6"/>
            </w:tcBorders>
            <w:vMerge w:val="restart"/>
          </w:tcPr>
          <w:p>
            <w:pPr>
              <w:spacing w:after="0"/>
              <w:rPr>
                <w:sz w:val="20"/>
                <w:szCs w:val="20"/>
                <w:color w:val="auto"/>
              </w:rPr>
            </w:pPr>
            <w:r>
              <w:rPr>
                <w:rFonts w:ascii="Arial" w:cs="Arial" w:eastAsia="Arial" w:hAnsi="Arial"/>
                <w:sz w:val="18"/>
                <w:szCs w:val="18"/>
                <w:b w:val="1"/>
                <w:bCs w:val="1"/>
                <w:color w:val="auto"/>
              </w:rPr>
              <w:t>Gender</w:t>
            </w:r>
          </w:p>
        </w:tc>
        <w:tc>
          <w:tcPr>
            <w:tcW w:w="1520" w:type="dxa"/>
            <w:vAlign w:val="bottom"/>
            <w:tcBorders>
              <w:right w:val="single" w:sz="8" w:color="2D53A6"/>
            </w:tcBorders>
            <w:vMerge w:val="restart"/>
          </w:tcPr>
          <w:p>
            <w:pPr>
              <w:ind w:left="540"/>
              <w:spacing w:after="0"/>
              <w:rPr>
                <w:sz w:val="20"/>
                <w:szCs w:val="20"/>
                <w:color w:val="auto"/>
              </w:rPr>
            </w:pPr>
            <w:r>
              <w:rPr>
                <w:rFonts w:ascii="Arial" w:cs="Arial" w:eastAsia="Arial" w:hAnsi="Arial"/>
                <w:sz w:val="18"/>
                <w:szCs w:val="18"/>
                <w:b w:val="1"/>
                <w:bCs w:val="1"/>
                <w:color w:val="auto"/>
              </w:rPr>
              <w:t>Male</w:t>
            </w:r>
          </w:p>
        </w:tc>
        <w:tc>
          <w:tcPr>
            <w:tcW w:w="1180" w:type="dxa"/>
            <w:vAlign w:val="bottom"/>
            <w:vMerge w:val="restart"/>
          </w:tcPr>
          <w:p>
            <w:pPr>
              <w:ind w:left="460"/>
              <w:spacing w:after="0"/>
              <w:rPr>
                <w:sz w:val="20"/>
                <w:szCs w:val="20"/>
                <w:color w:val="auto"/>
              </w:rPr>
            </w:pPr>
            <w:r>
              <w:rPr>
                <w:rFonts w:ascii="Arial" w:cs="Arial" w:eastAsia="Arial" w:hAnsi="Arial"/>
                <w:sz w:val="18"/>
                <w:szCs w:val="18"/>
                <w:b w:val="1"/>
                <w:bCs w:val="1"/>
                <w:color w:val="auto"/>
              </w:rPr>
              <w:t>Female</w:t>
            </w:r>
          </w:p>
        </w:tc>
        <w:tc>
          <w:tcPr>
            <w:tcW w:w="320" w:type="dxa"/>
            <w:vAlign w:val="bottom"/>
            <w:tcBorders>
              <w:right w:val="single" w:sz="8" w:color="2D53A6"/>
            </w:tcBorders>
          </w:tcPr>
          <w:p>
            <w:pPr>
              <w:spacing w:after="0"/>
              <w:rPr>
                <w:sz w:val="16"/>
                <w:szCs w:val="16"/>
                <w:color w:val="auto"/>
              </w:rPr>
            </w:pPr>
          </w:p>
        </w:tc>
        <w:tc>
          <w:tcPr>
            <w:tcW w:w="1520" w:type="dxa"/>
            <w:vAlign w:val="bottom"/>
            <w:tcBorders>
              <w:right w:val="single" w:sz="8" w:color="2D53A6"/>
            </w:tcBorders>
            <w:vMerge w:val="restart"/>
          </w:tcPr>
          <w:p>
            <w:pPr>
              <w:jc w:val="center"/>
              <w:spacing w:after="0"/>
              <w:rPr>
                <w:sz w:val="20"/>
                <w:szCs w:val="20"/>
                <w:color w:val="auto"/>
              </w:rPr>
            </w:pPr>
            <w:r>
              <w:rPr>
                <w:rFonts w:ascii="Arial" w:cs="Arial" w:eastAsia="Arial" w:hAnsi="Arial"/>
                <w:sz w:val="18"/>
                <w:szCs w:val="18"/>
                <w:b w:val="1"/>
                <w:bCs w:val="1"/>
                <w:color w:val="auto"/>
                <w:w w:val="92"/>
              </w:rPr>
              <w:t>Non-Binary</w:t>
            </w:r>
          </w:p>
        </w:tc>
        <w:tc>
          <w:tcPr>
            <w:tcW w:w="126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1"/>
              </w:rPr>
              <w:t>Gender</w:t>
            </w:r>
          </w:p>
        </w:tc>
        <w:tc>
          <w:tcPr>
            <w:tcW w:w="0" w:type="dxa"/>
            <w:vAlign w:val="bottom"/>
          </w:tcPr>
          <w:p>
            <w:pPr>
              <w:spacing w:after="0"/>
              <w:rPr>
                <w:sz w:val="1"/>
                <w:szCs w:val="1"/>
                <w:color w:val="auto"/>
              </w:rPr>
            </w:pPr>
          </w:p>
        </w:tc>
      </w:tr>
      <w:tr>
        <w:trPr>
          <w:trHeight w:val="126"/>
        </w:trPr>
        <w:tc>
          <w:tcPr>
            <w:tcW w:w="5440" w:type="dxa"/>
            <w:vAlign w:val="bottom"/>
            <w:tcBorders>
              <w:right w:val="single" w:sz="8" w:color="2D53A6"/>
            </w:tcBorders>
            <w:vMerge w:val="continue"/>
          </w:tcPr>
          <w:p>
            <w:pPr>
              <w:spacing w:after="0"/>
              <w:rPr>
                <w:sz w:val="10"/>
                <w:szCs w:val="10"/>
                <w:color w:val="auto"/>
              </w:rPr>
            </w:pPr>
          </w:p>
        </w:tc>
        <w:tc>
          <w:tcPr>
            <w:tcW w:w="1520" w:type="dxa"/>
            <w:vAlign w:val="bottom"/>
            <w:tcBorders>
              <w:right w:val="single" w:sz="8" w:color="2D53A6"/>
            </w:tcBorders>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320" w:type="dxa"/>
            <w:vAlign w:val="bottom"/>
            <w:tcBorders>
              <w:right w:val="single" w:sz="8" w:color="2D53A6"/>
            </w:tcBorders>
          </w:tcPr>
          <w:p>
            <w:pPr>
              <w:spacing w:after="0"/>
              <w:rPr>
                <w:sz w:val="10"/>
                <w:szCs w:val="10"/>
                <w:color w:val="auto"/>
              </w:rPr>
            </w:pPr>
          </w:p>
        </w:tc>
        <w:tc>
          <w:tcPr>
            <w:tcW w:w="1520" w:type="dxa"/>
            <w:vAlign w:val="bottom"/>
            <w:tcBorders>
              <w:right w:val="single" w:sz="8" w:color="2D53A6"/>
            </w:tcBorders>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5"/>
              </w:rPr>
              <w:t>Undisclosed</w:t>
            </w:r>
          </w:p>
        </w:tc>
        <w:tc>
          <w:tcPr>
            <w:tcW w:w="0" w:type="dxa"/>
            <w:vAlign w:val="bottom"/>
          </w:tcPr>
          <w:p>
            <w:pPr>
              <w:spacing w:after="0"/>
              <w:rPr>
                <w:sz w:val="1"/>
                <w:szCs w:val="1"/>
                <w:color w:val="auto"/>
              </w:rPr>
            </w:pPr>
          </w:p>
        </w:tc>
      </w:tr>
      <w:tr>
        <w:trPr>
          <w:trHeight w:val="108"/>
        </w:trPr>
        <w:tc>
          <w:tcPr>
            <w:tcW w:w="5440" w:type="dxa"/>
            <w:vAlign w:val="bottom"/>
            <w:tcBorders>
              <w:bottom w:val="single" w:sz="8" w:color="2D53A6"/>
              <w:right w:val="single" w:sz="8" w:color="2D53A6"/>
            </w:tcBorders>
          </w:tcPr>
          <w:p>
            <w:pPr>
              <w:spacing w:after="0"/>
              <w:rPr>
                <w:sz w:val="9"/>
                <w:szCs w:val="9"/>
                <w:color w:val="auto"/>
              </w:rPr>
            </w:pPr>
          </w:p>
        </w:tc>
        <w:tc>
          <w:tcPr>
            <w:tcW w:w="1520" w:type="dxa"/>
            <w:vAlign w:val="bottom"/>
            <w:tcBorders>
              <w:bottom w:val="single" w:sz="8" w:color="2D53A6"/>
              <w:right w:val="single" w:sz="8" w:color="2D53A6"/>
            </w:tcBorders>
          </w:tcPr>
          <w:p>
            <w:pPr>
              <w:spacing w:after="0"/>
              <w:rPr>
                <w:sz w:val="9"/>
                <w:szCs w:val="9"/>
                <w:color w:val="auto"/>
              </w:rPr>
            </w:pPr>
          </w:p>
        </w:tc>
        <w:tc>
          <w:tcPr>
            <w:tcW w:w="1180" w:type="dxa"/>
            <w:vAlign w:val="bottom"/>
            <w:tcBorders>
              <w:bottom w:val="single" w:sz="8" w:color="2D53A6"/>
            </w:tcBorders>
          </w:tcPr>
          <w:p>
            <w:pPr>
              <w:spacing w:after="0"/>
              <w:rPr>
                <w:sz w:val="9"/>
                <w:szCs w:val="9"/>
                <w:color w:val="auto"/>
              </w:rPr>
            </w:pPr>
          </w:p>
        </w:tc>
        <w:tc>
          <w:tcPr>
            <w:tcW w:w="320" w:type="dxa"/>
            <w:vAlign w:val="bottom"/>
            <w:tcBorders>
              <w:bottom w:val="single" w:sz="8" w:color="2D53A6"/>
              <w:right w:val="single" w:sz="8" w:color="2D53A6"/>
            </w:tcBorders>
          </w:tcPr>
          <w:p>
            <w:pPr>
              <w:spacing w:after="0"/>
              <w:rPr>
                <w:sz w:val="9"/>
                <w:szCs w:val="9"/>
                <w:color w:val="auto"/>
              </w:rPr>
            </w:pPr>
          </w:p>
        </w:tc>
        <w:tc>
          <w:tcPr>
            <w:tcW w:w="1520" w:type="dxa"/>
            <w:vAlign w:val="bottom"/>
            <w:tcBorders>
              <w:bottom w:val="single" w:sz="8" w:color="2D53A6"/>
              <w:right w:val="single" w:sz="8" w:color="2D53A6"/>
            </w:tcBorders>
          </w:tcPr>
          <w:p>
            <w:pPr>
              <w:spacing w:after="0"/>
              <w:rPr>
                <w:sz w:val="9"/>
                <w:szCs w:val="9"/>
                <w:color w:val="auto"/>
              </w:rPr>
            </w:pPr>
          </w:p>
        </w:tc>
        <w:tc>
          <w:tcPr>
            <w:tcW w:w="1260" w:type="dxa"/>
            <w:vAlign w:val="bottom"/>
            <w:tcBorders>
              <w:bottom w:val="single" w:sz="8" w:color="2D53A6"/>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5440" w:type="dxa"/>
            <w:vAlign w:val="bottom"/>
            <w:tcBorders>
              <w:bottom w:val="single" w:sz="8" w:color="2D53A6"/>
              <w:right w:val="single" w:sz="8" w:color="2D53A6"/>
            </w:tcBorders>
            <w:shd w:val="clear" w:color="auto" w:fill="E6E6E6"/>
          </w:tcPr>
          <w:p>
            <w:pPr>
              <w:spacing w:after="0"/>
              <w:rPr>
                <w:sz w:val="20"/>
                <w:szCs w:val="20"/>
                <w:color w:val="auto"/>
              </w:rPr>
            </w:pPr>
            <w:r>
              <w:rPr>
                <w:rFonts w:ascii="Arial" w:cs="Arial" w:eastAsia="Arial" w:hAnsi="Arial"/>
                <w:sz w:val="18"/>
                <w:szCs w:val="18"/>
                <w:color w:val="auto"/>
              </w:rPr>
              <w:t>Number of directors based on gender identify</w:t>
            </w:r>
          </w:p>
        </w:tc>
        <w:tc>
          <w:tcPr>
            <w:tcW w:w="152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8"/>
                <w:szCs w:val="18"/>
                <w:b w:val="1"/>
                <w:bCs w:val="1"/>
                <w:color w:val="auto"/>
                <w:w w:val="99"/>
              </w:rPr>
              <w:t>5</w:t>
            </w:r>
          </w:p>
        </w:tc>
        <w:tc>
          <w:tcPr>
            <w:tcW w:w="1180" w:type="dxa"/>
            <w:vAlign w:val="bottom"/>
            <w:tcBorders>
              <w:bottom w:val="single" w:sz="8" w:color="2D53A6"/>
            </w:tcBorders>
            <w:shd w:val="clear" w:color="auto" w:fill="E6E6E6"/>
          </w:tcPr>
          <w:p>
            <w:pPr>
              <w:jc w:val="center"/>
              <w:ind w:left="250"/>
              <w:spacing w:after="0"/>
              <w:rPr>
                <w:sz w:val="20"/>
                <w:szCs w:val="20"/>
                <w:color w:val="auto"/>
              </w:rPr>
            </w:pPr>
            <w:r>
              <w:rPr>
                <w:rFonts w:ascii="Arial" w:cs="Arial" w:eastAsia="Arial" w:hAnsi="Arial"/>
                <w:sz w:val="18"/>
                <w:szCs w:val="18"/>
                <w:b w:val="1"/>
                <w:bCs w:val="1"/>
                <w:color w:val="auto"/>
                <w:w w:val="99"/>
              </w:rPr>
              <w:t xml:space="preserve">3 </w:t>
            </w:r>
            <w:r>
              <w:rPr>
                <w:rFonts w:ascii="Arial" w:cs="Arial" w:eastAsia="Arial" w:hAnsi="Arial"/>
                <w:sz w:val="14"/>
                <w:szCs w:val="14"/>
                <w:b w:val="1"/>
                <w:bCs w:val="1"/>
                <w:color w:val="auto"/>
                <w:w w:val="99"/>
              </w:rPr>
              <w:t>(1)</w:t>
            </w:r>
          </w:p>
        </w:tc>
        <w:tc>
          <w:tcPr>
            <w:tcW w:w="320" w:type="dxa"/>
            <w:vAlign w:val="bottom"/>
            <w:tcBorders>
              <w:bottom w:val="single" w:sz="8" w:color="2D53A6"/>
              <w:right w:val="single" w:sz="8" w:color="2D53A6"/>
            </w:tcBorders>
            <w:shd w:val="clear" w:color="auto" w:fill="E6E6E6"/>
          </w:tcPr>
          <w:p>
            <w:pPr>
              <w:spacing w:after="0"/>
              <w:rPr>
                <w:sz w:val="18"/>
                <w:szCs w:val="18"/>
                <w:color w:val="auto"/>
              </w:rPr>
            </w:pPr>
          </w:p>
        </w:tc>
        <w:tc>
          <w:tcPr>
            <w:tcW w:w="152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9"/>
        </w:trPr>
        <w:tc>
          <w:tcPr>
            <w:tcW w:w="5440" w:type="dxa"/>
            <w:vAlign w:val="bottom"/>
            <w:tcBorders>
              <w:bottom w:val="single" w:sz="8" w:color="2D53A6"/>
            </w:tcBorders>
          </w:tcPr>
          <w:p>
            <w:pPr>
              <w:spacing w:after="0"/>
              <w:rPr>
                <w:sz w:val="20"/>
                <w:szCs w:val="20"/>
                <w:color w:val="auto"/>
              </w:rPr>
            </w:pPr>
            <w:r>
              <w:rPr>
                <w:rFonts w:ascii="Arial" w:cs="Arial" w:eastAsia="Arial" w:hAnsi="Arial"/>
                <w:sz w:val="18"/>
                <w:szCs w:val="18"/>
                <w:b w:val="1"/>
                <w:bCs w:val="1"/>
                <w:color w:val="auto"/>
                <w:w w:val="99"/>
              </w:rPr>
              <w:t>Number of directors who identify in any of the categories below</w:t>
            </w:r>
          </w:p>
        </w:tc>
        <w:tc>
          <w:tcPr>
            <w:tcW w:w="1520" w:type="dxa"/>
            <w:vAlign w:val="bottom"/>
            <w:tcBorders>
              <w:bottom w:val="single" w:sz="8" w:color="2D53A6"/>
            </w:tcBorders>
          </w:tcPr>
          <w:p>
            <w:pPr>
              <w:spacing w:after="0"/>
              <w:rPr>
                <w:sz w:val="18"/>
                <w:szCs w:val="18"/>
                <w:color w:val="auto"/>
              </w:rPr>
            </w:pPr>
          </w:p>
        </w:tc>
        <w:tc>
          <w:tcPr>
            <w:tcW w:w="1180" w:type="dxa"/>
            <w:vAlign w:val="bottom"/>
            <w:tcBorders>
              <w:bottom w:val="single" w:sz="8" w:color="2D53A6"/>
            </w:tcBorders>
          </w:tcPr>
          <w:p>
            <w:pPr>
              <w:spacing w:after="0"/>
              <w:rPr>
                <w:sz w:val="18"/>
                <w:szCs w:val="18"/>
                <w:color w:val="auto"/>
              </w:rPr>
            </w:pPr>
          </w:p>
        </w:tc>
        <w:tc>
          <w:tcPr>
            <w:tcW w:w="320" w:type="dxa"/>
            <w:vAlign w:val="bottom"/>
            <w:tcBorders>
              <w:bottom w:val="single" w:sz="8" w:color="2D53A6"/>
            </w:tcBorders>
          </w:tcPr>
          <w:p>
            <w:pPr>
              <w:spacing w:after="0"/>
              <w:rPr>
                <w:sz w:val="18"/>
                <w:szCs w:val="18"/>
                <w:color w:val="auto"/>
              </w:rPr>
            </w:pPr>
          </w:p>
        </w:tc>
        <w:tc>
          <w:tcPr>
            <w:tcW w:w="1520" w:type="dxa"/>
            <w:vAlign w:val="bottom"/>
            <w:tcBorders>
              <w:bottom w:val="single" w:sz="8" w:color="2D53A6"/>
            </w:tcBorders>
          </w:tcPr>
          <w:p>
            <w:pPr>
              <w:spacing w:after="0"/>
              <w:rPr>
                <w:sz w:val="18"/>
                <w:szCs w:val="18"/>
                <w:color w:val="auto"/>
              </w:rPr>
            </w:pPr>
          </w:p>
        </w:tc>
        <w:tc>
          <w:tcPr>
            <w:tcW w:w="1260" w:type="dxa"/>
            <w:vAlign w:val="bottom"/>
            <w:tcBorders>
              <w:bottom w:val="single" w:sz="8" w:color="2D53A6"/>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40" w:type="dxa"/>
            <w:vAlign w:val="bottom"/>
            <w:tcBorders>
              <w:bottom w:val="single" w:sz="8" w:color="2D53A6"/>
              <w:right w:val="single" w:sz="8" w:color="2D53A6"/>
            </w:tcBorders>
            <w:shd w:val="clear" w:color="auto" w:fill="E6E6E6"/>
          </w:tcPr>
          <w:p>
            <w:pPr>
              <w:spacing w:after="0"/>
              <w:rPr>
                <w:sz w:val="20"/>
                <w:szCs w:val="20"/>
                <w:color w:val="auto"/>
              </w:rPr>
            </w:pPr>
            <w:r>
              <w:rPr>
                <w:rFonts w:ascii="Arial" w:cs="Arial" w:eastAsia="Arial" w:hAnsi="Arial"/>
                <w:sz w:val="18"/>
                <w:szCs w:val="18"/>
                <w:color w:val="auto"/>
              </w:rPr>
              <w:t>African American or Black</w:t>
            </w:r>
          </w:p>
        </w:tc>
        <w:tc>
          <w:tcPr>
            <w:tcW w:w="152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2D53A6"/>
            </w:tcBorders>
            <w:shd w:val="clear" w:color="auto" w:fill="E6E6E6"/>
          </w:tcPr>
          <w:p>
            <w:pPr>
              <w:jc w:val="center"/>
              <w:ind w:left="230"/>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2D53A6"/>
              <w:right w:val="single" w:sz="8" w:color="2D53A6"/>
            </w:tcBorders>
            <w:shd w:val="clear" w:color="auto" w:fill="E6E6E6"/>
          </w:tcPr>
          <w:p>
            <w:pPr>
              <w:spacing w:after="0"/>
              <w:rPr>
                <w:sz w:val="18"/>
                <w:szCs w:val="18"/>
                <w:color w:val="auto"/>
              </w:rPr>
            </w:pPr>
          </w:p>
        </w:tc>
        <w:tc>
          <w:tcPr>
            <w:tcW w:w="152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9"/>
        </w:trPr>
        <w:tc>
          <w:tcPr>
            <w:tcW w:w="5440" w:type="dxa"/>
            <w:vAlign w:val="bottom"/>
            <w:tcBorders>
              <w:bottom w:val="single" w:sz="8" w:color="2D53A6"/>
              <w:right w:val="single" w:sz="8" w:color="2D53A6"/>
            </w:tcBorders>
          </w:tcPr>
          <w:p>
            <w:pPr>
              <w:spacing w:after="0"/>
              <w:rPr>
                <w:sz w:val="20"/>
                <w:szCs w:val="20"/>
                <w:color w:val="auto"/>
              </w:rPr>
            </w:pPr>
            <w:r>
              <w:rPr>
                <w:rFonts w:ascii="Arial" w:cs="Arial" w:eastAsia="Arial" w:hAnsi="Arial"/>
                <w:sz w:val="18"/>
                <w:szCs w:val="18"/>
                <w:color w:val="auto"/>
              </w:rPr>
              <w:t>Alaskan Native or Native American</w:t>
            </w:r>
          </w:p>
        </w:tc>
        <w:tc>
          <w:tcPr>
            <w:tcW w:w="152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2D53A6"/>
            </w:tcBorders>
          </w:tcPr>
          <w:p>
            <w:pPr>
              <w:jc w:val="center"/>
              <w:ind w:left="230"/>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2D53A6"/>
              <w:right w:val="single" w:sz="8" w:color="2D53A6"/>
            </w:tcBorders>
          </w:tcPr>
          <w:p>
            <w:pPr>
              <w:spacing w:after="0"/>
              <w:rPr>
                <w:sz w:val="18"/>
                <w:szCs w:val="18"/>
                <w:color w:val="auto"/>
              </w:rPr>
            </w:pPr>
          </w:p>
        </w:tc>
        <w:tc>
          <w:tcPr>
            <w:tcW w:w="152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2D53A6"/>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9"/>
        </w:trPr>
        <w:tc>
          <w:tcPr>
            <w:tcW w:w="5440" w:type="dxa"/>
            <w:vAlign w:val="bottom"/>
            <w:tcBorders>
              <w:bottom w:val="single" w:sz="8" w:color="2D53A6"/>
              <w:right w:val="single" w:sz="8" w:color="2D53A6"/>
            </w:tcBorders>
            <w:shd w:val="clear" w:color="auto" w:fill="E6E6E6"/>
          </w:tcPr>
          <w:p>
            <w:pPr>
              <w:spacing w:after="0"/>
              <w:rPr>
                <w:sz w:val="20"/>
                <w:szCs w:val="20"/>
                <w:color w:val="auto"/>
              </w:rPr>
            </w:pPr>
            <w:r>
              <w:rPr>
                <w:rFonts w:ascii="Arial" w:cs="Arial" w:eastAsia="Arial" w:hAnsi="Arial"/>
                <w:sz w:val="18"/>
                <w:szCs w:val="18"/>
                <w:color w:val="auto"/>
              </w:rPr>
              <w:t>Asian</w:t>
            </w:r>
          </w:p>
        </w:tc>
        <w:tc>
          <w:tcPr>
            <w:tcW w:w="152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2D53A6"/>
            </w:tcBorders>
            <w:shd w:val="clear" w:color="auto" w:fill="E6E6E6"/>
          </w:tcPr>
          <w:p>
            <w:pPr>
              <w:jc w:val="center"/>
              <w:ind w:left="250"/>
              <w:spacing w:after="0"/>
              <w:rPr>
                <w:sz w:val="20"/>
                <w:szCs w:val="20"/>
                <w:color w:val="auto"/>
              </w:rPr>
            </w:pPr>
            <w:r>
              <w:rPr>
                <w:rFonts w:ascii="Arial" w:cs="Arial" w:eastAsia="Arial" w:hAnsi="Arial"/>
                <w:sz w:val="18"/>
                <w:szCs w:val="18"/>
                <w:b w:val="1"/>
                <w:bCs w:val="1"/>
                <w:color w:val="auto"/>
                <w:w w:val="79"/>
              </w:rPr>
              <w:t>1</w:t>
            </w:r>
          </w:p>
        </w:tc>
        <w:tc>
          <w:tcPr>
            <w:tcW w:w="320" w:type="dxa"/>
            <w:vAlign w:val="bottom"/>
            <w:tcBorders>
              <w:bottom w:val="single" w:sz="8" w:color="2D53A6"/>
              <w:right w:val="single" w:sz="8" w:color="2D53A6"/>
            </w:tcBorders>
            <w:shd w:val="clear" w:color="auto" w:fill="E6E6E6"/>
          </w:tcPr>
          <w:p>
            <w:pPr>
              <w:spacing w:after="0"/>
              <w:rPr>
                <w:sz w:val="18"/>
                <w:szCs w:val="18"/>
                <w:color w:val="auto"/>
              </w:rPr>
            </w:pPr>
          </w:p>
        </w:tc>
        <w:tc>
          <w:tcPr>
            <w:tcW w:w="152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5440" w:type="dxa"/>
            <w:vAlign w:val="bottom"/>
            <w:tcBorders>
              <w:bottom w:val="single" w:sz="8" w:color="2D53A6"/>
              <w:right w:val="single" w:sz="8" w:color="2D53A6"/>
            </w:tcBorders>
          </w:tcPr>
          <w:p>
            <w:pPr>
              <w:spacing w:after="0"/>
              <w:rPr>
                <w:sz w:val="20"/>
                <w:szCs w:val="20"/>
                <w:color w:val="auto"/>
              </w:rPr>
            </w:pPr>
            <w:r>
              <w:rPr>
                <w:rFonts w:ascii="Arial" w:cs="Arial" w:eastAsia="Arial" w:hAnsi="Arial"/>
                <w:sz w:val="18"/>
                <w:szCs w:val="18"/>
                <w:color w:val="auto"/>
              </w:rPr>
              <w:t>Hispanic or Latinx</w:t>
            </w:r>
          </w:p>
        </w:tc>
        <w:tc>
          <w:tcPr>
            <w:tcW w:w="152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b w:val="1"/>
                <w:bCs w:val="1"/>
                <w:color w:val="auto"/>
                <w:w w:val="99"/>
              </w:rPr>
              <w:t>1</w:t>
            </w:r>
          </w:p>
        </w:tc>
        <w:tc>
          <w:tcPr>
            <w:tcW w:w="1180" w:type="dxa"/>
            <w:vAlign w:val="bottom"/>
            <w:tcBorders>
              <w:bottom w:val="single" w:sz="8" w:color="2D53A6"/>
            </w:tcBorders>
          </w:tcPr>
          <w:p>
            <w:pPr>
              <w:jc w:val="center"/>
              <w:ind w:left="230"/>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2D53A6"/>
              <w:right w:val="single" w:sz="8" w:color="2D53A6"/>
            </w:tcBorders>
          </w:tcPr>
          <w:p>
            <w:pPr>
              <w:spacing w:after="0"/>
              <w:rPr>
                <w:sz w:val="18"/>
                <w:szCs w:val="18"/>
                <w:color w:val="auto"/>
              </w:rPr>
            </w:pPr>
          </w:p>
        </w:tc>
        <w:tc>
          <w:tcPr>
            <w:tcW w:w="152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2D53A6"/>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9"/>
        </w:trPr>
        <w:tc>
          <w:tcPr>
            <w:tcW w:w="5440" w:type="dxa"/>
            <w:vAlign w:val="bottom"/>
            <w:tcBorders>
              <w:bottom w:val="single" w:sz="8" w:color="2D53A6"/>
              <w:right w:val="single" w:sz="8" w:color="2D53A6"/>
            </w:tcBorders>
            <w:shd w:val="clear" w:color="auto" w:fill="E6E6E6"/>
          </w:tcPr>
          <w:p>
            <w:pPr>
              <w:spacing w:after="0"/>
              <w:rPr>
                <w:sz w:val="20"/>
                <w:szCs w:val="20"/>
                <w:color w:val="auto"/>
              </w:rPr>
            </w:pPr>
            <w:r>
              <w:rPr>
                <w:rFonts w:ascii="Arial" w:cs="Arial" w:eastAsia="Arial" w:hAnsi="Arial"/>
                <w:sz w:val="18"/>
                <w:szCs w:val="18"/>
                <w:color w:val="auto"/>
              </w:rPr>
              <w:t>Native Hawaiian or Pacific Islander</w:t>
            </w:r>
          </w:p>
        </w:tc>
        <w:tc>
          <w:tcPr>
            <w:tcW w:w="152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2D53A6"/>
            </w:tcBorders>
            <w:shd w:val="clear" w:color="auto" w:fill="E6E6E6"/>
          </w:tcPr>
          <w:p>
            <w:pPr>
              <w:jc w:val="center"/>
              <w:ind w:left="230"/>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2D53A6"/>
              <w:right w:val="single" w:sz="8" w:color="2D53A6"/>
            </w:tcBorders>
            <w:shd w:val="clear" w:color="auto" w:fill="E6E6E6"/>
          </w:tcPr>
          <w:p>
            <w:pPr>
              <w:spacing w:after="0"/>
              <w:rPr>
                <w:sz w:val="18"/>
                <w:szCs w:val="18"/>
                <w:color w:val="auto"/>
              </w:rPr>
            </w:pPr>
          </w:p>
        </w:tc>
        <w:tc>
          <w:tcPr>
            <w:tcW w:w="152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5440" w:type="dxa"/>
            <w:vAlign w:val="bottom"/>
            <w:tcBorders>
              <w:bottom w:val="single" w:sz="8" w:color="2D53A6"/>
              <w:right w:val="single" w:sz="8" w:color="2D53A6"/>
            </w:tcBorders>
          </w:tcPr>
          <w:p>
            <w:pPr>
              <w:spacing w:after="0"/>
              <w:rPr>
                <w:sz w:val="20"/>
                <w:szCs w:val="20"/>
                <w:color w:val="auto"/>
              </w:rPr>
            </w:pPr>
            <w:r>
              <w:rPr>
                <w:rFonts w:ascii="Arial" w:cs="Arial" w:eastAsia="Arial" w:hAnsi="Arial"/>
                <w:sz w:val="18"/>
                <w:szCs w:val="18"/>
                <w:color w:val="auto"/>
              </w:rPr>
              <w:t>White</w:t>
            </w:r>
          </w:p>
        </w:tc>
        <w:tc>
          <w:tcPr>
            <w:tcW w:w="152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b w:val="1"/>
                <w:bCs w:val="1"/>
                <w:color w:val="auto"/>
                <w:w w:val="99"/>
              </w:rPr>
              <w:t>4</w:t>
            </w:r>
          </w:p>
        </w:tc>
        <w:tc>
          <w:tcPr>
            <w:tcW w:w="1180" w:type="dxa"/>
            <w:vAlign w:val="bottom"/>
            <w:tcBorders>
              <w:bottom w:val="single" w:sz="8" w:color="2D53A6"/>
            </w:tcBorders>
          </w:tcPr>
          <w:p>
            <w:pPr>
              <w:jc w:val="center"/>
              <w:ind w:left="250"/>
              <w:spacing w:after="0"/>
              <w:rPr>
                <w:sz w:val="20"/>
                <w:szCs w:val="20"/>
                <w:color w:val="auto"/>
              </w:rPr>
            </w:pPr>
            <w:r>
              <w:rPr>
                <w:rFonts w:ascii="Arial" w:cs="Arial" w:eastAsia="Arial" w:hAnsi="Arial"/>
                <w:sz w:val="18"/>
                <w:szCs w:val="18"/>
                <w:b w:val="1"/>
                <w:bCs w:val="1"/>
                <w:color w:val="auto"/>
                <w:w w:val="79"/>
              </w:rPr>
              <w:t>2</w:t>
            </w:r>
          </w:p>
        </w:tc>
        <w:tc>
          <w:tcPr>
            <w:tcW w:w="320" w:type="dxa"/>
            <w:vAlign w:val="bottom"/>
            <w:tcBorders>
              <w:bottom w:val="single" w:sz="8" w:color="2D53A6"/>
              <w:right w:val="single" w:sz="8" w:color="2D53A6"/>
            </w:tcBorders>
          </w:tcPr>
          <w:p>
            <w:pPr>
              <w:spacing w:after="0"/>
              <w:rPr>
                <w:sz w:val="18"/>
                <w:szCs w:val="18"/>
                <w:color w:val="auto"/>
              </w:rPr>
            </w:pPr>
          </w:p>
        </w:tc>
        <w:tc>
          <w:tcPr>
            <w:tcW w:w="152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2D53A6"/>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5440" w:type="dxa"/>
            <w:vAlign w:val="bottom"/>
            <w:tcBorders>
              <w:bottom w:val="single" w:sz="8" w:color="2D53A6"/>
              <w:right w:val="single" w:sz="8" w:color="2D53A6"/>
            </w:tcBorders>
            <w:shd w:val="clear" w:color="auto" w:fill="E6E6E6"/>
          </w:tcPr>
          <w:p>
            <w:pPr>
              <w:spacing w:after="0"/>
              <w:rPr>
                <w:sz w:val="20"/>
                <w:szCs w:val="20"/>
                <w:color w:val="auto"/>
              </w:rPr>
            </w:pPr>
            <w:r>
              <w:rPr>
                <w:rFonts w:ascii="Arial" w:cs="Arial" w:eastAsia="Arial" w:hAnsi="Arial"/>
                <w:sz w:val="18"/>
                <w:szCs w:val="18"/>
                <w:color w:val="auto"/>
              </w:rPr>
              <w:t>Two or More Races or Ethnicities</w:t>
            </w:r>
          </w:p>
        </w:tc>
        <w:tc>
          <w:tcPr>
            <w:tcW w:w="152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2D53A6"/>
            </w:tcBorders>
            <w:shd w:val="clear" w:color="auto" w:fill="E6E6E6"/>
          </w:tcPr>
          <w:p>
            <w:pPr>
              <w:jc w:val="center"/>
              <w:ind w:left="230"/>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2D53A6"/>
              <w:right w:val="single" w:sz="8" w:color="2D53A6"/>
            </w:tcBorders>
            <w:shd w:val="clear" w:color="auto" w:fill="E6E6E6"/>
          </w:tcPr>
          <w:p>
            <w:pPr>
              <w:spacing w:after="0"/>
              <w:rPr>
                <w:sz w:val="18"/>
                <w:szCs w:val="18"/>
                <w:color w:val="auto"/>
              </w:rPr>
            </w:pPr>
          </w:p>
        </w:tc>
        <w:tc>
          <w:tcPr>
            <w:tcW w:w="152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5440" w:type="dxa"/>
            <w:vAlign w:val="bottom"/>
            <w:tcBorders>
              <w:bottom w:val="single" w:sz="8" w:color="2D53A6"/>
              <w:right w:val="single" w:sz="8" w:color="2D53A6"/>
            </w:tcBorders>
          </w:tcPr>
          <w:p>
            <w:pPr>
              <w:spacing w:after="0"/>
              <w:rPr>
                <w:sz w:val="20"/>
                <w:szCs w:val="20"/>
                <w:color w:val="auto"/>
              </w:rPr>
            </w:pPr>
            <w:r>
              <w:rPr>
                <w:rFonts w:ascii="Arial" w:cs="Arial" w:eastAsia="Arial" w:hAnsi="Arial"/>
                <w:sz w:val="18"/>
                <w:szCs w:val="18"/>
                <w:color w:val="auto"/>
              </w:rPr>
              <w:t>LGBTQ+</w:t>
            </w:r>
          </w:p>
        </w:tc>
        <w:tc>
          <w:tcPr>
            <w:tcW w:w="1520" w:type="dxa"/>
            <w:vAlign w:val="bottom"/>
            <w:tcBorders>
              <w:bottom w:val="single" w:sz="8" w:color="2D53A6"/>
            </w:tcBorders>
          </w:tcPr>
          <w:p>
            <w:pPr>
              <w:spacing w:after="0"/>
              <w:rPr>
                <w:sz w:val="18"/>
                <w:szCs w:val="18"/>
                <w:color w:val="auto"/>
              </w:rPr>
            </w:pPr>
          </w:p>
        </w:tc>
        <w:tc>
          <w:tcPr>
            <w:tcW w:w="1180" w:type="dxa"/>
            <w:vAlign w:val="bottom"/>
            <w:tcBorders>
              <w:bottom w:val="single" w:sz="8" w:color="2D53A6"/>
            </w:tcBorders>
          </w:tcPr>
          <w:p>
            <w:pPr>
              <w:spacing w:after="0"/>
              <w:rPr>
                <w:sz w:val="18"/>
                <w:szCs w:val="18"/>
                <w:color w:val="auto"/>
              </w:rPr>
            </w:pPr>
          </w:p>
        </w:tc>
        <w:tc>
          <w:tcPr>
            <w:tcW w:w="320" w:type="dxa"/>
            <w:vAlign w:val="bottom"/>
            <w:tcBorders>
              <w:bottom w:val="single" w:sz="8" w:color="2D53A6"/>
            </w:tcBorders>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2D53A6"/>
            </w:tcBorders>
          </w:tcPr>
          <w:p>
            <w:pPr>
              <w:spacing w:after="0"/>
              <w:rPr>
                <w:sz w:val="18"/>
                <w:szCs w:val="18"/>
                <w:color w:val="auto"/>
              </w:rPr>
            </w:pPr>
          </w:p>
        </w:tc>
        <w:tc>
          <w:tcPr>
            <w:tcW w:w="1260" w:type="dxa"/>
            <w:vAlign w:val="bottom"/>
            <w:tcBorders>
              <w:bottom w:val="single" w:sz="8" w:color="2D53A6"/>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40" w:type="dxa"/>
            <w:vAlign w:val="bottom"/>
            <w:tcBorders>
              <w:bottom w:val="single" w:sz="8" w:color="2D53A6"/>
              <w:right w:val="single" w:sz="8" w:color="2D53A6"/>
            </w:tcBorders>
            <w:shd w:val="clear" w:color="auto" w:fill="E6E6E6"/>
          </w:tcPr>
          <w:p>
            <w:pPr>
              <w:spacing w:after="0"/>
              <w:rPr>
                <w:sz w:val="20"/>
                <w:szCs w:val="20"/>
                <w:color w:val="auto"/>
              </w:rPr>
            </w:pPr>
            <w:r>
              <w:rPr>
                <w:rFonts w:ascii="Arial" w:cs="Arial" w:eastAsia="Arial" w:hAnsi="Arial"/>
                <w:sz w:val="18"/>
                <w:szCs w:val="18"/>
                <w:color w:val="auto"/>
              </w:rPr>
              <w:t>Demographic Background Undisclosed</w:t>
            </w:r>
          </w:p>
        </w:tc>
        <w:tc>
          <w:tcPr>
            <w:tcW w:w="1520" w:type="dxa"/>
            <w:vAlign w:val="bottom"/>
            <w:tcBorders>
              <w:bottom w:val="single" w:sz="8" w:color="2D53A6"/>
              <w:right w:val="single" w:sz="8" w:color="E6E6E6"/>
            </w:tcBorders>
            <w:shd w:val="clear" w:color="auto" w:fill="E6E6E6"/>
          </w:tcPr>
          <w:p>
            <w:pPr>
              <w:spacing w:after="0"/>
              <w:rPr>
                <w:sz w:val="18"/>
                <w:szCs w:val="18"/>
                <w:color w:val="auto"/>
              </w:rPr>
            </w:pPr>
          </w:p>
        </w:tc>
        <w:tc>
          <w:tcPr>
            <w:tcW w:w="1180" w:type="dxa"/>
            <w:vAlign w:val="bottom"/>
            <w:tcBorders>
              <w:bottom w:val="single" w:sz="8" w:color="2D53A6"/>
            </w:tcBorders>
            <w:shd w:val="clear" w:color="auto" w:fill="E6E6E6"/>
          </w:tcPr>
          <w:p>
            <w:pPr>
              <w:spacing w:after="0"/>
              <w:rPr>
                <w:sz w:val="18"/>
                <w:szCs w:val="18"/>
                <w:color w:val="auto"/>
              </w:rPr>
            </w:pPr>
          </w:p>
        </w:tc>
        <w:tc>
          <w:tcPr>
            <w:tcW w:w="320" w:type="dxa"/>
            <w:vAlign w:val="bottom"/>
            <w:tcBorders>
              <w:bottom w:val="single" w:sz="8" w:color="2D53A6"/>
              <w:right w:val="single" w:sz="8" w:color="E6E6E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2D53A6"/>
              <w:right w:val="single" w:sz="8" w:color="E6E6E6"/>
            </w:tcBorders>
            <w:shd w:val="clear" w:color="auto" w:fill="E6E6E6"/>
          </w:tcPr>
          <w:p>
            <w:pPr>
              <w:spacing w:after="0"/>
              <w:rPr>
                <w:sz w:val="18"/>
                <w:szCs w:val="18"/>
                <w:color w:val="auto"/>
              </w:rPr>
            </w:pPr>
          </w:p>
        </w:tc>
        <w:tc>
          <w:tcPr>
            <w:tcW w:w="1260" w:type="dxa"/>
            <w:vAlign w:val="bottom"/>
            <w:tcBorders>
              <w:bottom w:val="single" w:sz="8" w:color="2D53A6"/>
            </w:tcBorders>
            <w:shd w:val="clear" w:color="auto" w:fill="E6E6E6"/>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2D53A6"/>
        </w:rPr>
        <w:t xml:space="preserve">Board Diversity </w:t>
      </w:r>
      <w:r>
        <w:rPr>
          <w:rFonts w:ascii="Arial" w:cs="Arial" w:eastAsia="Arial" w:hAnsi="Arial"/>
          <w:sz w:val="29"/>
          <w:szCs w:val="29"/>
          <w:color w:val="2D53A6"/>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71755</wp:posOffset>
            </wp:positionV>
            <wp:extent cx="4714875" cy="16287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714875" cy="1628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40" w:right="1020" w:hanging="332"/>
        <w:spacing w:after="0" w:line="277"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With Ms. Camp not standing for re-election, as of the meeting date, the Board will have 2 female members, or 28.6%; and members from underrepresented communities will be 28.6%.</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2" w:name="page13"/>
    <w:bookmarkEnd w:id="12"/>
    <w:p>
      <w:pPr>
        <w:spacing w:after="0"/>
        <w:rPr>
          <w:sz w:val="20"/>
          <w:szCs w:val="20"/>
          <w:color w:val="auto"/>
        </w:rPr>
      </w:pPr>
      <w:r>
        <w:rPr>
          <w:rFonts w:ascii="Arial" w:cs="Arial" w:eastAsia="Arial" w:hAnsi="Arial"/>
          <w:sz w:val="22"/>
          <w:szCs w:val="22"/>
          <w:b w:val="1"/>
          <w:bCs w:val="1"/>
          <w:color w:val="2D53A6"/>
        </w:rPr>
        <w:t>Corporate Governance Highlights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9900" w:type="dxa"/>
            <w:vAlign w:val="bottom"/>
            <w:tcBorders>
              <w:right w:val="single" w:sz="8" w:color="2D53A6"/>
            </w:tcBorders>
            <w:vMerge w:val="restart"/>
            <w:shd w:val="clear" w:color="auto" w:fill="2D53A6"/>
          </w:tcPr>
          <w:p>
            <w:pPr>
              <w:spacing w:after="0"/>
              <w:rPr>
                <w:sz w:val="20"/>
                <w:szCs w:val="20"/>
                <w:color w:val="auto"/>
              </w:rPr>
            </w:pPr>
            <w:r>
              <w:rPr>
                <w:rFonts w:ascii="Arial" w:cs="Arial" w:eastAsia="Arial" w:hAnsi="Arial"/>
                <w:sz w:val="18"/>
                <w:szCs w:val="18"/>
                <w:b w:val="1"/>
                <w:bCs w:val="1"/>
                <w:color w:val="FFFFFF"/>
              </w:rPr>
              <w:t>Board and Other Governance Information</w:t>
            </w:r>
          </w:p>
        </w:tc>
        <w:tc>
          <w:tcPr>
            <w:tcW w:w="1340" w:type="dxa"/>
            <w:vAlign w:val="bottom"/>
            <w:shd w:val="clear" w:color="auto" w:fill="2D53A6"/>
          </w:tcPr>
          <w:p>
            <w:pPr>
              <w:jc w:val="center"/>
              <w:spacing w:after="0"/>
              <w:rPr>
                <w:sz w:val="20"/>
                <w:szCs w:val="20"/>
                <w:color w:val="auto"/>
              </w:rPr>
            </w:pPr>
            <w:r>
              <w:rPr>
                <w:rFonts w:ascii="Arial" w:cs="Arial" w:eastAsia="Arial" w:hAnsi="Arial"/>
                <w:sz w:val="18"/>
                <w:szCs w:val="18"/>
                <w:b w:val="1"/>
                <w:bCs w:val="1"/>
                <w:color w:val="FFFFFF"/>
                <w:w w:val="91"/>
              </w:rPr>
              <w:t>As of March 15,</w:t>
            </w:r>
          </w:p>
        </w:tc>
        <w:tc>
          <w:tcPr>
            <w:tcW w:w="0" w:type="dxa"/>
            <w:vAlign w:val="bottom"/>
          </w:tcPr>
          <w:p>
            <w:pPr>
              <w:spacing w:after="0"/>
              <w:rPr>
                <w:sz w:val="1"/>
                <w:szCs w:val="1"/>
                <w:color w:val="auto"/>
              </w:rPr>
            </w:pPr>
          </w:p>
        </w:tc>
      </w:tr>
      <w:tr>
        <w:trPr>
          <w:trHeight w:val="126"/>
        </w:trPr>
        <w:tc>
          <w:tcPr>
            <w:tcW w:w="9900" w:type="dxa"/>
            <w:vAlign w:val="bottom"/>
            <w:tcBorders>
              <w:right w:val="single" w:sz="8" w:color="2D53A6"/>
            </w:tcBorders>
            <w:vMerge w:val="continue"/>
            <w:shd w:val="clear" w:color="auto" w:fill="2D53A6"/>
          </w:tcPr>
          <w:p>
            <w:pPr>
              <w:spacing w:after="0"/>
              <w:rPr>
                <w:sz w:val="10"/>
                <w:szCs w:val="10"/>
                <w:color w:val="auto"/>
              </w:rPr>
            </w:pPr>
          </w:p>
        </w:tc>
        <w:tc>
          <w:tcPr>
            <w:tcW w:w="1340" w:type="dxa"/>
            <w:vAlign w:val="bottom"/>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89"/>
              </w:rPr>
              <w:t>2022</w:t>
            </w:r>
          </w:p>
        </w:tc>
        <w:tc>
          <w:tcPr>
            <w:tcW w:w="0" w:type="dxa"/>
            <w:vAlign w:val="bottom"/>
          </w:tcPr>
          <w:p>
            <w:pPr>
              <w:spacing w:after="0"/>
              <w:rPr>
                <w:sz w:val="1"/>
                <w:szCs w:val="1"/>
                <w:color w:val="auto"/>
              </w:rPr>
            </w:pPr>
          </w:p>
        </w:tc>
      </w:tr>
      <w:tr>
        <w:trPr>
          <w:trHeight w:val="122"/>
        </w:trPr>
        <w:tc>
          <w:tcPr>
            <w:tcW w:w="9900" w:type="dxa"/>
            <w:vAlign w:val="bottom"/>
            <w:tcBorders>
              <w:right w:val="single" w:sz="8" w:color="2D53A6"/>
            </w:tcBorders>
            <w:shd w:val="clear" w:color="auto" w:fill="2D53A6"/>
          </w:tcPr>
          <w:p>
            <w:pPr>
              <w:spacing w:after="0"/>
              <w:rPr>
                <w:sz w:val="10"/>
                <w:szCs w:val="10"/>
                <w:color w:val="auto"/>
              </w:rPr>
            </w:pPr>
          </w:p>
        </w:tc>
        <w:tc>
          <w:tcPr>
            <w:tcW w:w="1340" w:type="dxa"/>
            <w:vAlign w:val="bottom"/>
            <w:vMerge w:val="continue"/>
            <w:shd w:val="clear" w:color="auto" w:fill="2D53A6"/>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9900" w:type="dxa"/>
            <w:vAlign w:val="bottom"/>
            <w:tcBorders>
              <w:bottom w:val="single" w:sz="8" w:color="2D53A6"/>
              <w:right w:val="single" w:sz="8" w:color="2D53A6"/>
            </w:tcBorders>
          </w:tcPr>
          <w:p>
            <w:pPr>
              <w:spacing w:after="0"/>
              <w:rPr>
                <w:sz w:val="20"/>
                <w:szCs w:val="20"/>
                <w:color w:val="auto"/>
              </w:rPr>
            </w:pPr>
            <w:r>
              <w:rPr>
                <w:rFonts w:ascii="Arial" w:cs="Arial" w:eastAsia="Arial" w:hAnsi="Arial"/>
                <w:sz w:val="18"/>
                <w:szCs w:val="18"/>
                <w:color w:val="auto"/>
              </w:rPr>
              <w:t>Size of Board</w:t>
            </w:r>
          </w:p>
        </w:tc>
        <w:tc>
          <w:tcPr>
            <w:tcW w:w="1340" w:type="dxa"/>
            <w:vAlign w:val="bottom"/>
            <w:tcBorders>
              <w:bottom w:val="single" w:sz="8" w:color="2D53A6"/>
            </w:tcBorders>
          </w:tcPr>
          <w:p>
            <w:pPr>
              <w:jc w:val="center"/>
              <w:spacing w:after="0"/>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209"/>
        </w:trPr>
        <w:tc>
          <w:tcPr>
            <w:tcW w:w="9900" w:type="dxa"/>
            <w:vAlign w:val="bottom"/>
            <w:tcBorders>
              <w:bottom w:val="single" w:sz="8" w:color="2D53A6"/>
              <w:right w:val="single" w:sz="8" w:color="2D53A6"/>
            </w:tcBorders>
            <w:shd w:val="clear" w:color="auto" w:fill="E6E6E6"/>
          </w:tcPr>
          <w:p>
            <w:pPr>
              <w:spacing w:after="0"/>
              <w:rPr>
                <w:sz w:val="20"/>
                <w:szCs w:val="20"/>
                <w:color w:val="auto"/>
              </w:rPr>
            </w:pPr>
            <w:r>
              <w:rPr>
                <w:rFonts w:ascii="Arial" w:cs="Arial" w:eastAsia="Arial" w:hAnsi="Arial"/>
                <w:sz w:val="18"/>
                <w:szCs w:val="18"/>
                <w:color w:val="auto"/>
              </w:rPr>
              <w:t>Number of Independent Directors</w:t>
            </w:r>
          </w:p>
        </w:tc>
        <w:tc>
          <w:tcPr>
            <w:tcW w:w="1340" w:type="dxa"/>
            <w:vAlign w:val="bottom"/>
            <w:tcBorders>
              <w:bottom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210"/>
        </w:trPr>
        <w:tc>
          <w:tcPr>
            <w:tcW w:w="9900" w:type="dxa"/>
            <w:vAlign w:val="bottom"/>
            <w:tcBorders>
              <w:bottom w:val="single" w:sz="8" w:color="2D53A6"/>
              <w:right w:val="single" w:sz="8" w:color="2D53A6"/>
            </w:tcBorders>
          </w:tcPr>
          <w:p>
            <w:pPr>
              <w:spacing w:after="0"/>
              <w:rPr>
                <w:sz w:val="20"/>
                <w:szCs w:val="20"/>
                <w:color w:val="auto"/>
              </w:rPr>
            </w:pPr>
            <w:r>
              <w:rPr>
                <w:rFonts w:ascii="Arial" w:cs="Arial" w:eastAsia="Arial" w:hAnsi="Arial"/>
                <w:sz w:val="18"/>
                <w:szCs w:val="18"/>
                <w:color w:val="auto"/>
              </w:rPr>
              <w:t>Number of Directors Who Attended ≥ 75% of Meetings</w:t>
            </w:r>
          </w:p>
        </w:tc>
        <w:tc>
          <w:tcPr>
            <w:tcW w:w="1340" w:type="dxa"/>
            <w:vAlign w:val="bottom"/>
            <w:tcBorders>
              <w:bottom w:val="single" w:sz="8" w:color="2D53A6"/>
            </w:tcBorders>
          </w:tcPr>
          <w:p>
            <w:pPr>
              <w:jc w:val="center"/>
              <w:spacing w:after="0"/>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209"/>
        </w:trPr>
        <w:tc>
          <w:tcPr>
            <w:tcW w:w="9900" w:type="dxa"/>
            <w:vAlign w:val="bottom"/>
            <w:tcBorders>
              <w:bottom w:val="single" w:sz="8" w:color="2D53A6"/>
              <w:right w:val="single" w:sz="8" w:color="2D53A6"/>
            </w:tcBorders>
            <w:shd w:val="clear" w:color="auto" w:fill="E6E6E6"/>
          </w:tcPr>
          <w:p>
            <w:pPr>
              <w:spacing w:after="0"/>
              <w:rPr>
                <w:sz w:val="20"/>
                <w:szCs w:val="20"/>
                <w:color w:val="auto"/>
              </w:rPr>
            </w:pPr>
            <w:r>
              <w:rPr>
                <w:rFonts w:ascii="Arial" w:cs="Arial" w:eastAsia="Arial" w:hAnsi="Arial"/>
                <w:sz w:val="18"/>
                <w:szCs w:val="18"/>
                <w:color w:val="auto"/>
              </w:rPr>
              <w:t>Limitations on Other Public Board and Committee Memberships</w:t>
            </w:r>
          </w:p>
        </w:tc>
        <w:tc>
          <w:tcPr>
            <w:tcW w:w="1340" w:type="dxa"/>
            <w:vAlign w:val="bottom"/>
            <w:tcBorders>
              <w:bottom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83"/>
              </w:rPr>
              <w:t>Yes</w:t>
            </w:r>
          </w:p>
        </w:tc>
        <w:tc>
          <w:tcPr>
            <w:tcW w:w="0" w:type="dxa"/>
            <w:vAlign w:val="bottom"/>
          </w:tcPr>
          <w:p>
            <w:pPr>
              <w:spacing w:after="0"/>
              <w:rPr>
                <w:sz w:val="1"/>
                <w:szCs w:val="1"/>
                <w:color w:val="auto"/>
              </w:rPr>
            </w:pPr>
          </w:p>
        </w:tc>
      </w:tr>
      <w:tr>
        <w:trPr>
          <w:trHeight w:val="209"/>
        </w:trPr>
        <w:tc>
          <w:tcPr>
            <w:tcW w:w="9900" w:type="dxa"/>
            <w:vAlign w:val="bottom"/>
            <w:tcBorders>
              <w:bottom w:val="single" w:sz="8" w:color="2D53A6"/>
              <w:right w:val="single" w:sz="8" w:color="2D53A6"/>
            </w:tcBorders>
          </w:tcPr>
          <w:p>
            <w:pPr>
              <w:spacing w:after="0"/>
              <w:rPr>
                <w:sz w:val="20"/>
                <w:szCs w:val="20"/>
                <w:color w:val="auto"/>
              </w:rPr>
            </w:pPr>
            <w:r>
              <w:rPr>
                <w:rFonts w:ascii="Arial" w:cs="Arial" w:eastAsia="Arial" w:hAnsi="Arial"/>
                <w:sz w:val="18"/>
                <w:szCs w:val="18"/>
                <w:color w:val="auto"/>
              </w:rPr>
              <w:t>Hedging and Pledging Prohibited</w:t>
            </w:r>
          </w:p>
        </w:tc>
        <w:tc>
          <w:tcPr>
            <w:tcW w:w="1340" w:type="dxa"/>
            <w:vAlign w:val="bottom"/>
            <w:tcBorders>
              <w:bottom w:val="single" w:sz="8" w:color="2D53A6"/>
            </w:tcBorders>
          </w:tcPr>
          <w:p>
            <w:pPr>
              <w:jc w:val="center"/>
              <w:spacing w:after="0"/>
              <w:rPr>
                <w:sz w:val="20"/>
                <w:szCs w:val="20"/>
                <w:color w:val="auto"/>
              </w:rPr>
            </w:pPr>
            <w:r>
              <w:rPr>
                <w:rFonts w:ascii="Arial" w:cs="Arial" w:eastAsia="Arial" w:hAnsi="Arial"/>
                <w:sz w:val="18"/>
                <w:szCs w:val="18"/>
                <w:color w:val="auto"/>
                <w:w w:val="83"/>
              </w:rPr>
              <w:t>Yes</w:t>
            </w:r>
          </w:p>
        </w:tc>
        <w:tc>
          <w:tcPr>
            <w:tcW w:w="0" w:type="dxa"/>
            <w:vAlign w:val="bottom"/>
          </w:tcPr>
          <w:p>
            <w:pPr>
              <w:spacing w:after="0"/>
              <w:rPr>
                <w:sz w:val="1"/>
                <w:szCs w:val="1"/>
                <w:color w:val="auto"/>
              </w:rPr>
            </w:pPr>
          </w:p>
        </w:tc>
      </w:tr>
      <w:tr>
        <w:trPr>
          <w:trHeight w:val="210"/>
        </w:trPr>
        <w:tc>
          <w:tcPr>
            <w:tcW w:w="9900" w:type="dxa"/>
            <w:vAlign w:val="bottom"/>
            <w:tcBorders>
              <w:bottom w:val="single" w:sz="8" w:color="2D53A6"/>
              <w:right w:val="single" w:sz="8" w:color="2D53A6"/>
            </w:tcBorders>
            <w:shd w:val="clear" w:color="auto" w:fill="E6E6E6"/>
          </w:tcPr>
          <w:p>
            <w:pPr>
              <w:spacing w:after="0"/>
              <w:rPr>
                <w:sz w:val="20"/>
                <w:szCs w:val="20"/>
                <w:color w:val="auto"/>
              </w:rPr>
            </w:pPr>
            <w:r>
              <w:rPr>
                <w:rFonts w:ascii="Arial" w:cs="Arial" w:eastAsia="Arial" w:hAnsi="Arial"/>
                <w:sz w:val="18"/>
                <w:szCs w:val="18"/>
                <w:color w:val="auto"/>
              </w:rPr>
              <w:t>Voting Standard of Election of Directors</w:t>
            </w:r>
          </w:p>
        </w:tc>
        <w:tc>
          <w:tcPr>
            <w:tcW w:w="1340" w:type="dxa"/>
            <w:vAlign w:val="bottom"/>
            <w:tcBorders>
              <w:bottom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8"/>
              </w:rPr>
              <w:t>Majority</w:t>
            </w:r>
          </w:p>
        </w:tc>
        <w:tc>
          <w:tcPr>
            <w:tcW w:w="0" w:type="dxa"/>
            <w:vAlign w:val="bottom"/>
          </w:tcPr>
          <w:p>
            <w:pPr>
              <w:spacing w:after="0"/>
              <w:rPr>
                <w:sz w:val="1"/>
                <w:szCs w:val="1"/>
                <w:color w:val="auto"/>
              </w:rPr>
            </w:pPr>
          </w:p>
        </w:tc>
      </w:tr>
      <w:tr>
        <w:trPr>
          <w:trHeight w:val="209"/>
        </w:trPr>
        <w:tc>
          <w:tcPr>
            <w:tcW w:w="9900" w:type="dxa"/>
            <w:vAlign w:val="bottom"/>
            <w:tcBorders>
              <w:bottom w:val="single" w:sz="8" w:color="2D53A6"/>
              <w:right w:val="single" w:sz="8" w:color="2D53A6"/>
            </w:tcBorders>
          </w:tcPr>
          <w:p>
            <w:pPr>
              <w:spacing w:after="0"/>
              <w:rPr>
                <w:sz w:val="20"/>
                <w:szCs w:val="20"/>
                <w:color w:val="auto"/>
              </w:rPr>
            </w:pPr>
            <w:r>
              <w:rPr>
                <w:rFonts w:ascii="Arial" w:cs="Arial" w:eastAsia="Arial" w:hAnsi="Arial"/>
                <w:sz w:val="18"/>
                <w:szCs w:val="18"/>
                <w:color w:val="auto"/>
              </w:rPr>
              <w:t>Plurality Voting Carveout for Contested Elections</w:t>
            </w:r>
          </w:p>
        </w:tc>
        <w:tc>
          <w:tcPr>
            <w:tcW w:w="1340" w:type="dxa"/>
            <w:vAlign w:val="bottom"/>
            <w:tcBorders>
              <w:bottom w:val="single" w:sz="8" w:color="2D53A6"/>
            </w:tcBorders>
          </w:tcPr>
          <w:p>
            <w:pPr>
              <w:jc w:val="center"/>
              <w:spacing w:after="0"/>
              <w:rPr>
                <w:sz w:val="20"/>
                <w:szCs w:val="20"/>
                <w:color w:val="auto"/>
              </w:rPr>
            </w:pPr>
            <w:r>
              <w:rPr>
                <w:rFonts w:ascii="Arial" w:cs="Arial" w:eastAsia="Arial" w:hAnsi="Arial"/>
                <w:sz w:val="18"/>
                <w:szCs w:val="18"/>
                <w:color w:val="auto"/>
                <w:w w:val="83"/>
              </w:rPr>
              <w:t>Yes</w:t>
            </w:r>
          </w:p>
        </w:tc>
        <w:tc>
          <w:tcPr>
            <w:tcW w:w="0" w:type="dxa"/>
            <w:vAlign w:val="bottom"/>
          </w:tcPr>
          <w:p>
            <w:pPr>
              <w:spacing w:after="0"/>
              <w:rPr>
                <w:sz w:val="1"/>
                <w:szCs w:val="1"/>
                <w:color w:val="auto"/>
              </w:rPr>
            </w:pPr>
          </w:p>
        </w:tc>
      </w:tr>
      <w:tr>
        <w:trPr>
          <w:trHeight w:val="210"/>
        </w:trPr>
        <w:tc>
          <w:tcPr>
            <w:tcW w:w="9900" w:type="dxa"/>
            <w:vAlign w:val="bottom"/>
            <w:tcBorders>
              <w:bottom w:val="single" w:sz="8" w:color="2D53A6"/>
              <w:right w:val="single" w:sz="8" w:color="2D53A6"/>
            </w:tcBorders>
            <w:shd w:val="clear" w:color="auto" w:fill="E6E6E6"/>
          </w:tcPr>
          <w:p>
            <w:pPr>
              <w:spacing w:after="0"/>
              <w:rPr>
                <w:sz w:val="20"/>
                <w:szCs w:val="20"/>
                <w:color w:val="auto"/>
              </w:rPr>
            </w:pPr>
            <w:r>
              <w:rPr>
                <w:rFonts w:ascii="Arial" w:cs="Arial" w:eastAsia="Arial" w:hAnsi="Arial"/>
                <w:sz w:val="18"/>
                <w:szCs w:val="18"/>
                <w:color w:val="auto"/>
              </w:rPr>
              <w:t>Separate Chair and CEO</w:t>
            </w:r>
          </w:p>
        </w:tc>
        <w:tc>
          <w:tcPr>
            <w:tcW w:w="1340" w:type="dxa"/>
            <w:vAlign w:val="bottom"/>
            <w:tcBorders>
              <w:bottom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83"/>
              </w:rPr>
              <w:t>Yes</w:t>
            </w:r>
          </w:p>
        </w:tc>
        <w:tc>
          <w:tcPr>
            <w:tcW w:w="0" w:type="dxa"/>
            <w:vAlign w:val="bottom"/>
          </w:tcPr>
          <w:p>
            <w:pPr>
              <w:spacing w:after="0"/>
              <w:rPr>
                <w:sz w:val="1"/>
                <w:szCs w:val="1"/>
                <w:color w:val="auto"/>
              </w:rPr>
            </w:pPr>
          </w:p>
        </w:tc>
      </w:tr>
      <w:tr>
        <w:trPr>
          <w:trHeight w:val="209"/>
        </w:trPr>
        <w:tc>
          <w:tcPr>
            <w:tcW w:w="9900" w:type="dxa"/>
            <w:vAlign w:val="bottom"/>
            <w:tcBorders>
              <w:bottom w:val="single" w:sz="8" w:color="2D53A6"/>
              <w:right w:val="single" w:sz="8" w:color="2D53A6"/>
            </w:tcBorders>
          </w:tcPr>
          <w:p>
            <w:pPr>
              <w:spacing w:after="0"/>
              <w:rPr>
                <w:sz w:val="20"/>
                <w:szCs w:val="20"/>
                <w:color w:val="auto"/>
              </w:rPr>
            </w:pPr>
            <w:r>
              <w:rPr>
                <w:rFonts w:ascii="Arial" w:cs="Arial" w:eastAsia="Arial" w:hAnsi="Arial"/>
                <w:sz w:val="18"/>
                <w:szCs w:val="18"/>
                <w:color w:val="auto"/>
              </w:rPr>
              <w:t>Lead Independent Director</w:t>
            </w:r>
          </w:p>
        </w:tc>
        <w:tc>
          <w:tcPr>
            <w:tcW w:w="1340" w:type="dxa"/>
            <w:vAlign w:val="bottom"/>
            <w:tcBorders>
              <w:bottom w:val="single" w:sz="8" w:color="2D53A6"/>
            </w:tcBorders>
          </w:tcPr>
          <w:p>
            <w:pPr>
              <w:jc w:val="center"/>
              <w:spacing w:after="0"/>
              <w:rPr>
                <w:sz w:val="20"/>
                <w:szCs w:val="20"/>
                <w:color w:val="auto"/>
              </w:rPr>
            </w:pPr>
            <w:r>
              <w:rPr>
                <w:rFonts w:ascii="Arial" w:cs="Arial" w:eastAsia="Arial" w:hAnsi="Arial"/>
                <w:sz w:val="18"/>
                <w:szCs w:val="18"/>
                <w:color w:val="auto"/>
                <w:w w:val="83"/>
              </w:rPr>
              <w:t>Yes</w:t>
            </w:r>
          </w:p>
        </w:tc>
        <w:tc>
          <w:tcPr>
            <w:tcW w:w="0" w:type="dxa"/>
            <w:vAlign w:val="bottom"/>
          </w:tcPr>
          <w:p>
            <w:pPr>
              <w:spacing w:after="0"/>
              <w:rPr>
                <w:sz w:val="1"/>
                <w:szCs w:val="1"/>
                <w:color w:val="auto"/>
              </w:rPr>
            </w:pPr>
          </w:p>
        </w:tc>
      </w:tr>
      <w:tr>
        <w:trPr>
          <w:trHeight w:val="209"/>
        </w:trPr>
        <w:tc>
          <w:tcPr>
            <w:tcW w:w="9900" w:type="dxa"/>
            <w:vAlign w:val="bottom"/>
            <w:tcBorders>
              <w:bottom w:val="single" w:sz="8" w:color="2D53A6"/>
              <w:right w:val="single" w:sz="8" w:color="2D53A6"/>
            </w:tcBorders>
            <w:shd w:val="clear" w:color="auto" w:fill="E6E6E6"/>
          </w:tcPr>
          <w:p>
            <w:pPr>
              <w:spacing w:after="0"/>
              <w:rPr>
                <w:sz w:val="20"/>
                <w:szCs w:val="20"/>
                <w:color w:val="auto"/>
              </w:rPr>
            </w:pPr>
            <w:r>
              <w:rPr>
                <w:rFonts w:ascii="Arial" w:cs="Arial" w:eastAsia="Arial" w:hAnsi="Arial"/>
                <w:sz w:val="18"/>
                <w:szCs w:val="18"/>
                <w:color w:val="auto"/>
              </w:rPr>
              <w:t>Independent Directors Meet Without Management Present</w:t>
            </w:r>
          </w:p>
        </w:tc>
        <w:tc>
          <w:tcPr>
            <w:tcW w:w="1340" w:type="dxa"/>
            <w:vAlign w:val="bottom"/>
            <w:tcBorders>
              <w:bottom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83"/>
              </w:rPr>
              <w:t>Yes</w:t>
            </w:r>
          </w:p>
        </w:tc>
        <w:tc>
          <w:tcPr>
            <w:tcW w:w="0" w:type="dxa"/>
            <w:vAlign w:val="bottom"/>
          </w:tcPr>
          <w:p>
            <w:pPr>
              <w:spacing w:after="0"/>
              <w:rPr>
                <w:sz w:val="1"/>
                <w:szCs w:val="1"/>
                <w:color w:val="auto"/>
              </w:rPr>
            </w:pPr>
          </w:p>
        </w:tc>
      </w:tr>
      <w:tr>
        <w:trPr>
          <w:trHeight w:val="210"/>
        </w:trPr>
        <w:tc>
          <w:tcPr>
            <w:tcW w:w="9900" w:type="dxa"/>
            <w:vAlign w:val="bottom"/>
            <w:tcBorders>
              <w:bottom w:val="single" w:sz="8" w:color="2D53A6"/>
              <w:right w:val="single" w:sz="8" w:color="2D53A6"/>
            </w:tcBorders>
          </w:tcPr>
          <w:p>
            <w:pPr>
              <w:spacing w:after="0"/>
              <w:rPr>
                <w:sz w:val="20"/>
                <w:szCs w:val="20"/>
                <w:color w:val="auto"/>
              </w:rPr>
            </w:pPr>
            <w:r>
              <w:rPr>
                <w:rFonts w:ascii="Arial" w:cs="Arial" w:eastAsia="Arial" w:hAnsi="Arial"/>
                <w:sz w:val="18"/>
                <w:szCs w:val="18"/>
                <w:color w:val="auto"/>
              </w:rPr>
              <w:t>Annual Board and Committee Self-Evaluations</w:t>
            </w:r>
          </w:p>
        </w:tc>
        <w:tc>
          <w:tcPr>
            <w:tcW w:w="1340" w:type="dxa"/>
            <w:vAlign w:val="bottom"/>
            <w:tcBorders>
              <w:bottom w:val="single" w:sz="8" w:color="2D53A6"/>
            </w:tcBorders>
          </w:tcPr>
          <w:p>
            <w:pPr>
              <w:jc w:val="center"/>
              <w:spacing w:after="0"/>
              <w:rPr>
                <w:sz w:val="20"/>
                <w:szCs w:val="20"/>
                <w:color w:val="auto"/>
              </w:rPr>
            </w:pPr>
            <w:r>
              <w:rPr>
                <w:rFonts w:ascii="Arial" w:cs="Arial" w:eastAsia="Arial" w:hAnsi="Arial"/>
                <w:sz w:val="18"/>
                <w:szCs w:val="18"/>
                <w:color w:val="auto"/>
                <w:w w:val="83"/>
              </w:rPr>
              <w:t>Yes</w:t>
            </w:r>
          </w:p>
        </w:tc>
        <w:tc>
          <w:tcPr>
            <w:tcW w:w="0" w:type="dxa"/>
            <w:vAlign w:val="bottom"/>
          </w:tcPr>
          <w:p>
            <w:pPr>
              <w:spacing w:after="0"/>
              <w:rPr>
                <w:sz w:val="1"/>
                <w:szCs w:val="1"/>
                <w:color w:val="auto"/>
              </w:rPr>
            </w:pPr>
          </w:p>
        </w:tc>
      </w:tr>
      <w:tr>
        <w:trPr>
          <w:trHeight w:val="209"/>
        </w:trPr>
        <w:tc>
          <w:tcPr>
            <w:tcW w:w="9900" w:type="dxa"/>
            <w:vAlign w:val="bottom"/>
            <w:tcBorders>
              <w:bottom w:val="single" w:sz="8" w:color="2D53A6"/>
              <w:right w:val="single" w:sz="8" w:color="2D53A6"/>
            </w:tcBorders>
            <w:shd w:val="clear" w:color="auto" w:fill="E6E6E6"/>
          </w:tcPr>
          <w:p>
            <w:pPr>
              <w:spacing w:after="0"/>
              <w:rPr>
                <w:sz w:val="20"/>
                <w:szCs w:val="20"/>
                <w:color w:val="auto"/>
              </w:rPr>
            </w:pPr>
            <w:r>
              <w:rPr>
                <w:rFonts w:ascii="Arial" w:cs="Arial" w:eastAsia="Arial" w:hAnsi="Arial"/>
                <w:sz w:val="18"/>
                <w:szCs w:val="18"/>
                <w:color w:val="auto"/>
              </w:rPr>
              <w:t>Annual Independent Director Evaluation of CEO</w:t>
            </w:r>
          </w:p>
        </w:tc>
        <w:tc>
          <w:tcPr>
            <w:tcW w:w="1340" w:type="dxa"/>
            <w:vAlign w:val="bottom"/>
            <w:tcBorders>
              <w:bottom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83"/>
              </w:rPr>
              <w:t>Yes</w:t>
            </w:r>
          </w:p>
        </w:tc>
        <w:tc>
          <w:tcPr>
            <w:tcW w:w="0" w:type="dxa"/>
            <w:vAlign w:val="bottom"/>
          </w:tcPr>
          <w:p>
            <w:pPr>
              <w:spacing w:after="0"/>
              <w:rPr>
                <w:sz w:val="1"/>
                <w:szCs w:val="1"/>
                <w:color w:val="auto"/>
              </w:rPr>
            </w:pPr>
          </w:p>
        </w:tc>
      </w:tr>
      <w:tr>
        <w:trPr>
          <w:trHeight w:val="209"/>
        </w:trPr>
        <w:tc>
          <w:tcPr>
            <w:tcW w:w="9900" w:type="dxa"/>
            <w:vAlign w:val="bottom"/>
            <w:tcBorders>
              <w:bottom w:val="single" w:sz="8" w:color="2D53A6"/>
              <w:right w:val="single" w:sz="8" w:color="2D53A6"/>
            </w:tcBorders>
          </w:tcPr>
          <w:p>
            <w:pPr>
              <w:spacing w:after="0"/>
              <w:rPr>
                <w:sz w:val="20"/>
                <w:szCs w:val="20"/>
                <w:color w:val="auto"/>
              </w:rPr>
            </w:pPr>
            <w:r>
              <w:rPr>
                <w:rFonts w:ascii="Arial" w:cs="Arial" w:eastAsia="Arial" w:hAnsi="Arial"/>
                <w:sz w:val="18"/>
                <w:szCs w:val="18"/>
                <w:color w:val="auto"/>
              </w:rPr>
              <w:t>Risk Oversight by Full Board and Committees</w:t>
            </w:r>
          </w:p>
        </w:tc>
        <w:tc>
          <w:tcPr>
            <w:tcW w:w="1340" w:type="dxa"/>
            <w:vAlign w:val="bottom"/>
            <w:tcBorders>
              <w:bottom w:val="single" w:sz="8" w:color="2D53A6"/>
            </w:tcBorders>
          </w:tcPr>
          <w:p>
            <w:pPr>
              <w:jc w:val="center"/>
              <w:spacing w:after="0"/>
              <w:rPr>
                <w:sz w:val="20"/>
                <w:szCs w:val="20"/>
                <w:color w:val="auto"/>
              </w:rPr>
            </w:pPr>
            <w:r>
              <w:rPr>
                <w:rFonts w:ascii="Arial" w:cs="Arial" w:eastAsia="Arial" w:hAnsi="Arial"/>
                <w:sz w:val="18"/>
                <w:szCs w:val="18"/>
                <w:color w:val="auto"/>
                <w:w w:val="83"/>
              </w:rPr>
              <w:t>Yes</w:t>
            </w:r>
          </w:p>
        </w:tc>
        <w:tc>
          <w:tcPr>
            <w:tcW w:w="0" w:type="dxa"/>
            <w:vAlign w:val="bottom"/>
          </w:tcPr>
          <w:p>
            <w:pPr>
              <w:spacing w:after="0"/>
              <w:rPr>
                <w:sz w:val="1"/>
                <w:szCs w:val="1"/>
                <w:color w:val="auto"/>
              </w:rPr>
            </w:pPr>
          </w:p>
        </w:tc>
      </w:tr>
      <w:tr>
        <w:trPr>
          <w:trHeight w:val="210"/>
        </w:trPr>
        <w:tc>
          <w:tcPr>
            <w:tcW w:w="9900" w:type="dxa"/>
            <w:vAlign w:val="bottom"/>
            <w:tcBorders>
              <w:bottom w:val="single" w:sz="8" w:color="2D53A6"/>
              <w:right w:val="single" w:sz="8" w:color="2D53A6"/>
            </w:tcBorders>
            <w:shd w:val="clear" w:color="auto" w:fill="E6E6E6"/>
          </w:tcPr>
          <w:p>
            <w:pPr>
              <w:spacing w:after="0"/>
              <w:rPr>
                <w:sz w:val="20"/>
                <w:szCs w:val="20"/>
                <w:color w:val="auto"/>
              </w:rPr>
            </w:pPr>
            <w:r>
              <w:rPr>
                <w:rFonts w:ascii="Arial" w:cs="Arial" w:eastAsia="Arial" w:hAnsi="Arial"/>
                <w:sz w:val="18"/>
                <w:szCs w:val="18"/>
                <w:color w:val="auto"/>
              </w:rPr>
              <w:t>Commitment to Board Diversity</w:t>
            </w:r>
          </w:p>
        </w:tc>
        <w:tc>
          <w:tcPr>
            <w:tcW w:w="1340" w:type="dxa"/>
            <w:vAlign w:val="bottom"/>
            <w:tcBorders>
              <w:bottom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83"/>
              </w:rPr>
              <w:t>Yes</w:t>
            </w:r>
          </w:p>
        </w:tc>
        <w:tc>
          <w:tcPr>
            <w:tcW w:w="0" w:type="dxa"/>
            <w:vAlign w:val="bottom"/>
          </w:tcPr>
          <w:p>
            <w:pPr>
              <w:spacing w:after="0"/>
              <w:rPr>
                <w:sz w:val="1"/>
                <w:szCs w:val="1"/>
                <w:color w:val="auto"/>
              </w:rPr>
            </w:pPr>
          </w:p>
        </w:tc>
      </w:tr>
      <w:tr>
        <w:trPr>
          <w:trHeight w:val="209"/>
        </w:trPr>
        <w:tc>
          <w:tcPr>
            <w:tcW w:w="9900" w:type="dxa"/>
            <w:vAlign w:val="bottom"/>
            <w:tcBorders>
              <w:bottom w:val="single" w:sz="8" w:color="2D53A6"/>
              <w:right w:val="single" w:sz="8" w:color="2D53A6"/>
            </w:tcBorders>
          </w:tcPr>
          <w:p>
            <w:pPr>
              <w:spacing w:after="0"/>
              <w:rPr>
                <w:sz w:val="20"/>
                <w:szCs w:val="20"/>
                <w:color w:val="auto"/>
              </w:rPr>
            </w:pPr>
            <w:r>
              <w:rPr>
                <w:rFonts w:ascii="Arial" w:cs="Arial" w:eastAsia="Arial" w:hAnsi="Arial"/>
                <w:sz w:val="18"/>
                <w:szCs w:val="18"/>
                <w:color w:val="auto"/>
              </w:rPr>
              <w:t>Significant Board Engagement - 42 Board and Committee meetings held in 2021</w:t>
            </w:r>
          </w:p>
        </w:tc>
        <w:tc>
          <w:tcPr>
            <w:tcW w:w="1340" w:type="dxa"/>
            <w:vAlign w:val="bottom"/>
            <w:tcBorders>
              <w:bottom w:val="single" w:sz="8" w:color="2D53A6"/>
            </w:tcBorders>
          </w:tcPr>
          <w:p>
            <w:pPr>
              <w:jc w:val="center"/>
              <w:spacing w:after="0"/>
              <w:rPr>
                <w:sz w:val="20"/>
                <w:szCs w:val="20"/>
                <w:color w:val="auto"/>
              </w:rPr>
            </w:pPr>
            <w:r>
              <w:rPr>
                <w:rFonts w:ascii="Arial" w:cs="Arial" w:eastAsia="Arial" w:hAnsi="Arial"/>
                <w:sz w:val="18"/>
                <w:szCs w:val="18"/>
                <w:color w:val="auto"/>
                <w:w w:val="83"/>
              </w:rPr>
              <w:t>Yes</w:t>
            </w:r>
          </w:p>
        </w:tc>
        <w:tc>
          <w:tcPr>
            <w:tcW w:w="0" w:type="dxa"/>
            <w:vAlign w:val="bottom"/>
          </w:tcPr>
          <w:p>
            <w:pPr>
              <w:spacing w:after="0"/>
              <w:rPr>
                <w:sz w:val="1"/>
                <w:szCs w:val="1"/>
                <w:color w:val="auto"/>
              </w:rPr>
            </w:pPr>
          </w:p>
        </w:tc>
      </w:tr>
      <w:tr>
        <w:trPr>
          <w:trHeight w:val="210"/>
        </w:trPr>
        <w:tc>
          <w:tcPr>
            <w:tcW w:w="9900" w:type="dxa"/>
            <w:vAlign w:val="bottom"/>
            <w:tcBorders>
              <w:bottom w:val="single" w:sz="8" w:color="2D53A6"/>
              <w:right w:val="single" w:sz="8" w:color="2D53A6"/>
            </w:tcBorders>
            <w:shd w:val="clear" w:color="auto" w:fill="E6E6E6"/>
          </w:tcPr>
          <w:p>
            <w:pPr>
              <w:spacing w:after="0"/>
              <w:rPr>
                <w:sz w:val="20"/>
                <w:szCs w:val="20"/>
                <w:color w:val="auto"/>
              </w:rPr>
            </w:pPr>
            <w:r>
              <w:rPr>
                <w:rFonts w:ascii="Arial" w:cs="Arial" w:eastAsia="Arial" w:hAnsi="Arial"/>
                <w:sz w:val="18"/>
                <w:szCs w:val="18"/>
                <w:color w:val="auto"/>
              </w:rPr>
              <w:t>Code of Ethics Applicable to Directors</w:t>
            </w:r>
          </w:p>
        </w:tc>
        <w:tc>
          <w:tcPr>
            <w:tcW w:w="1340" w:type="dxa"/>
            <w:vAlign w:val="bottom"/>
            <w:tcBorders>
              <w:bottom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83"/>
              </w:rPr>
              <w:t>Yes</w:t>
            </w:r>
          </w:p>
        </w:tc>
        <w:tc>
          <w:tcPr>
            <w:tcW w:w="0" w:type="dxa"/>
            <w:vAlign w:val="bottom"/>
          </w:tcPr>
          <w:p>
            <w:pPr>
              <w:spacing w:after="0"/>
              <w:rPr>
                <w:sz w:val="1"/>
                <w:szCs w:val="1"/>
                <w:color w:val="auto"/>
              </w:rPr>
            </w:pPr>
          </w:p>
        </w:tc>
      </w:tr>
      <w:tr>
        <w:trPr>
          <w:trHeight w:val="209"/>
        </w:trPr>
        <w:tc>
          <w:tcPr>
            <w:tcW w:w="9900" w:type="dxa"/>
            <w:vAlign w:val="bottom"/>
            <w:tcBorders>
              <w:bottom w:val="single" w:sz="8" w:color="2D53A6"/>
              <w:right w:val="single" w:sz="8" w:color="2D53A6"/>
            </w:tcBorders>
          </w:tcPr>
          <w:p>
            <w:pPr>
              <w:spacing w:after="0"/>
              <w:rPr>
                <w:sz w:val="20"/>
                <w:szCs w:val="20"/>
                <w:color w:val="auto"/>
              </w:rPr>
            </w:pPr>
            <w:r>
              <w:rPr>
                <w:rFonts w:ascii="Arial" w:cs="Arial" w:eastAsia="Arial" w:hAnsi="Arial"/>
                <w:sz w:val="18"/>
                <w:szCs w:val="18"/>
                <w:color w:val="auto"/>
              </w:rPr>
              <w:t>Stockholder Engagement Program</w:t>
            </w:r>
          </w:p>
        </w:tc>
        <w:tc>
          <w:tcPr>
            <w:tcW w:w="1340" w:type="dxa"/>
            <w:vAlign w:val="bottom"/>
            <w:tcBorders>
              <w:bottom w:val="single" w:sz="8" w:color="2D53A6"/>
            </w:tcBorders>
          </w:tcPr>
          <w:p>
            <w:pPr>
              <w:jc w:val="center"/>
              <w:spacing w:after="0"/>
              <w:rPr>
                <w:sz w:val="20"/>
                <w:szCs w:val="20"/>
                <w:color w:val="auto"/>
              </w:rPr>
            </w:pPr>
            <w:r>
              <w:rPr>
                <w:rFonts w:ascii="Arial" w:cs="Arial" w:eastAsia="Arial" w:hAnsi="Arial"/>
                <w:sz w:val="18"/>
                <w:szCs w:val="18"/>
                <w:color w:val="auto"/>
                <w:w w:val="83"/>
              </w:rPr>
              <w:t>Yes</w:t>
            </w:r>
          </w:p>
        </w:tc>
        <w:tc>
          <w:tcPr>
            <w:tcW w:w="0" w:type="dxa"/>
            <w:vAlign w:val="bottom"/>
          </w:tcPr>
          <w:p>
            <w:pPr>
              <w:spacing w:after="0"/>
              <w:rPr>
                <w:sz w:val="1"/>
                <w:szCs w:val="1"/>
                <w:color w:val="auto"/>
              </w:rPr>
            </w:pPr>
          </w:p>
        </w:tc>
      </w:tr>
      <w:tr>
        <w:trPr>
          <w:trHeight w:val="209"/>
        </w:trPr>
        <w:tc>
          <w:tcPr>
            <w:tcW w:w="9900" w:type="dxa"/>
            <w:vAlign w:val="bottom"/>
            <w:tcBorders>
              <w:bottom w:val="single" w:sz="8" w:color="2D53A6"/>
              <w:right w:val="single" w:sz="8" w:color="2D53A6"/>
            </w:tcBorders>
            <w:shd w:val="clear" w:color="auto" w:fill="E6E6E6"/>
          </w:tcPr>
          <w:p>
            <w:pPr>
              <w:spacing w:after="0"/>
              <w:rPr>
                <w:sz w:val="20"/>
                <w:szCs w:val="20"/>
                <w:color w:val="auto"/>
              </w:rPr>
            </w:pPr>
            <w:r>
              <w:rPr>
                <w:rFonts w:ascii="Arial" w:cs="Arial" w:eastAsia="Arial" w:hAnsi="Arial"/>
                <w:sz w:val="18"/>
                <w:szCs w:val="18"/>
                <w:color w:val="auto"/>
              </w:rPr>
              <w:t>Poison Pill</w:t>
            </w:r>
          </w:p>
        </w:tc>
        <w:tc>
          <w:tcPr>
            <w:tcW w:w="1340" w:type="dxa"/>
            <w:vAlign w:val="bottom"/>
            <w:tcBorders>
              <w:bottom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210"/>
        </w:trPr>
        <w:tc>
          <w:tcPr>
            <w:tcW w:w="9900" w:type="dxa"/>
            <w:vAlign w:val="bottom"/>
            <w:tcBorders>
              <w:bottom w:val="single" w:sz="8" w:color="2D53A6"/>
              <w:right w:val="single" w:sz="8" w:color="2D53A6"/>
            </w:tcBorders>
          </w:tcPr>
          <w:p>
            <w:pPr>
              <w:spacing w:after="0"/>
              <w:rPr>
                <w:sz w:val="20"/>
                <w:szCs w:val="20"/>
                <w:color w:val="auto"/>
              </w:rPr>
            </w:pPr>
            <w:r>
              <w:rPr>
                <w:rFonts w:ascii="Arial" w:cs="Arial" w:eastAsia="Arial" w:hAnsi="Arial"/>
                <w:sz w:val="18"/>
                <w:szCs w:val="18"/>
                <w:color w:val="auto"/>
              </w:rPr>
              <w:t>Board Oversight of ESG</w:t>
            </w:r>
          </w:p>
        </w:tc>
        <w:tc>
          <w:tcPr>
            <w:tcW w:w="1340" w:type="dxa"/>
            <w:vAlign w:val="bottom"/>
            <w:tcBorders>
              <w:bottom w:val="single" w:sz="8" w:color="2D53A6"/>
            </w:tcBorders>
          </w:tcPr>
          <w:p>
            <w:pPr>
              <w:jc w:val="center"/>
              <w:spacing w:after="0"/>
              <w:rPr>
                <w:sz w:val="20"/>
                <w:szCs w:val="20"/>
                <w:color w:val="auto"/>
              </w:rPr>
            </w:pPr>
            <w:r>
              <w:rPr>
                <w:rFonts w:ascii="Arial" w:cs="Arial" w:eastAsia="Arial" w:hAnsi="Arial"/>
                <w:sz w:val="18"/>
                <w:szCs w:val="18"/>
                <w:color w:val="auto"/>
                <w:w w:val="83"/>
              </w:rPr>
              <w:t>Yes</w:t>
            </w:r>
          </w:p>
        </w:tc>
        <w:tc>
          <w:tcPr>
            <w:tcW w:w="0" w:type="dxa"/>
            <w:vAlign w:val="bottom"/>
          </w:tcPr>
          <w:p>
            <w:pPr>
              <w:spacing w:after="0"/>
              <w:rPr>
                <w:sz w:val="1"/>
                <w:szCs w:val="1"/>
                <w:color w:val="auto"/>
              </w:rPr>
            </w:pPr>
          </w:p>
        </w:tc>
      </w:tr>
      <w:tr>
        <w:trPr>
          <w:trHeight w:val="209"/>
        </w:trPr>
        <w:tc>
          <w:tcPr>
            <w:tcW w:w="9900" w:type="dxa"/>
            <w:vAlign w:val="bottom"/>
            <w:tcBorders>
              <w:bottom w:val="single" w:sz="8" w:color="2D53A6"/>
              <w:right w:val="single" w:sz="8" w:color="2D53A6"/>
            </w:tcBorders>
            <w:shd w:val="clear" w:color="auto" w:fill="E6E6E6"/>
          </w:tcPr>
          <w:p>
            <w:pPr>
              <w:spacing w:after="0"/>
              <w:rPr>
                <w:sz w:val="20"/>
                <w:szCs w:val="20"/>
                <w:color w:val="auto"/>
              </w:rPr>
            </w:pPr>
            <w:r>
              <w:rPr>
                <w:rFonts w:ascii="Arial" w:cs="Arial" w:eastAsia="Arial" w:hAnsi="Arial"/>
                <w:sz w:val="18"/>
                <w:szCs w:val="18"/>
                <w:color w:val="auto"/>
              </w:rPr>
              <w:t>Publication of Annual ESG Report on Our Website</w:t>
            </w:r>
          </w:p>
        </w:tc>
        <w:tc>
          <w:tcPr>
            <w:tcW w:w="1340" w:type="dxa"/>
            <w:vAlign w:val="bottom"/>
            <w:tcBorders>
              <w:bottom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83"/>
              </w:rPr>
              <w:t>Yes</w:t>
            </w:r>
          </w:p>
        </w:tc>
        <w:tc>
          <w:tcPr>
            <w:tcW w:w="0" w:type="dxa"/>
            <w:vAlign w:val="bottom"/>
          </w:tcPr>
          <w:p>
            <w:pPr>
              <w:spacing w:after="0"/>
              <w:rPr>
                <w:sz w:val="1"/>
                <w:szCs w:val="1"/>
                <w:color w:val="auto"/>
              </w:rPr>
            </w:pPr>
          </w:p>
        </w:tc>
      </w:tr>
      <w:tr>
        <w:trPr>
          <w:trHeight w:val="209"/>
        </w:trPr>
        <w:tc>
          <w:tcPr>
            <w:tcW w:w="9900" w:type="dxa"/>
            <w:vAlign w:val="bottom"/>
            <w:tcBorders>
              <w:bottom w:val="single" w:sz="8" w:color="2D53A6"/>
              <w:right w:val="single" w:sz="8" w:color="2D53A6"/>
            </w:tcBorders>
          </w:tcPr>
          <w:p>
            <w:pPr>
              <w:spacing w:after="0"/>
              <w:rPr>
                <w:sz w:val="20"/>
                <w:szCs w:val="20"/>
                <w:color w:val="auto"/>
              </w:rPr>
            </w:pPr>
            <w:r>
              <w:rPr>
                <w:rFonts w:ascii="Arial" w:cs="Arial" w:eastAsia="Arial" w:hAnsi="Arial"/>
                <w:sz w:val="18"/>
                <w:szCs w:val="18"/>
                <w:color w:val="auto"/>
              </w:rPr>
              <w:t>Board Oversight of Cybersecurity Risks</w:t>
            </w:r>
          </w:p>
        </w:tc>
        <w:tc>
          <w:tcPr>
            <w:tcW w:w="1340" w:type="dxa"/>
            <w:vAlign w:val="bottom"/>
            <w:tcBorders>
              <w:bottom w:val="single" w:sz="8" w:color="2D53A6"/>
            </w:tcBorders>
          </w:tcPr>
          <w:p>
            <w:pPr>
              <w:jc w:val="center"/>
              <w:spacing w:after="0"/>
              <w:rPr>
                <w:sz w:val="20"/>
                <w:szCs w:val="20"/>
                <w:color w:val="auto"/>
              </w:rPr>
            </w:pPr>
            <w:r>
              <w:rPr>
                <w:rFonts w:ascii="Arial" w:cs="Arial" w:eastAsia="Arial" w:hAnsi="Arial"/>
                <w:sz w:val="18"/>
                <w:szCs w:val="18"/>
                <w:color w:val="auto"/>
                <w:w w:val="83"/>
              </w:rPr>
              <w:t>Yes</w:t>
            </w:r>
          </w:p>
        </w:tc>
        <w:tc>
          <w:tcPr>
            <w:tcW w:w="0" w:type="dxa"/>
            <w:vAlign w:val="bottom"/>
          </w:tcPr>
          <w:p>
            <w:pPr>
              <w:spacing w:after="0"/>
              <w:rPr>
                <w:sz w:val="1"/>
                <w:szCs w:val="1"/>
                <w:color w:val="auto"/>
              </w:rPr>
            </w:pPr>
          </w:p>
        </w:tc>
      </w:tr>
      <w:tr>
        <w:trPr>
          <w:trHeight w:val="453"/>
        </w:trPr>
        <w:tc>
          <w:tcPr>
            <w:tcW w:w="9900" w:type="dxa"/>
            <w:vAlign w:val="bottom"/>
          </w:tcPr>
          <w:p>
            <w:pPr>
              <w:ind w:left="5580"/>
              <w:spacing w:after="0"/>
              <w:rPr>
                <w:sz w:val="20"/>
                <w:szCs w:val="20"/>
                <w:color w:val="auto"/>
              </w:rPr>
            </w:pPr>
            <w:r>
              <w:rPr>
                <w:rFonts w:ascii="Arial" w:cs="Arial" w:eastAsia="Arial" w:hAnsi="Arial"/>
                <w:sz w:val="18"/>
                <w:szCs w:val="18"/>
                <w:color w:val="auto"/>
              </w:rPr>
              <w:t>7</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90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1" w:right="339" w:bottom="1440" w:gutter="0" w:footer="0" w:header="0"/>
        </w:sectPr>
      </w:pPr>
    </w:p>
    <w:bookmarkStart w:id="13" w:name="page14"/>
    <w:bookmarkEnd w:id="13"/>
    <w:p>
      <w:pPr>
        <w:spacing w:after="0"/>
        <w:rPr>
          <w:sz w:val="20"/>
          <w:szCs w:val="20"/>
          <w:color w:val="auto"/>
        </w:rPr>
      </w:pPr>
      <w:r>
        <w:rPr>
          <w:rFonts w:ascii="Arial" w:cs="Arial" w:eastAsia="Arial" w:hAnsi="Arial"/>
          <w:sz w:val="22"/>
          <w:szCs w:val="22"/>
          <w:b w:val="1"/>
          <w:bCs w:val="1"/>
          <w:color w:val="2D53A6"/>
        </w:rPr>
        <w:t>Executive Compensation Highlights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45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19"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b w:val="1"/>
          <w:bCs w:val="1"/>
          <w:color w:val="auto"/>
        </w:rPr>
        <w:t xml:space="preserve">Pay for Performance </w:t>
      </w:r>
      <w:r>
        <w:rPr>
          <w:rFonts w:ascii="Arial" w:cs="Arial" w:eastAsia="Arial" w:hAnsi="Arial"/>
          <w:sz w:val="18"/>
          <w:szCs w:val="18"/>
          <w:color w:val="auto"/>
        </w:rPr>
        <w:t>- Our executive compensation program is designed to pay for performance with 100% of the annual Short-Term Incentive program</w:t>
      </w:r>
      <w:r>
        <w:rPr>
          <w:rFonts w:ascii="Arial" w:cs="Arial" w:eastAsia="Arial" w:hAnsi="Arial"/>
          <w:sz w:val="18"/>
          <w:szCs w:val="18"/>
          <w:b w:val="1"/>
          <w:bCs w:val="1"/>
          <w:color w:val="auto"/>
        </w:rPr>
        <w:t xml:space="preserve"> </w:t>
      </w:r>
      <w:r>
        <w:rPr>
          <w:rFonts w:ascii="Arial" w:cs="Arial" w:eastAsia="Arial" w:hAnsi="Arial"/>
          <w:sz w:val="18"/>
          <w:szCs w:val="18"/>
          <w:color w:val="auto"/>
        </w:rPr>
        <w:t>(STI) tied to company financial, strategic, and operational performance metrics and 50% of the Long-Term Incentive program (LTI) tied to relative total shareholder return (“TSR”)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4286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428625"/>
                    </a:xfrm>
                    <a:prstGeom prst="rect">
                      <a:avLst/>
                    </a:prstGeom>
                    <a:noFill/>
                  </pic:spPr>
                </pic:pic>
              </a:graphicData>
            </a:graphic>
          </wp:anchor>
        </w:drawing>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Balance of Annual and Long-Term Incentives </w:t>
      </w:r>
      <w:r>
        <w:rPr>
          <w:rFonts w:ascii="Arial" w:cs="Arial" w:eastAsia="Arial" w:hAnsi="Arial"/>
          <w:sz w:val="18"/>
          <w:szCs w:val="18"/>
          <w:color w:val="auto"/>
        </w:rPr>
        <w:t>- Our incentive programs provide a balance of annual and long-term incentives.</w:t>
      </w:r>
    </w:p>
    <w:p>
      <w:pPr>
        <w:spacing w:after="0" w:line="200" w:lineRule="exact"/>
        <w:rPr>
          <w:sz w:val="20"/>
          <w:szCs w:val="20"/>
          <w:color w:val="auto"/>
        </w:rPr>
      </w:pPr>
    </w:p>
    <w:p>
      <w:pPr>
        <w:spacing w:after="0" w:line="255" w:lineRule="exact"/>
        <w:rPr>
          <w:sz w:val="20"/>
          <w:szCs w:val="20"/>
          <w:color w:val="auto"/>
        </w:rPr>
      </w:pPr>
    </w:p>
    <w:p>
      <w:pPr>
        <w:ind w:right="720"/>
        <w:spacing w:after="0" w:line="282" w:lineRule="auto"/>
        <w:rPr>
          <w:sz w:val="20"/>
          <w:szCs w:val="20"/>
          <w:color w:val="auto"/>
        </w:rPr>
      </w:pPr>
      <w:r>
        <w:rPr>
          <w:rFonts w:ascii="Arial" w:cs="Arial" w:eastAsia="Arial" w:hAnsi="Arial"/>
          <w:sz w:val="18"/>
          <w:szCs w:val="18"/>
          <w:b w:val="1"/>
          <w:bCs w:val="1"/>
          <w:color w:val="auto"/>
        </w:rPr>
        <w:t xml:space="preserve">Different Performance Metrics for Annual and Long-Term Incentive Programs </w:t>
      </w:r>
      <w:r>
        <w:rPr>
          <w:rFonts w:ascii="Arial" w:cs="Arial" w:eastAsia="Arial" w:hAnsi="Arial"/>
          <w:sz w:val="18"/>
          <w:szCs w:val="18"/>
          <w:color w:val="auto"/>
        </w:rPr>
        <w:t>- Our annual and long-term incentive programs use different</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5657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565785"/>
                    </a:xfrm>
                    <a:prstGeom prst="rect">
                      <a:avLst/>
                    </a:prstGeom>
                    <a:noFill/>
                  </pic:spPr>
                </pic:pic>
              </a:graphicData>
            </a:graphic>
          </wp:anchor>
        </w:drawing>
      </w:r>
    </w:p>
    <w:p>
      <w:pPr>
        <w:spacing w:after="0" w:line="371" w:lineRule="exact"/>
        <w:rPr>
          <w:sz w:val="20"/>
          <w:szCs w:val="20"/>
          <w:color w:val="auto"/>
        </w:rPr>
      </w:pPr>
    </w:p>
    <w:p>
      <w:pPr>
        <w:ind w:right="520"/>
        <w:spacing w:after="0" w:line="282" w:lineRule="auto"/>
        <w:rPr>
          <w:sz w:val="20"/>
          <w:szCs w:val="20"/>
          <w:color w:val="auto"/>
        </w:rPr>
      </w:pPr>
      <w:r>
        <w:rPr>
          <w:rFonts w:ascii="Arial" w:cs="Arial" w:eastAsia="Arial" w:hAnsi="Arial"/>
          <w:sz w:val="18"/>
          <w:szCs w:val="18"/>
          <w:b w:val="1"/>
          <w:bCs w:val="1"/>
          <w:color w:val="auto"/>
        </w:rPr>
        <w:t xml:space="preserve">Absolute and Relative Performance Metrics </w:t>
      </w:r>
      <w:r>
        <w:rPr>
          <w:rFonts w:ascii="Arial" w:cs="Arial" w:eastAsia="Arial" w:hAnsi="Arial"/>
          <w:sz w:val="18"/>
          <w:szCs w:val="18"/>
          <w:color w:val="auto"/>
        </w:rPr>
        <w:t>- Our annual and long-term incentive programs for executive officers include the use of absolute and</w:t>
      </w:r>
      <w:r>
        <w:rPr>
          <w:rFonts w:ascii="Arial" w:cs="Arial" w:eastAsia="Arial" w:hAnsi="Arial"/>
          <w:sz w:val="18"/>
          <w:szCs w:val="18"/>
          <w:b w:val="1"/>
          <w:bCs w:val="1"/>
          <w:color w:val="auto"/>
        </w:rPr>
        <w:t xml:space="preserve"> </w:t>
      </w:r>
      <w:r>
        <w:rPr>
          <w:rFonts w:ascii="Arial" w:cs="Arial" w:eastAsia="Arial" w:hAnsi="Arial"/>
          <w:sz w:val="18"/>
          <w:szCs w:val="18"/>
          <w:color w:val="auto"/>
        </w:rPr>
        <w:t>relative performance factors.</w:t>
      </w:r>
    </w:p>
    <w:p>
      <w:pPr>
        <w:spacing w:after="0" w:line="391"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Three-Year Performance Period for Our Long-Term Incentive Program </w:t>
      </w:r>
      <w:r>
        <w:rPr>
          <w:rFonts w:ascii="Arial" w:cs="Arial" w:eastAsia="Arial" w:hAnsi="Arial"/>
          <w:sz w:val="18"/>
          <w:szCs w:val="18"/>
          <w:color w:val="auto"/>
        </w:rPr>
        <w:t>- Our current long-term incentive program is designed to pay for performance</w:t>
      </w:r>
      <w:r>
        <w:rPr>
          <w:rFonts w:ascii="Arial" w:cs="Arial" w:eastAsia="Arial" w:hAnsi="Arial"/>
          <w:sz w:val="18"/>
          <w:szCs w:val="18"/>
          <w:b w:val="1"/>
          <w:bCs w:val="1"/>
          <w:color w:val="auto"/>
        </w:rPr>
        <w:t xml:space="preserve"> </w:t>
      </w:r>
      <w:r>
        <w:rPr>
          <w:rFonts w:ascii="Arial" w:cs="Arial" w:eastAsia="Arial" w:hAnsi="Arial"/>
          <w:sz w:val="18"/>
          <w:szCs w:val="18"/>
          <w:color w:val="auto"/>
        </w:rPr>
        <w:t>over a period of three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4286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428625"/>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Capped Amounts </w:t>
      </w:r>
      <w:r>
        <w:rPr>
          <w:rFonts w:ascii="Arial" w:cs="Arial" w:eastAsia="Arial" w:hAnsi="Arial"/>
          <w:sz w:val="18"/>
          <w:szCs w:val="18"/>
          <w:color w:val="auto"/>
        </w:rPr>
        <w:t>- Amounts that can be earned under the annual and long-term incentive programs are capped.</w:t>
      </w:r>
    </w:p>
    <w:p>
      <w:pPr>
        <w:spacing w:after="0" w:line="200" w:lineRule="exact"/>
        <w:rPr>
          <w:sz w:val="20"/>
          <w:szCs w:val="20"/>
          <w:color w:val="auto"/>
        </w:rPr>
      </w:pPr>
    </w:p>
    <w:p>
      <w:pPr>
        <w:spacing w:after="0" w:line="255" w:lineRule="exact"/>
        <w:rPr>
          <w:sz w:val="20"/>
          <w:szCs w:val="20"/>
          <w:color w:val="auto"/>
        </w:rPr>
      </w:pPr>
    </w:p>
    <w:p>
      <w:pPr>
        <w:ind w:right="60"/>
        <w:spacing w:after="0" w:line="199" w:lineRule="auto"/>
        <w:rPr>
          <w:sz w:val="20"/>
          <w:szCs w:val="20"/>
          <w:color w:val="auto"/>
        </w:rPr>
      </w:pPr>
      <w:r>
        <w:rPr>
          <w:rFonts w:ascii="Arial" w:cs="Arial" w:eastAsia="Arial" w:hAnsi="Arial"/>
          <w:sz w:val="18"/>
          <w:szCs w:val="18"/>
          <w:b w:val="1"/>
          <w:bCs w:val="1"/>
          <w:color w:val="auto"/>
        </w:rPr>
        <w:t xml:space="preserve">Minimum Amounts </w:t>
      </w:r>
      <w:r>
        <w:rPr>
          <w:rFonts w:ascii="Arial" w:cs="Arial" w:eastAsia="Arial" w:hAnsi="Arial"/>
          <w:sz w:val="18"/>
          <w:szCs w:val="18"/>
          <w:color w:val="auto"/>
        </w:rPr>
        <w:t>- Amounts under the annual and long-term incentive programs</w:t>
      </w:r>
      <w:r>
        <w:rPr>
          <w:rFonts w:ascii="Arial" w:cs="Arial" w:eastAsia="Arial" w:hAnsi="Arial"/>
          <w:sz w:val="29"/>
          <w:szCs w:val="29"/>
          <w:color w:val="auto"/>
          <w:vertAlign w:val="superscript"/>
        </w:rPr>
        <w:t>(1)</w:t>
      </w:r>
      <w:r>
        <w:rPr>
          <w:rFonts w:ascii="Arial" w:cs="Arial" w:eastAsia="Arial" w:hAnsi="Arial"/>
          <w:sz w:val="18"/>
          <w:szCs w:val="18"/>
          <w:b w:val="1"/>
          <w:bCs w:val="1"/>
          <w:color w:val="auto"/>
        </w:rPr>
        <w:t xml:space="preserve"> </w:t>
      </w:r>
      <w:r>
        <w:rPr>
          <w:rFonts w:ascii="Arial" w:cs="Arial" w:eastAsia="Arial" w:hAnsi="Arial"/>
          <w:sz w:val="18"/>
          <w:szCs w:val="18"/>
          <w:color w:val="auto"/>
        </w:rPr>
        <w:t>have no guaranteed minimum and can effectively be “zero” for any</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period for unsatisfactory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7132320" cy="5657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56578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 xml:space="preserve">Compensation Recoupment/Clawback Policy </w:t>
      </w:r>
      <w:r>
        <w:rPr>
          <w:rFonts w:ascii="Arial" w:cs="Arial" w:eastAsia="Arial" w:hAnsi="Arial"/>
          <w:sz w:val="18"/>
          <w:szCs w:val="18"/>
          <w:color w:val="auto"/>
        </w:rPr>
        <w:t>- We have a policy pursuant to which incentive compensation awarded to our executive officers is subject</w:t>
      </w:r>
      <w:r>
        <w:rPr>
          <w:rFonts w:ascii="Arial" w:cs="Arial" w:eastAsia="Arial" w:hAnsi="Arial"/>
          <w:sz w:val="18"/>
          <w:szCs w:val="18"/>
          <w:b w:val="1"/>
          <w:bCs w:val="1"/>
          <w:color w:val="auto"/>
        </w:rPr>
        <w:t xml:space="preserve"> </w:t>
      </w:r>
      <w:r>
        <w:rPr>
          <w:rFonts w:ascii="Arial" w:cs="Arial" w:eastAsia="Arial" w:hAnsi="Arial"/>
          <w:sz w:val="18"/>
          <w:szCs w:val="18"/>
          <w:color w:val="auto"/>
        </w:rPr>
        <w:t>to recoupment under certain circumstances if our financial results are restated.</w:t>
      </w:r>
    </w:p>
    <w:p>
      <w:pPr>
        <w:spacing w:after="0" w:line="391"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b w:val="1"/>
          <w:bCs w:val="1"/>
          <w:color w:val="auto"/>
        </w:rPr>
        <w:t xml:space="preserve">Stock Ownership Guidelines </w:t>
      </w:r>
      <w:r>
        <w:rPr>
          <w:rFonts w:ascii="Arial" w:cs="Arial" w:eastAsia="Arial" w:hAnsi="Arial"/>
          <w:sz w:val="18"/>
          <w:szCs w:val="18"/>
          <w:color w:val="auto"/>
        </w:rPr>
        <w:t>- We have stock ownership guidelines for each of our executive officers and certain other senior executives; each of our</w:t>
      </w:r>
      <w:r>
        <w:rPr>
          <w:rFonts w:ascii="Arial" w:cs="Arial" w:eastAsia="Arial" w:hAnsi="Arial"/>
          <w:sz w:val="18"/>
          <w:szCs w:val="18"/>
          <w:b w:val="1"/>
          <w:bCs w:val="1"/>
          <w:color w:val="auto"/>
        </w:rPr>
        <w:t xml:space="preserve"> </w:t>
      </w:r>
      <w:r>
        <w:rPr>
          <w:rFonts w:ascii="Arial" w:cs="Arial" w:eastAsia="Arial" w:hAnsi="Arial"/>
          <w:sz w:val="18"/>
          <w:szCs w:val="18"/>
          <w:color w:val="auto"/>
        </w:rPr>
        <w:t>named executive officers has met their individual ownership level under the current program or has a period of time remaining under the guidelines to do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5657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565785"/>
                    </a:xfrm>
                    <a:prstGeom prst="rect">
                      <a:avLst/>
                    </a:prstGeom>
                    <a:noFill/>
                  </pic:spPr>
                </pic:pic>
              </a:graphicData>
            </a:graphic>
          </wp:anchor>
        </w:drawing>
      </w:r>
    </w:p>
    <w:p>
      <w:pPr>
        <w:spacing w:after="0" w:line="385"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b w:val="1"/>
          <w:bCs w:val="1"/>
          <w:color w:val="auto"/>
        </w:rPr>
        <w:t xml:space="preserve">Independent Compensation Advisor </w:t>
      </w:r>
      <w:r>
        <w:rPr>
          <w:rFonts w:ascii="Arial" w:cs="Arial" w:eastAsia="Arial" w:hAnsi="Arial"/>
          <w:sz w:val="18"/>
          <w:szCs w:val="18"/>
          <w:color w:val="auto"/>
        </w:rPr>
        <w:t>- The Compensation Committee benefits from its utilization of an independent compensation advisor, retained</w:t>
      </w:r>
      <w:r>
        <w:rPr>
          <w:rFonts w:ascii="Arial" w:cs="Arial" w:eastAsia="Arial" w:hAnsi="Arial"/>
          <w:sz w:val="18"/>
          <w:szCs w:val="18"/>
          <w:b w:val="1"/>
          <w:bCs w:val="1"/>
          <w:color w:val="auto"/>
        </w:rPr>
        <w:t xml:space="preserve"> </w:t>
      </w:r>
      <w:r>
        <w:rPr>
          <w:rFonts w:ascii="Arial" w:cs="Arial" w:eastAsia="Arial" w:hAnsi="Arial"/>
          <w:sz w:val="18"/>
          <w:szCs w:val="18"/>
          <w:color w:val="auto"/>
        </w:rPr>
        <w:t>directly by the committee, that provides no other services to the Company.</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Say-on-Pay </w:t>
      </w:r>
      <w:r>
        <w:rPr>
          <w:rFonts w:ascii="Arial" w:cs="Arial" w:eastAsia="Arial" w:hAnsi="Arial"/>
          <w:sz w:val="18"/>
          <w:szCs w:val="18"/>
          <w:color w:val="auto"/>
        </w:rPr>
        <w:t>- We annually seek an advisory stockholder vote to approve our named executive officer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5657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56578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 xml:space="preserve">Stockholder Engagement </w:t>
      </w:r>
      <w:r>
        <w:rPr>
          <w:rFonts w:ascii="Arial" w:cs="Arial" w:eastAsia="Arial" w:hAnsi="Arial"/>
          <w:sz w:val="18"/>
          <w:szCs w:val="18"/>
          <w:color w:val="auto"/>
        </w:rPr>
        <w:t>- We engage with stockholders regularly and stockholder advisory firms on an as needed basis to obtain feedback concerning</w:t>
      </w:r>
      <w:r>
        <w:rPr>
          <w:rFonts w:ascii="Arial" w:cs="Arial" w:eastAsia="Arial" w:hAnsi="Arial"/>
          <w:sz w:val="18"/>
          <w:szCs w:val="18"/>
          <w:b w:val="1"/>
          <w:bCs w:val="1"/>
          <w:color w:val="auto"/>
        </w:rPr>
        <w:t xml:space="preserve"> </w:t>
      </w:r>
      <w:r>
        <w:rPr>
          <w:rFonts w:ascii="Arial" w:cs="Arial" w:eastAsia="Arial" w:hAnsi="Arial"/>
          <w:sz w:val="18"/>
          <w:szCs w:val="18"/>
          <w:color w:val="auto"/>
        </w:rPr>
        <w:t>our business.</w:t>
      </w:r>
    </w:p>
    <w:p>
      <w:pPr>
        <w:spacing w:after="0" w:line="395" w:lineRule="exact"/>
        <w:rPr>
          <w:sz w:val="20"/>
          <w:szCs w:val="20"/>
          <w:color w:val="auto"/>
        </w:rPr>
      </w:pPr>
    </w:p>
    <w:p>
      <w:pPr>
        <w:ind w:left="5580" w:right="980" w:hanging="5572"/>
        <w:spacing w:after="0" w:line="527" w:lineRule="auto"/>
        <w:tabs>
          <w:tab w:leader="none" w:pos="333"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long-term incentive program was modified in 2021 and, among other changes, a lower achievement minimum of 25% was removed.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71" w:right="39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FFFFFF"/>
        </w:rPr>
        <w:t>What We Don</w:t>
      </w:r>
      <w:r>
        <w:rPr>
          <w:rFonts w:ascii="Arial" w:cs="Arial" w:eastAsia="Arial" w:hAnsi="Arial"/>
          <w:sz w:val="18"/>
          <w:szCs w:val="18"/>
          <w:color w:val="FFFFFF"/>
        </w:rPr>
        <w:t>’</w:t>
      </w:r>
      <w:r>
        <w:rPr>
          <w:rFonts w:ascii="Arial" w:cs="Arial" w:eastAsia="Arial" w:hAnsi="Arial"/>
          <w:sz w:val="18"/>
          <w:szCs w:val="18"/>
          <w:b w:val="1"/>
          <w:bCs w:val="1"/>
          <w:color w:val="FFFFFF"/>
        </w:rPr>
        <w:t>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46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Single-Trigger Change in Control Provisions </w:t>
      </w:r>
      <w:r>
        <w:rPr>
          <w:rFonts w:ascii="Arial" w:cs="Arial" w:eastAsia="Arial" w:hAnsi="Arial"/>
          <w:sz w:val="18"/>
          <w:szCs w:val="18"/>
          <w:color w:val="auto"/>
        </w:rPr>
        <w:t>- Our executive change in control policy does not have single-trigger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4286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42862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Option Repricing </w:t>
      </w:r>
      <w:r>
        <w:rPr>
          <w:rFonts w:ascii="Arial" w:cs="Arial" w:eastAsia="Arial" w:hAnsi="Arial"/>
          <w:sz w:val="18"/>
          <w:szCs w:val="18"/>
          <w:color w:val="auto"/>
        </w:rPr>
        <w:t>- Our stock incentive plans prohibit option repricing without stockholder approval.</w:t>
      </w:r>
    </w:p>
    <w:p>
      <w:pPr>
        <w:spacing w:after="0" w:line="200" w:lineRule="exact"/>
        <w:rPr>
          <w:sz w:val="20"/>
          <w:szCs w:val="20"/>
          <w:color w:val="auto"/>
        </w:rPr>
      </w:pPr>
    </w:p>
    <w:p>
      <w:pPr>
        <w:spacing w:after="0" w:line="255"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 xml:space="preserve">Hedging and Pledging Prohibited </w:t>
      </w:r>
      <w:r>
        <w:rPr>
          <w:rFonts w:ascii="Arial" w:cs="Arial" w:eastAsia="Arial" w:hAnsi="Arial"/>
          <w:sz w:val="18"/>
          <w:szCs w:val="18"/>
          <w:color w:val="auto"/>
        </w:rPr>
        <w:t>- We prohibit our employees, including our executive officers and directors, from hedging or pledging any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5657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565785"/>
                    </a:xfrm>
                    <a:prstGeom prst="rect">
                      <a:avLst/>
                    </a:prstGeom>
                    <a:noFill/>
                  </pic:spPr>
                </pic:pic>
              </a:graphicData>
            </a:graphic>
          </wp:anchor>
        </w:drawing>
      </w:r>
    </w:p>
    <w:p>
      <w:pPr>
        <w:spacing w:after="0" w:line="371"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 xml:space="preserve">Defined Benefit Pension Plans </w:t>
      </w:r>
      <w:r>
        <w:rPr>
          <w:rFonts w:ascii="Arial" w:cs="Arial" w:eastAsia="Arial" w:hAnsi="Arial"/>
          <w:sz w:val="18"/>
          <w:szCs w:val="18"/>
          <w:color w:val="auto"/>
        </w:rPr>
        <w:t>- We do not currently offer, nor do we have plans to provide, defined benefit pension arrangements for our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officers.</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Perquisites </w:t>
      </w:r>
      <w:r>
        <w:rPr>
          <w:rFonts w:ascii="Arial" w:cs="Arial" w:eastAsia="Arial" w:hAnsi="Arial"/>
          <w:sz w:val="18"/>
          <w:szCs w:val="18"/>
          <w:color w:val="auto"/>
        </w:rPr>
        <w:t>- We provide minimal perquisites and other personal benefits to our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7029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70294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Tax Reimbursements </w:t>
      </w:r>
      <w:r>
        <w:rPr>
          <w:rFonts w:ascii="Arial" w:cs="Arial" w:eastAsia="Arial" w:hAnsi="Arial"/>
          <w:sz w:val="18"/>
          <w:szCs w:val="18"/>
          <w:color w:val="auto"/>
        </w:rPr>
        <w:t>- We do not provide any tax reimbursement or gross-up payments on any severance or change in control payments, perquisites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 personal benefits, other than immaterial COBRA reimbursements, standard relocation benefits and tax equalization agreements related to expatriate assignments.</w:t>
      </w:r>
    </w:p>
    <w:p>
      <w:pPr>
        <w:spacing w:after="0" w:line="200" w:lineRule="exact"/>
        <w:rPr>
          <w:sz w:val="20"/>
          <w:szCs w:val="20"/>
          <w:color w:val="auto"/>
        </w:rPr>
      </w:pPr>
    </w:p>
    <w:p>
      <w:pPr>
        <w:spacing w:after="0" w:line="23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580" w:right="519" w:bottom="1440" w:gutter="0" w:footer="0" w:header="0"/>
        </w:sectPr>
      </w:pPr>
    </w:p>
    <w:bookmarkStart w:id="15" w:name="page16"/>
    <w:bookmarkEnd w:id="15"/>
    <w:p>
      <w:pPr>
        <w:spacing w:after="0"/>
        <w:rPr>
          <w:sz w:val="20"/>
          <w:szCs w:val="20"/>
          <w:color w:val="auto"/>
        </w:rPr>
      </w:pPr>
      <w:r>
        <w:rPr>
          <w:rFonts w:ascii="Arial" w:cs="Arial" w:eastAsia="Arial" w:hAnsi="Arial"/>
          <w:sz w:val="22"/>
          <w:szCs w:val="22"/>
          <w:b w:val="1"/>
          <w:bCs w:val="1"/>
          <w:color w:val="2D53A6"/>
        </w:rPr>
        <w:t>ESG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9601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96012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2660" w:right="2460" w:hanging="172"/>
        <w:spacing w:after="0" w:line="386" w:lineRule="auto"/>
        <w:rPr>
          <w:sz w:val="20"/>
          <w:szCs w:val="20"/>
          <w:color w:val="auto"/>
        </w:rPr>
      </w:pPr>
      <w:r>
        <w:rPr>
          <w:rFonts w:ascii="Arial" w:cs="Arial" w:eastAsia="Arial" w:hAnsi="Arial"/>
          <w:sz w:val="15"/>
          <w:szCs w:val="15"/>
          <w:b w:val="1"/>
          <w:bCs w:val="1"/>
          <w:color w:val="FFFFFF"/>
        </w:rPr>
        <w:t>Cohu is focused on making a positive contribution to society by creating products that enable healthier lifestyles, greater longevity and a more habitable planet.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F"/>
        </w:rPr>
        <w:t>Cohu has evaluated its sustainability initiatives under a framework promulgated</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FFFFFF"/>
        </w:rPr>
        <w:t>by the Sustainability Accounting Standards Board (</w:t>
      </w:r>
      <w:r>
        <w:rPr>
          <w:rFonts w:ascii="Arial" w:cs="Arial" w:eastAsia="Arial" w:hAnsi="Arial"/>
          <w:sz w:val="18"/>
          <w:szCs w:val="18"/>
          <w:color w:val="FFFFFF"/>
        </w:rPr>
        <w:t>“</w:t>
      </w:r>
      <w:r>
        <w:rPr>
          <w:rFonts w:ascii="Arial" w:cs="Arial" w:eastAsia="Arial" w:hAnsi="Arial"/>
          <w:sz w:val="18"/>
          <w:szCs w:val="18"/>
          <w:b w:val="1"/>
          <w:bCs w:val="1"/>
          <w:color w:val="FFFFFF"/>
        </w:rPr>
        <w:t>SASB</w:t>
      </w:r>
      <w:r>
        <w:rPr>
          <w:rFonts w:ascii="Arial" w:cs="Arial" w:eastAsia="Arial" w:hAnsi="Arial"/>
          <w:sz w:val="18"/>
          <w:szCs w:val="18"/>
          <w:color w:val="FFFFFF"/>
        </w:rPr>
        <w:t>”</w:t>
      </w:r>
      <w:r>
        <w:rPr>
          <w:rFonts w:ascii="Arial" w:cs="Arial" w:eastAsia="Arial" w:hAnsi="Arial"/>
          <w:sz w:val="18"/>
          <w:szCs w:val="18"/>
          <w:b w:val="1"/>
          <w:bCs w:val="1"/>
          <w:color w:val="FFFFFF"/>
        </w:rPr>
        <w:t>).</w:t>
      </w:r>
    </w:p>
    <w:p>
      <w:pPr>
        <w:spacing w:after="0" w:line="200" w:lineRule="exact"/>
        <w:rPr>
          <w:sz w:val="20"/>
          <w:szCs w:val="20"/>
          <w:color w:val="auto"/>
        </w:rPr>
      </w:pPr>
    </w:p>
    <w:p>
      <w:pPr>
        <w:spacing w:after="0" w:line="22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strive to operate worldwide in a safe, responsible manner that respects the environment and protects the health and safety of our employees, our customers and the communities where we operate. We also endeavor to conduct our business operations in a manner that preserves the environment, which includes minimizing waste, conserving energy and preventing pollution. We believe an important aspect of our mission is to design products for a positive impact on society where our customers use our test and measurement products to reduce waste and to improve yield and the efficiency of the semiconductor process. Our actions go beyond regulatory compliance and ISO certifications, and some of our 2021 environmental, health and safety highlights include:</w:t>
      </w:r>
    </w:p>
    <w:p>
      <w:pPr>
        <w:spacing w:after="0" w:line="192" w:lineRule="exact"/>
        <w:rPr>
          <w:sz w:val="20"/>
          <w:szCs w:val="20"/>
          <w:color w:val="auto"/>
        </w:rPr>
      </w:pPr>
    </w:p>
    <w:p>
      <w:pPr>
        <w:ind w:left="660" w:right="20" w:hanging="328"/>
        <w:spacing w:after="0" w:line="258"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Continued to increase our transparency through the publication of corporate Sustainability and Human Capital reports. These reports are available on our website at </w:t>
      </w:r>
      <w:r>
        <w:rPr>
          <w:rFonts w:ascii="Arial" w:cs="Arial" w:eastAsia="Arial" w:hAnsi="Arial"/>
          <w:sz w:val="18"/>
          <w:szCs w:val="18"/>
          <w:u w:val="single" w:color="auto"/>
          <w:color w:val="auto"/>
        </w:rPr>
        <w:t>https:// www.cohu.com/corporate-responsibility</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Completed our site consolidation plan, reducing principal operating sites from 14 to 10.</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Achieved 18% reduction in energy to revenue ratio, while growing revenue by 39% year-over-year.</w:t>
      </w:r>
    </w:p>
    <w:p>
      <w:pPr>
        <w:spacing w:after="0" w:line="9" w:lineRule="exact"/>
        <w:rPr>
          <w:rFonts w:ascii="Arial" w:cs="Arial" w:eastAsia="Arial" w:hAnsi="Arial"/>
          <w:sz w:val="18"/>
          <w:szCs w:val="18"/>
          <w:color w:val="auto"/>
        </w:rPr>
      </w:pPr>
    </w:p>
    <w:p>
      <w:pPr>
        <w:ind w:left="660" w:right="66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Two of our operating sites have on-site solar power and our new Kolbermoor, Germany building is certified as a “KfW Efficiency House 70” energy efficient building.</w:t>
      </w: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Published for the first time our Scope 1 and 2 Greenhouse Gas Emissions data.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Established and published enterprise Sustainability goals.</w:t>
      </w:r>
    </w:p>
    <w:p>
      <w:pPr>
        <w:spacing w:after="0" w:line="9" w:lineRule="exact"/>
        <w:rPr>
          <w:rFonts w:ascii="Arial" w:cs="Arial" w:eastAsia="Arial" w:hAnsi="Arial"/>
          <w:sz w:val="18"/>
          <w:szCs w:val="18"/>
          <w:color w:val="auto"/>
        </w:rPr>
      </w:pPr>
    </w:p>
    <w:p>
      <w:pPr>
        <w:ind w:left="660" w:right="116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Hired a greater percentage of female employees than our current 28% representation, and 39% of U.S. employees identify as from underrepresented communities.</w:t>
      </w: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Returned 4.5% of profits globally to eligible non-executive employees, which driven by our record 2021, amounted to $7.8 million.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Continued our excellent employee safety record, with a 2021 global recordable incident rate of 0.2, which is 78% below our industry benchmark.</w:t>
      </w:r>
    </w:p>
    <w:p>
      <w:pPr>
        <w:spacing w:after="0" w:line="200" w:lineRule="exact"/>
        <w:rPr>
          <w:sz w:val="20"/>
          <w:szCs w:val="20"/>
          <w:color w:val="auto"/>
        </w:rPr>
      </w:pPr>
    </w:p>
    <w:p>
      <w:pPr>
        <w:spacing w:after="0" w:line="24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Energy and Waste Management</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142875</wp:posOffset>
            </wp:positionV>
            <wp:extent cx="6317615" cy="22028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317615" cy="2202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71" w:right="39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FFFFFF"/>
        </w:rPr>
        <w:t>ESG Strategies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46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2D53A6"/>
        </w:rPr>
        <w:t>Business and Governance</w:t>
      </w:r>
    </w:p>
    <w:p>
      <w:pPr>
        <w:spacing w:after="0" w:line="22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Corporate responsibility is an integral part of our business strategy and operating philosophy. A firm commitment to ethical behavior is embedded in our business processes and practices. During 2021, we have had:</w:t>
      </w:r>
    </w:p>
    <w:p>
      <w:pPr>
        <w:spacing w:after="0" w:line="170" w:lineRule="exact"/>
        <w:rPr>
          <w:sz w:val="20"/>
          <w:szCs w:val="20"/>
          <w:color w:val="auto"/>
        </w:rPr>
      </w:pPr>
    </w:p>
    <w:p>
      <w:pPr>
        <w:ind w:left="260" w:hanging="252"/>
        <w:spacing w:after="0"/>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 bribery/corruption claims, including no legal proceedings or monetary losses related to bribery/corruption claims</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 anti-competitive behavior claims, including no legal proceedings or monetary losses related to anti-competitive behavior claims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 direct monetary contribution to political campaigns or lobbying</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2D53A6"/>
        </w:rPr>
        <w:t>Workplace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9772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977265"/>
                    </a:xfrm>
                    <a:prstGeom prst="rect">
                      <a:avLst/>
                    </a:prstGeom>
                    <a:noFill/>
                  </pic:spPr>
                </pic:pic>
              </a:graphicData>
            </a:graphic>
          </wp:anchor>
        </w:drawing>
      </w:r>
    </w:p>
    <w:p>
      <w:pPr>
        <w:spacing w:after="0" w:line="209"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Cohu is committed to diversity, equity, inclusion, and full compliance with all applicable laws and regulations governing employment. We endeavor to create a culture where everyone feels welcomed, valued and respected. 39% of our U.S. employees identify as from underrepresented communities. At year-end 2021, Cohu had three female members on its Board of Directors (37.5% of the Board) and two of eight members identify as from underrepresented communities (25% of the Board).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2D53A6"/>
        </w:rPr>
        <w:t>Responsible Supply Chain</w:t>
      </w:r>
    </w:p>
    <w:p>
      <w:pPr>
        <w:spacing w:after="0" w:line="22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Cohu operates a responsible minerals sourcing program, developed to ensure our conformance to the SEC Conflict Minerals rule. A de minimis portion of Cohu’s manufacturing processes utilize critical materials such as Cobalt, Palladium and Rhodium. In such cases, usage is monitored, and buffer stock is maintained. Cohu also utilizes multiple suppliers and maintains second sources where possible.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2D53A6"/>
        </w:rPr>
        <w:t>2021 Energy and Waste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2515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251585"/>
                    </a:xfrm>
                    <a:prstGeom prst="rect">
                      <a:avLst/>
                    </a:prstGeom>
                    <a:noFill/>
                  </pic:spPr>
                </pic:pic>
              </a:graphicData>
            </a:graphic>
          </wp:anchor>
        </w:drawing>
      </w:r>
    </w:p>
    <w:p>
      <w:pPr>
        <w:spacing w:after="0" w:line="209" w:lineRule="exact"/>
        <w:rPr>
          <w:sz w:val="20"/>
          <w:szCs w:val="20"/>
          <w:color w:val="auto"/>
        </w:rPr>
      </w:pPr>
    </w:p>
    <w:p>
      <w:pPr>
        <w:ind w:left="260" w:hanging="252"/>
        <w:spacing w:after="0"/>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18% reduction in energy use to revenue ratio, as compared to 2020</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18% of energy usage was from renewable energy sources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Scope 1/2 Emissions were 9,950 Metric Tons CO2-e</w:t>
      </w:r>
    </w:p>
    <w:p>
      <w:pPr>
        <w:spacing w:after="0" w:line="9" w:lineRule="exact"/>
        <w:rPr>
          <w:rFonts w:ascii="Arial" w:cs="Arial" w:eastAsia="Arial" w:hAnsi="Arial"/>
          <w:sz w:val="18"/>
          <w:szCs w:val="18"/>
          <w:color w:val="auto"/>
        </w:rPr>
      </w:pPr>
    </w:p>
    <w:p>
      <w:pPr>
        <w:ind w:left="240" w:hanging="232"/>
        <w:spacing w:after="0"/>
        <w:tabs>
          <w:tab w:leader="none" w:pos="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Waste recycled +4% YoY</w:t>
      </w:r>
    </w:p>
    <w:p>
      <w:pPr>
        <w:spacing w:after="0" w:line="9" w:lineRule="exact"/>
        <w:rPr>
          <w:rFonts w:ascii="Arial" w:cs="Arial" w:eastAsia="Arial" w:hAnsi="Arial"/>
          <w:sz w:val="18"/>
          <w:szCs w:val="18"/>
          <w:color w:val="auto"/>
        </w:rPr>
      </w:pPr>
    </w:p>
    <w:p>
      <w:pPr>
        <w:ind w:left="240" w:hanging="232"/>
        <w:spacing w:after="0"/>
        <w:tabs>
          <w:tab w:leader="none" w:pos="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hazardous waste disposed of in accordance with local laws and regulations – 44% recycled</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 hazardous waste spills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2D53A6"/>
        </w:rPr>
        <w:t>Protecting and Improving our Planet</w:t>
      </w:r>
    </w:p>
    <w:p>
      <w:pPr>
        <w:spacing w:after="0" w:line="229"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We encourage and partner with our employees to encourage consideration of the health of our Earth. We promote recycling, the use of reusable water bottles, and a bike-to-work program. We have installed energy saving technology for lighting and heating, source green electricity and self-produce energy by photovoltaic systems at certain locations. We are ISO 14001-certified at our facility in Kolbermoor, Germany.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2D53A6"/>
        </w:rPr>
        <w:t>Energy Renewable and Energy Efficient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7029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702945"/>
                    </a:xfrm>
                    <a:prstGeom prst="rect">
                      <a:avLst/>
                    </a:prstGeom>
                    <a:noFill/>
                  </pic:spPr>
                </pic:pic>
              </a:graphicData>
            </a:graphic>
          </wp:anchor>
        </w:drawing>
      </w:r>
    </w:p>
    <w:p>
      <w:pPr>
        <w:spacing w:after="0" w:line="20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Five of our key customers provide semiconductor solutions to manage and reduce power consumption and enable solar and wind power generation. We are enabling these important technologies including power management devices, controllers, inverters, motor drivers and gate drivers.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2D53A6"/>
        </w:rPr>
        <w:t>Giving Back to our Communities</w:t>
      </w:r>
    </w:p>
    <w:p>
      <w:pPr>
        <w:spacing w:after="0" w:line="229"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Cohu’s employees, all over the world, take great pride in the volunteer work they do with local charities, schools, and other non-profit organizations. We support and partner with our employees participating in philanthropy including charitable activities, educational and financial support and blood donation drives.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2D53A6"/>
        </w:rPr>
        <w:t>Enabling Life-Saving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9772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977265"/>
                    </a:xfrm>
                    <a:prstGeom prst="rect">
                      <a:avLst/>
                    </a:prstGeom>
                    <a:noFill/>
                  </pic:spPr>
                </pic:pic>
              </a:graphicData>
            </a:graphic>
          </wp:anchor>
        </w:drawing>
      </w:r>
    </w:p>
    <w:p>
      <w:pPr>
        <w:spacing w:after="0" w:line="20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Cohu is proud to support the manufacture and testing of our customers’ semiconductor components and technologies used in the continued fight against COVID-19. Our test handlers, test interface solutions and semiconductor tester systems are utilized in the manufacturing of semiconductors used in life-saving medical devices and applications: patient monitors, ventilators, IR thermometers, digital x-rays, rapid sepsis testing, biometers to measure contact-less temperature.</w:t>
      </w: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80" w:right="399" w:bottom="1440" w:gutter="0" w:footer="0" w:header="0"/>
        </w:sectPr>
      </w:pPr>
    </w:p>
    <w:bookmarkStart w:id="17" w:name="page18"/>
    <w:bookmarkEnd w:id="17"/>
    <w:p>
      <w:pPr>
        <w:ind w:left="340"/>
        <w:spacing w:after="0"/>
        <w:rPr>
          <w:sz w:val="20"/>
          <w:szCs w:val="20"/>
          <w:color w:val="auto"/>
        </w:rPr>
      </w:pPr>
      <w:r>
        <w:rPr>
          <w:rFonts w:ascii="Arial" w:cs="Arial" w:eastAsia="Arial" w:hAnsi="Arial"/>
          <w:sz w:val="32"/>
          <w:szCs w:val="32"/>
          <w:b w:val="1"/>
          <w:bCs w:val="1"/>
          <w:color w:val="FFFFFF"/>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5060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506095"/>
                    </a:xfrm>
                    <a:prstGeom prst="rect">
                      <a:avLst/>
                    </a:prstGeom>
                    <a:noFill/>
                  </pic:spPr>
                </pic:pic>
              </a:graphicData>
            </a:graphic>
          </wp:anchor>
        </w:drawing>
        <w:t>Stock Ownership</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b w:val="1"/>
          <w:bCs w:val="1"/>
          <w:color w:val="2D53A6"/>
        </w:rPr>
        <w:t>Security Ownership of Certain Beneficial Owners and Management</w:t>
      </w:r>
    </w:p>
    <w:p>
      <w:pPr>
        <w:spacing w:after="0" w:line="219"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The following table sets forth certain information regarding beneficial ownership of Cohu’s common stock as of March 1, 2022, by (i) each stockholder who has reported or is known by Cohu to have beneficial ownership of more than 5% of our common stock; (ii) each director of Cohu; (iii) each NEO included in the “2021 Summary Compensation Table”; and (iv) all directors and named executive officers as a group. Unless otherwise noted below, the address of each person listed on the table is c/o Cohu, Inc., 12367 Crosthwaite Circle, Poway, California 92064-6817. Beneficial ownership is determined in accordance with the rules of the SEC and includes voting or investment power with respect to the securities. We deem shares of common stock that may be acquired by an individual or group within 60 days of March 1, 2022 pursuant to the exercise of options or the vesting of restricted stock units, performance stock units and deferred stock units to be outstanding for the purpose of computing the percentage ownership of such individual or group, but those shares are not deemed to be outstanding for the purpose of computing the percentage ownership of any other person shown in the table. Except as indicated in footnotes to this table, we believe that the stockholders named in this table have sole voting and investment power with respect to all shares of common stock shown to be beneficially owned by them based on information provided to us by these stockholders. Percentage of ownership is based on 48,563,962 shares of common stock outstanding on March 1, 2022.</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40" w:type="dxa"/>
            <w:vAlign w:val="bottom"/>
            <w:tcBorders>
              <w:right w:val="single" w:sz="8" w:color="2D53A6"/>
            </w:tcBorders>
            <w:shd w:val="clear" w:color="auto" w:fill="2D53A6"/>
          </w:tcPr>
          <w:p>
            <w:pPr>
              <w:spacing w:after="0"/>
              <w:rPr>
                <w:sz w:val="17"/>
                <w:szCs w:val="17"/>
                <w:color w:val="auto"/>
              </w:rPr>
            </w:pPr>
          </w:p>
        </w:tc>
        <w:tc>
          <w:tcPr>
            <w:tcW w:w="164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89"/>
              </w:rPr>
              <w:t>Beneficially</w:t>
            </w:r>
          </w:p>
        </w:tc>
        <w:tc>
          <w:tcPr>
            <w:tcW w:w="16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2"/>
              </w:rPr>
              <w:t>Common</w:t>
            </w:r>
          </w:p>
        </w:tc>
        <w:tc>
          <w:tcPr>
            <w:tcW w:w="1640" w:type="dxa"/>
            <w:vAlign w:val="bottom"/>
            <w:tcBorders>
              <w:right w:val="single" w:sz="8" w:color="2D53A6"/>
            </w:tcBorders>
            <w:shd w:val="clear" w:color="auto" w:fill="2D53A6"/>
          </w:tcPr>
          <w:p>
            <w:pPr>
              <w:spacing w:after="0"/>
              <w:rPr>
                <w:sz w:val="17"/>
                <w:szCs w:val="17"/>
                <w:color w:val="auto"/>
              </w:rPr>
            </w:pPr>
          </w:p>
        </w:tc>
        <w:tc>
          <w:tcPr>
            <w:tcW w:w="1560" w:type="dxa"/>
            <w:vAlign w:val="bottom"/>
            <w:vMerge w:val="restart"/>
            <w:shd w:val="clear" w:color="auto" w:fill="2D53A6"/>
          </w:tcPr>
          <w:p>
            <w:pPr>
              <w:jc w:val="right"/>
              <w:ind w:right="310"/>
              <w:spacing w:after="0"/>
              <w:rPr>
                <w:sz w:val="20"/>
                <w:szCs w:val="20"/>
                <w:color w:val="auto"/>
              </w:rPr>
            </w:pPr>
            <w:r>
              <w:rPr>
                <w:rFonts w:ascii="Arial" w:cs="Arial" w:eastAsia="Arial" w:hAnsi="Arial"/>
                <w:sz w:val="18"/>
                <w:szCs w:val="18"/>
                <w:b w:val="1"/>
                <w:bCs w:val="1"/>
                <w:color w:val="FFFFFF"/>
              </w:rPr>
              <w:t>Percent of</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4740" w:type="dxa"/>
            <w:vAlign w:val="bottom"/>
            <w:tcBorders>
              <w:right w:val="single" w:sz="8" w:color="2D53A6"/>
            </w:tcBorders>
            <w:vMerge w:val="restart"/>
            <w:shd w:val="clear" w:color="auto" w:fill="2D53A6"/>
          </w:tcPr>
          <w:p>
            <w:pPr>
              <w:spacing w:after="0"/>
              <w:rPr>
                <w:sz w:val="20"/>
                <w:szCs w:val="20"/>
                <w:color w:val="auto"/>
              </w:rPr>
            </w:pPr>
            <w:r>
              <w:rPr>
                <w:rFonts w:ascii="Arial" w:cs="Arial" w:eastAsia="Arial" w:hAnsi="Arial"/>
                <w:sz w:val="18"/>
                <w:szCs w:val="18"/>
                <w:b w:val="1"/>
                <w:bCs w:val="1"/>
                <w:color w:val="FFFFFF"/>
              </w:rPr>
              <w:t>Name and address of beneficial owner</w:t>
            </w:r>
          </w:p>
        </w:tc>
        <w:tc>
          <w:tcPr>
            <w:tcW w:w="164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87"/>
              </w:rPr>
              <w:t>owned</w:t>
            </w:r>
          </w:p>
        </w:tc>
        <w:tc>
          <w:tcPr>
            <w:tcW w:w="166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84"/>
              </w:rPr>
              <w:t>stock</w:t>
            </w:r>
          </w:p>
        </w:tc>
        <w:tc>
          <w:tcPr>
            <w:tcW w:w="1640" w:type="dxa"/>
            <w:vAlign w:val="bottom"/>
            <w:tcBorders>
              <w:right w:val="single" w:sz="8" w:color="2D53A6"/>
            </w:tcBorders>
            <w:vMerge w:val="restart"/>
            <w:shd w:val="clear" w:color="auto" w:fill="2D53A6"/>
          </w:tcPr>
          <w:p>
            <w:pPr>
              <w:jc w:val="right"/>
              <w:ind w:right="550"/>
              <w:spacing w:after="0"/>
              <w:rPr>
                <w:sz w:val="20"/>
                <w:szCs w:val="20"/>
                <w:color w:val="auto"/>
              </w:rPr>
            </w:pPr>
            <w:r>
              <w:rPr>
                <w:rFonts w:ascii="Arial" w:cs="Arial" w:eastAsia="Arial" w:hAnsi="Arial"/>
                <w:sz w:val="18"/>
                <w:szCs w:val="18"/>
                <w:b w:val="1"/>
                <w:bCs w:val="1"/>
                <w:color w:val="FFFFFF"/>
              </w:rPr>
              <w:t>Total</w:t>
            </w:r>
          </w:p>
        </w:tc>
        <w:tc>
          <w:tcPr>
            <w:tcW w:w="1560" w:type="dxa"/>
            <w:vAlign w:val="bottom"/>
            <w:vMerge w:val="continue"/>
            <w:shd w:val="clear" w:color="auto" w:fill="2D53A6"/>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740" w:type="dxa"/>
            <w:vAlign w:val="bottom"/>
            <w:tcBorders>
              <w:right w:val="single" w:sz="8" w:color="2D53A6"/>
            </w:tcBorders>
            <w:vMerge w:val="continue"/>
            <w:shd w:val="clear" w:color="auto" w:fill="2D53A6"/>
          </w:tcPr>
          <w:p>
            <w:pPr>
              <w:spacing w:after="0"/>
              <w:rPr>
                <w:sz w:val="9"/>
                <w:szCs w:val="9"/>
                <w:color w:val="auto"/>
              </w:rPr>
            </w:pPr>
          </w:p>
        </w:tc>
        <w:tc>
          <w:tcPr>
            <w:tcW w:w="1640" w:type="dxa"/>
            <w:vAlign w:val="bottom"/>
            <w:tcBorders>
              <w:right w:val="single" w:sz="8" w:color="2D53A6"/>
            </w:tcBorders>
            <w:vMerge w:val="continue"/>
            <w:shd w:val="clear" w:color="auto" w:fill="2D53A6"/>
          </w:tcPr>
          <w:p>
            <w:pPr>
              <w:spacing w:after="0"/>
              <w:rPr>
                <w:sz w:val="9"/>
                <w:szCs w:val="9"/>
                <w:color w:val="auto"/>
              </w:rPr>
            </w:pPr>
          </w:p>
        </w:tc>
        <w:tc>
          <w:tcPr>
            <w:tcW w:w="1660" w:type="dxa"/>
            <w:vAlign w:val="bottom"/>
            <w:tcBorders>
              <w:right w:val="single" w:sz="8" w:color="2D53A6"/>
            </w:tcBorders>
            <w:vMerge w:val="continue"/>
            <w:shd w:val="clear" w:color="auto" w:fill="2D53A6"/>
          </w:tcPr>
          <w:p>
            <w:pPr>
              <w:spacing w:after="0"/>
              <w:rPr>
                <w:sz w:val="9"/>
                <w:szCs w:val="9"/>
                <w:color w:val="auto"/>
              </w:rPr>
            </w:pPr>
          </w:p>
        </w:tc>
        <w:tc>
          <w:tcPr>
            <w:tcW w:w="1640" w:type="dxa"/>
            <w:vAlign w:val="bottom"/>
            <w:tcBorders>
              <w:right w:val="single" w:sz="8" w:color="2D53A6"/>
            </w:tcBorders>
            <w:vMerge w:val="continue"/>
            <w:shd w:val="clear" w:color="auto" w:fill="2D53A6"/>
          </w:tcPr>
          <w:p>
            <w:pPr>
              <w:spacing w:after="0"/>
              <w:rPr>
                <w:sz w:val="9"/>
                <w:szCs w:val="9"/>
                <w:color w:val="auto"/>
              </w:rPr>
            </w:pPr>
          </w:p>
        </w:tc>
        <w:tc>
          <w:tcPr>
            <w:tcW w:w="1560" w:type="dxa"/>
            <w:vAlign w:val="bottom"/>
            <w:vMerge w:val="restart"/>
            <w:shd w:val="clear" w:color="auto" w:fill="2D53A6"/>
          </w:tcPr>
          <w:p>
            <w:pPr>
              <w:jc w:val="right"/>
              <w:ind w:right="410"/>
              <w:spacing w:after="0" w:line="288" w:lineRule="exact"/>
              <w:rPr>
                <w:sz w:val="20"/>
                <w:szCs w:val="20"/>
                <w:color w:val="auto"/>
              </w:rPr>
            </w:pPr>
            <w:r>
              <w:rPr>
                <w:rFonts w:ascii="Arial" w:cs="Arial" w:eastAsia="Arial" w:hAnsi="Arial"/>
                <w:sz w:val="18"/>
                <w:szCs w:val="18"/>
                <w:b w:val="1"/>
                <w:bCs w:val="1"/>
                <w:color w:val="FFFFFF"/>
              </w:rPr>
              <w:t xml:space="preserve">class </w:t>
            </w:r>
            <w:r>
              <w:rPr>
                <w:rFonts w:ascii="Arial" w:cs="Arial" w:eastAsia="Arial" w:hAnsi="Arial"/>
                <w:sz w:val="29"/>
                <w:szCs w:val="29"/>
                <w:b w:val="1"/>
                <w:bCs w:val="1"/>
                <w:color w:val="FFFFFF"/>
                <w:vertAlign w:val="superscript"/>
              </w:rPr>
              <w:t>(2)</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4740" w:type="dxa"/>
            <w:vAlign w:val="bottom"/>
            <w:tcBorders>
              <w:right w:val="single" w:sz="8" w:color="2D53A6"/>
            </w:tcBorders>
            <w:shd w:val="clear" w:color="auto" w:fill="2D53A6"/>
          </w:tcPr>
          <w:p>
            <w:pPr>
              <w:spacing w:after="0"/>
              <w:rPr>
                <w:sz w:val="15"/>
                <w:szCs w:val="15"/>
                <w:color w:val="auto"/>
              </w:rPr>
            </w:pPr>
          </w:p>
        </w:tc>
        <w:tc>
          <w:tcPr>
            <w:tcW w:w="164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86"/>
              </w:rPr>
              <w:t>common stock</w:t>
            </w:r>
          </w:p>
        </w:tc>
        <w:tc>
          <w:tcPr>
            <w:tcW w:w="1660" w:type="dxa"/>
            <w:vAlign w:val="bottom"/>
            <w:tcBorders>
              <w:right w:val="single" w:sz="8" w:color="2D53A6"/>
            </w:tcBorders>
            <w:vMerge w:val="restart"/>
            <w:shd w:val="clear" w:color="auto" w:fill="2D53A6"/>
          </w:tcPr>
          <w:p>
            <w:pPr>
              <w:jc w:val="center"/>
              <w:spacing w:after="0" w:line="235" w:lineRule="exact"/>
              <w:rPr>
                <w:sz w:val="20"/>
                <w:szCs w:val="20"/>
                <w:color w:val="auto"/>
              </w:rPr>
            </w:pPr>
            <w:r>
              <w:rPr>
                <w:rFonts w:ascii="Arial" w:cs="Arial" w:eastAsia="Arial" w:hAnsi="Arial"/>
                <w:sz w:val="17"/>
                <w:szCs w:val="17"/>
                <w:b w:val="1"/>
                <w:bCs w:val="1"/>
                <w:color w:val="FFFFFF"/>
                <w:w w:val="89"/>
              </w:rPr>
              <w:t xml:space="preserve">equivalents </w:t>
            </w:r>
            <w:r>
              <w:rPr>
                <w:rFonts w:ascii="Arial" w:cs="Arial" w:eastAsia="Arial" w:hAnsi="Arial"/>
                <w:sz w:val="27"/>
                <w:szCs w:val="27"/>
                <w:b w:val="1"/>
                <w:bCs w:val="1"/>
                <w:color w:val="FFFFFF"/>
                <w:w w:val="89"/>
                <w:vertAlign w:val="superscript"/>
              </w:rPr>
              <w:t>(1)</w:t>
            </w:r>
          </w:p>
        </w:tc>
        <w:tc>
          <w:tcPr>
            <w:tcW w:w="1640" w:type="dxa"/>
            <w:vAlign w:val="bottom"/>
            <w:tcBorders>
              <w:right w:val="single" w:sz="8" w:color="2D53A6"/>
            </w:tcBorders>
            <w:shd w:val="clear" w:color="auto" w:fill="2D53A6"/>
          </w:tcPr>
          <w:p>
            <w:pPr>
              <w:spacing w:after="0"/>
              <w:rPr>
                <w:sz w:val="15"/>
                <w:szCs w:val="15"/>
                <w:color w:val="auto"/>
              </w:rPr>
            </w:pPr>
          </w:p>
        </w:tc>
        <w:tc>
          <w:tcPr>
            <w:tcW w:w="1560" w:type="dxa"/>
            <w:vAlign w:val="bottom"/>
            <w:vMerge w:val="continue"/>
            <w:shd w:val="clear" w:color="auto" w:fill="2D53A6"/>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4740" w:type="dxa"/>
            <w:vAlign w:val="bottom"/>
            <w:tcBorders>
              <w:right w:val="single" w:sz="8" w:color="2D53A6"/>
            </w:tcBorders>
            <w:shd w:val="clear" w:color="auto" w:fill="2D53A6"/>
          </w:tcPr>
          <w:p>
            <w:pPr>
              <w:spacing w:after="0"/>
              <w:rPr>
                <w:sz w:val="5"/>
                <w:szCs w:val="5"/>
                <w:color w:val="auto"/>
              </w:rPr>
            </w:pPr>
          </w:p>
        </w:tc>
        <w:tc>
          <w:tcPr>
            <w:tcW w:w="1640" w:type="dxa"/>
            <w:vAlign w:val="bottom"/>
            <w:tcBorders>
              <w:right w:val="single" w:sz="8" w:color="2D53A6"/>
            </w:tcBorders>
            <w:vMerge w:val="continue"/>
            <w:shd w:val="clear" w:color="auto" w:fill="2D53A6"/>
          </w:tcPr>
          <w:p>
            <w:pPr>
              <w:spacing w:after="0"/>
              <w:rPr>
                <w:sz w:val="5"/>
                <w:szCs w:val="5"/>
                <w:color w:val="auto"/>
              </w:rPr>
            </w:pPr>
          </w:p>
        </w:tc>
        <w:tc>
          <w:tcPr>
            <w:tcW w:w="1660" w:type="dxa"/>
            <w:vAlign w:val="bottom"/>
            <w:tcBorders>
              <w:right w:val="single" w:sz="8" w:color="2D53A6"/>
            </w:tcBorders>
            <w:vMerge w:val="continue"/>
            <w:shd w:val="clear" w:color="auto" w:fill="2D53A6"/>
          </w:tcPr>
          <w:p>
            <w:pPr>
              <w:spacing w:after="0"/>
              <w:rPr>
                <w:sz w:val="5"/>
                <w:szCs w:val="5"/>
                <w:color w:val="auto"/>
              </w:rPr>
            </w:pPr>
          </w:p>
        </w:tc>
        <w:tc>
          <w:tcPr>
            <w:tcW w:w="1640" w:type="dxa"/>
            <w:vAlign w:val="bottom"/>
            <w:tcBorders>
              <w:right w:val="single" w:sz="8" w:color="2D53A6"/>
            </w:tcBorders>
            <w:shd w:val="clear" w:color="auto" w:fill="2D53A6"/>
          </w:tcPr>
          <w:p>
            <w:pPr>
              <w:spacing w:after="0"/>
              <w:rPr>
                <w:sz w:val="5"/>
                <w:szCs w:val="5"/>
                <w:color w:val="auto"/>
              </w:rPr>
            </w:pPr>
          </w:p>
        </w:tc>
        <w:tc>
          <w:tcPr>
            <w:tcW w:w="1560" w:type="dxa"/>
            <w:vAlign w:val="bottom"/>
            <w:shd w:val="clear" w:color="auto" w:fill="2D53A6"/>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4740" w:type="dxa"/>
            <w:vAlign w:val="bottom"/>
            <w:tcBorders>
              <w:right w:val="single" w:sz="8" w:color="2D53A6"/>
            </w:tcBorders>
          </w:tcPr>
          <w:p>
            <w:pPr>
              <w:spacing w:after="0" w:line="201" w:lineRule="exact"/>
              <w:rPr>
                <w:sz w:val="20"/>
                <w:szCs w:val="20"/>
                <w:color w:val="auto"/>
              </w:rPr>
            </w:pPr>
            <w:r>
              <w:rPr>
                <w:rFonts w:ascii="Arial" w:cs="Arial" w:eastAsia="Arial" w:hAnsi="Arial"/>
                <w:sz w:val="15"/>
                <w:szCs w:val="15"/>
                <w:color w:val="auto"/>
              </w:rPr>
              <w:t xml:space="preserve">BlackRock, Inc. </w:t>
            </w:r>
            <w:r>
              <w:rPr>
                <w:rFonts w:ascii="Arial" w:cs="Arial" w:eastAsia="Arial" w:hAnsi="Arial"/>
                <w:sz w:val="23"/>
                <w:szCs w:val="23"/>
                <w:color w:val="auto"/>
                <w:vertAlign w:val="superscript"/>
              </w:rPr>
              <w:t>(3)</w:t>
            </w:r>
          </w:p>
        </w:tc>
        <w:tc>
          <w:tcPr>
            <w:tcW w:w="1640" w:type="dxa"/>
            <w:vAlign w:val="bottom"/>
            <w:tcBorders>
              <w:right w:val="single" w:sz="8" w:color="2D53A6"/>
            </w:tcBorders>
          </w:tcPr>
          <w:p>
            <w:pPr>
              <w:jc w:val="right"/>
              <w:spacing w:after="0" w:line="201" w:lineRule="exact"/>
              <w:rPr>
                <w:sz w:val="20"/>
                <w:szCs w:val="20"/>
                <w:color w:val="auto"/>
              </w:rPr>
            </w:pPr>
            <w:r>
              <w:rPr>
                <w:rFonts w:ascii="Arial" w:cs="Arial" w:eastAsia="Arial" w:hAnsi="Arial"/>
                <w:sz w:val="18"/>
                <w:szCs w:val="18"/>
                <w:color w:val="auto"/>
              </w:rPr>
              <w:t>7,340,752</w:t>
            </w:r>
          </w:p>
        </w:tc>
        <w:tc>
          <w:tcPr>
            <w:tcW w:w="1660" w:type="dxa"/>
            <w:vAlign w:val="bottom"/>
            <w:tcBorders>
              <w:right w:val="single" w:sz="8" w:color="2D53A6"/>
            </w:tcBorders>
          </w:tcPr>
          <w:p>
            <w:pPr>
              <w:jc w:val="right"/>
              <w:spacing w:after="0" w:line="201" w:lineRule="exact"/>
              <w:rPr>
                <w:sz w:val="20"/>
                <w:szCs w:val="20"/>
                <w:color w:val="auto"/>
              </w:rPr>
            </w:pPr>
            <w:r>
              <w:rPr>
                <w:rFonts w:ascii="Arial" w:cs="Arial" w:eastAsia="Arial" w:hAnsi="Arial"/>
                <w:sz w:val="18"/>
                <w:szCs w:val="18"/>
                <w:color w:val="auto"/>
              </w:rPr>
              <w:t>-</w:t>
            </w:r>
          </w:p>
        </w:tc>
        <w:tc>
          <w:tcPr>
            <w:tcW w:w="1640" w:type="dxa"/>
            <w:vAlign w:val="bottom"/>
            <w:tcBorders>
              <w:right w:val="single" w:sz="8" w:color="2D53A6"/>
            </w:tcBorders>
          </w:tcPr>
          <w:p>
            <w:pPr>
              <w:jc w:val="right"/>
              <w:spacing w:after="0" w:line="201" w:lineRule="exact"/>
              <w:rPr>
                <w:sz w:val="20"/>
                <w:szCs w:val="20"/>
                <w:color w:val="auto"/>
              </w:rPr>
            </w:pPr>
            <w:r>
              <w:rPr>
                <w:rFonts w:ascii="Arial" w:cs="Arial" w:eastAsia="Arial" w:hAnsi="Arial"/>
                <w:sz w:val="18"/>
                <w:szCs w:val="18"/>
                <w:color w:val="auto"/>
              </w:rPr>
              <w:t>7,340,752</w:t>
            </w:r>
          </w:p>
        </w:tc>
        <w:tc>
          <w:tcPr>
            <w:tcW w:w="1560" w:type="dxa"/>
            <w:vAlign w:val="bottom"/>
          </w:tcPr>
          <w:p>
            <w:pPr>
              <w:jc w:val="right"/>
              <w:spacing w:after="0" w:line="201" w:lineRule="exact"/>
              <w:rPr>
                <w:sz w:val="20"/>
                <w:szCs w:val="20"/>
                <w:color w:val="auto"/>
              </w:rPr>
            </w:pPr>
            <w:r>
              <w:rPr>
                <w:rFonts w:ascii="Arial" w:cs="Arial" w:eastAsia="Arial" w:hAnsi="Arial"/>
                <w:sz w:val="18"/>
                <w:szCs w:val="18"/>
                <w:color w:val="auto"/>
              </w:rPr>
              <w:t>15.12%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40" w:type="dxa"/>
            <w:vAlign w:val="bottom"/>
            <w:tcBorders>
              <w:bottom w:val="single" w:sz="8" w:color="2D53A6"/>
              <w:right w:val="single" w:sz="8" w:color="2D53A6"/>
            </w:tcBorders>
          </w:tcPr>
          <w:p>
            <w:pPr>
              <w:spacing w:after="0"/>
              <w:rPr>
                <w:sz w:val="20"/>
                <w:szCs w:val="20"/>
                <w:color w:val="auto"/>
              </w:rPr>
            </w:pPr>
            <w:r>
              <w:rPr>
                <w:rFonts w:ascii="Arial" w:cs="Arial" w:eastAsia="Arial" w:hAnsi="Arial"/>
                <w:sz w:val="18"/>
                <w:szCs w:val="18"/>
                <w:color w:val="auto"/>
              </w:rPr>
              <w:t>55 East 52nd Street, New York, NY 10055</w:t>
            </w:r>
          </w:p>
        </w:tc>
        <w:tc>
          <w:tcPr>
            <w:tcW w:w="1640" w:type="dxa"/>
            <w:vAlign w:val="bottom"/>
            <w:tcBorders>
              <w:bottom w:val="single" w:sz="8" w:color="2D53A6"/>
              <w:right w:val="single" w:sz="8" w:color="2D53A6"/>
            </w:tcBorders>
          </w:tcPr>
          <w:p>
            <w:pPr>
              <w:spacing w:after="0"/>
              <w:rPr>
                <w:sz w:val="20"/>
                <w:szCs w:val="20"/>
                <w:color w:val="auto"/>
              </w:rPr>
            </w:pPr>
          </w:p>
        </w:tc>
        <w:tc>
          <w:tcPr>
            <w:tcW w:w="1660" w:type="dxa"/>
            <w:vAlign w:val="bottom"/>
            <w:tcBorders>
              <w:bottom w:val="single" w:sz="8" w:color="2D53A6"/>
              <w:right w:val="single" w:sz="8" w:color="2D53A6"/>
            </w:tcBorders>
          </w:tcPr>
          <w:p>
            <w:pPr>
              <w:spacing w:after="0"/>
              <w:rPr>
                <w:sz w:val="20"/>
                <w:szCs w:val="20"/>
                <w:color w:val="auto"/>
              </w:rPr>
            </w:pPr>
          </w:p>
        </w:tc>
        <w:tc>
          <w:tcPr>
            <w:tcW w:w="1640" w:type="dxa"/>
            <w:vAlign w:val="bottom"/>
            <w:tcBorders>
              <w:bottom w:val="single" w:sz="8" w:color="2D53A6"/>
              <w:right w:val="single" w:sz="8" w:color="2D53A6"/>
            </w:tcBorders>
          </w:tcPr>
          <w:p>
            <w:pPr>
              <w:spacing w:after="0"/>
              <w:rPr>
                <w:sz w:val="20"/>
                <w:szCs w:val="20"/>
                <w:color w:val="auto"/>
              </w:rPr>
            </w:pPr>
          </w:p>
        </w:tc>
        <w:tc>
          <w:tcPr>
            <w:tcW w:w="1560" w:type="dxa"/>
            <w:vAlign w:val="bottom"/>
            <w:tcBorders>
              <w:bottom w:val="single" w:sz="8" w:color="2D53A6"/>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740" w:type="dxa"/>
            <w:vAlign w:val="bottom"/>
            <w:tcBorders>
              <w:right w:val="single" w:sz="8" w:color="2D53A6"/>
            </w:tcBorders>
            <w:shd w:val="clear" w:color="auto" w:fill="E6E6E6"/>
          </w:tcPr>
          <w:p>
            <w:pPr>
              <w:spacing w:after="0" w:line="210" w:lineRule="exact"/>
              <w:rPr>
                <w:sz w:val="20"/>
                <w:szCs w:val="20"/>
                <w:color w:val="auto"/>
              </w:rPr>
            </w:pPr>
            <w:r>
              <w:rPr>
                <w:rFonts w:ascii="Arial" w:cs="Arial" w:eastAsia="Arial" w:hAnsi="Arial"/>
                <w:sz w:val="15"/>
                <w:szCs w:val="15"/>
                <w:color w:val="auto"/>
              </w:rPr>
              <w:t xml:space="preserve">Dimensional Fund Advisors LP </w:t>
            </w:r>
            <w:r>
              <w:rPr>
                <w:rFonts w:ascii="Arial" w:cs="Arial" w:eastAsia="Arial" w:hAnsi="Arial"/>
                <w:sz w:val="24"/>
                <w:szCs w:val="24"/>
                <w:color w:val="auto"/>
                <w:vertAlign w:val="superscript"/>
              </w:rPr>
              <w:t>(4)</w:t>
            </w:r>
          </w:p>
        </w:tc>
        <w:tc>
          <w:tcPr>
            <w:tcW w:w="1640" w:type="dxa"/>
            <w:vAlign w:val="bottom"/>
            <w:tcBorders>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2,250,012</w:t>
            </w:r>
          </w:p>
        </w:tc>
        <w:tc>
          <w:tcPr>
            <w:tcW w:w="1660" w:type="dxa"/>
            <w:vAlign w:val="bottom"/>
            <w:tcBorders>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2,250,012</w:t>
            </w:r>
          </w:p>
        </w:tc>
        <w:tc>
          <w:tcPr>
            <w:tcW w:w="15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4.63%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Borders>
              <w:bottom w:val="single" w:sz="8" w:color="2D53A6"/>
              <w:right w:val="single" w:sz="8" w:color="2D53A6"/>
            </w:tcBorders>
            <w:shd w:val="clear" w:color="auto" w:fill="E6E6E6"/>
          </w:tcPr>
          <w:p>
            <w:pPr>
              <w:spacing w:after="0"/>
              <w:rPr>
                <w:sz w:val="20"/>
                <w:szCs w:val="20"/>
                <w:color w:val="auto"/>
              </w:rPr>
            </w:pPr>
            <w:r>
              <w:rPr>
                <w:rFonts w:ascii="Arial" w:cs="Arial" w:eastAsia="Arial" w:hAnsi="Arial"/>
                <w:sz w:val="18"/>
                <w:szCs w:val="18"/>
                <w:color w:val="auto"/>
              </w:rPr>
              <w:t>6300 Bee Cave Road, Austin, TX 78746</w:t>
            </w:r>
          </w:p>
        </w:tc>
        <w:tc>
          <w:tcPr>
            <w:tcW w:w="1640" w:type="dxa"/>
            <w:vAlign w:val="bottom"/>
            <w:tcBorders>
              <w:bottom w:val="single" w:sz="8" w:color="2D53A6"/>
              <w:right w:val="single" w:sz="8" w:color="2D53A6"/>
            </w:tcBorders>
            <w:shd w:val="clear" w:color="auto" w:fill="E6E6E6"/>
          </w:tcPr>
          <w:p>
            <w:pPr>
              <w:spacing w:after="0"/>
              <w:rPr>
                <w:sz w:val="18"/>
                <w:szCs w:val="18"/>
                <w:color w:val="auto"/>
              </w:rPr>
            </w:pPr>
          </w:p>
        </w:tc>
        <w:tc>
          <w:tcPr>
            <w:tcW w:w="1660" w:type="dxa"/>
            <w:vAlign w:val="bottom"/>
            <w:tcBorders>
              <w:bottom w:val="single" w:sz="8" w:color="2D53A6"/>
              <w:right w:val="single" w:sz="8" w:color="2D53A6"/>
            </w:tcBorders>
            <w:shd w:val="clear" w:color="auto" w:fill="E6E6E6"/>
          </w:tcPr>
          <w:p>
            <w:pPr>
              <w:spacing w:after="0"/>
              <w:rPr>
                <w:sz w:val="18"/>
                <w:szCs w:val="18"/>
                <w:color w:val="auto"/>
              </w:rPr>
            </w:pPr>
          </w:p>
        </w:tc>
        <w:tc>
          <w:tcPr>
            <w:tcW w:w="1640" w:type="dxa"/>
            <w:vAlign w:val="bottom"/>
            <w:tcBorders>
              <w:bottom w:val="single" w:sz="8" w:color="2D53A6"/>
              <w:right w:val="single" w:sz="8" w:color="2D53A6"/>
            </w:tcBorders>
            <w:shd w:val="clear" w:color="auto" w:fill="E6E6E6"/>
          </w:tcPr>
          <w:p>
            <w:pPr>
              <w:spacing w:after="0"/>
              <w:rPr>
                <w:sz w:val="18"/>
                <w:szCs w:val="18"/>
                <w:color w:val="auto"/>
              </w:rPr>
            </w:pPr>
          </w:p>
        </w:tc>
        <w:tc>
          <w:tcPr>
            <w:tcW w:w="1560" w:type="dxa"/>
            <w:vAlign w:val="bottom"/>
            <w:tcBorders>
              <w:bottom w:val="single" w:sz="8" w:color="2D53A6"/>
            </w:tcBorders>
            <w:shd w:val="clear" w:color="auto" w:fill="E6E6E6"/>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740" w:type="dxa"/>
            <w:vAlign w:val="bottom"/>
            <w:tcBorders>
              <w:right w:val="single" w:sz="8" w:color="2D53A6"/>
            </w:tcBorders>
          </w:tcPr>
          <w:p>
            <w:pPr>
              <w:spacing w:after="0" w:line="195" w:lineRule="exact"/>
              <w:rPr>
                <w:sz w:val="20"/>
                <w:szCs w:val="20"/>
                <w:color w:val="auto"/>
              </w:rPr>
            </w:pPr>
            <w:r>
              <w:rPr>
                <w:rFonts w:ascii="Arial" w:cs="Arial" w:eastAsia="Arial" w:hAnsi="Arial"/>
                <w:sz w:val="14"/>
                <w:szCs w:val="14"/>
                <w:color w:val="auto"/>
              </w:rPr>
              <w:t xml:space="preserve">The Vanguard Group </w:t>
            </w:r>
            <w:r>
              <w:rPr>
                <w:rFonts w:ascii="Arial" w:cs="Arial" w:eastAsia="Arial" w:hAnsi="Arial"/>
                <w:sz w:val="22"/>
                <w:szCs w:val="22"/>
                <w:color w:val="auto"/>
                <w:vertAlign w:val="superscript"/>
              </w:rPr>
              <w:t>(5)</w:t>
            </w:r>
          </w:p>
        </w:tc>
        <w:tc>
          <w:tcPr>
            <w:tcW w:w="1640" w:type="dxa"/>
            <w:vAlign w:val="bottom"/>
            <w:tcBorders>
              <w:right w:val="single" w:sz="8" w:color="2D53A6"/>
            </w:tcBorders>
          </w:tcPr>
          <w:p>
            <w:pPr>
              <w:jc w:val="right"/>
              <w:spacing w:after="0" w:line="195" w:lineRule="exact"/>
              <w:rPr>
                <w:sz w:val="20"/>
                <w:szCs w:val="20"/>
                <w:color w:val="auto"/>
              </w:rPr>
            </w:pPr>
            <w:r>
              <w:rPr>
                <w:rFonts w:ascii="Arial" w:cs="Arial" w:eastAsia="Arial" w:hAnsi="Arial"/>
                <w:sz w:val="18"/>
                <w:szCs w:val="18"/>
                <w:color w:val="auto"/>
              </w:rPr>
              <w:t>3,662,219</w:t>
            </w:r>
          </w:p>
        </w:tc>
        <w:tc>
          <w:tcPr>
            <w:tcW w:w="1660" w:type="dxa"/>
            <w:vAlign w:val="bottom"/>
            <w:tcBorders>
              <w:right w:val="single" w:sz="8" w:color="2D53A6"/>
            </w:tcBorders>
          </w:tcPr>
          <w:p>
            <w:pPr>
              <w:jc w:val="right"/>
              <w:spacing w:after="0" w:line="195" w:lineRule="exact"/>
              <w:rPr>
                <w:sz w:val="20"/>
                <w:szCs w:val="20"/>
                <w:color w:val="auto"/>
              </w:rPr>
            </w:pPr>
            <w:r>
              <w:rPr>
                <w:rFonts w:ascii="Arial" w:cs="Arial" w:eastAsia="Arial" w:hAnsi="Arial"/>
                <w:sz w:val="18"/>
                <w:szCs w:val="18"/>
                <w:color w:val="auto"/>
              </w:rPr>
              <w:t>-</w:t>
            </w:r>
          </w:p>
        </w:tc>
        <w:tc>
          <w:tcPr>
            <w:tcW w:w="1640" w:type="dxa"/>
            <w:vAlign w:val="bottom"/>
            <w:tcBorders>
              <w:right w:val="single" w:sz="8" w:color="2D53A6"/>
            </w:tcBorders>
          </w:tcPr>
          <w:p>
            <w:pPr>
              <w:jc w:val="right"/>
              <w:spacing w:after="0" w:line="195" w:lineRule="exact"/>
              <w:rPr>
                <w:sz w:val="20"/>
                <w:szCs w:val="20"/>
                <w:color w:val="auto"/>
              </w:rPr>
            </w:pPr>
            <w:r>
              <w:rPr>
                <w:rFonts w:ascii="Arial" w:cs="Arial" w:eastAsia="Arial" w:hAnsi="Arial"/>
                <w:sz w:val="18"/>
                <w:szCs w:val="18"/>
                <w:color w:val="auto"/>
              </w:rPr>
              <w:t>3,662,219</w:t>
            </w:r>
          </w:p>
        </w:tc>
        <w:tc>
          <w:tcPr>
            <w:tcW w:w="1560" w:type="dxa"/>
            <w:vAlign w:val="bottom"/>
          </w:tcPr>
          <w:p>
            <w:pPr>
              <w:jc w:val="right"/>
              <w:spacing w:after="0" w:line="195" w:lineRule="exact"/>
              <w:rPr>
                <w:sz w:val="20"/>
                <w:szCs w:val="20"/>
                <w:color w:val="auto"/>
              </w:rPr>
            </w:pPr>
            <w:r>
              <w:rPr>
                <w:rFonts w:ascii="Arial" w:cs="Arial" w:eastAsia="Arial" w:hAnsi="Arial"/>
                <w:sz w:val="18"/>
                <w:szCs w:val="18"/>
                <w:color w:val="auto"/>
              </w:rPr>
              <w:t>7.54%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740" w:type="dxa"/>
            <w:vAlign w:val="bottom"/>
            <w:tcBorders>
              <w:bottom w:val="single" w:sz="8" w:color="2D53A6"/>
              <w:right w:val="single" w:sz="8" w:color="2D53A6"/>
            </w:tcBorders>
          </w:tcPr>
          <w:p>
            <w:pPr>
              <w:spacing w:after="0"/>
              <w:rPr>
                <w:sz w:val="20"/>
                <w:szCs w:val="20"/>
                <w:color w:val="auto"/>
              </w:rPr>
            </w:pPr>
            <w:r>
              <w:rPr>
                <w:rFonts w:ascii="Arial" w:cs="Arial" w:eastAsia="Arial" w:hAnsi="Arial"/>
                <w:sz w:val="18"/>
                <w:szCs w:val="18"/>
                <w:color w:val="auto"/>
              </w:rPr>
              <w:t>100 Vanguard Blvd. Malvern, PA 19355</w:t>
            </w:r>
          </w:p>
        </w:tc>
        <w:tc>
          <w:tcPr>
            <w:tcW w:w="1640" w:type="dxa"/>
            <w:vAlign w:val="bottom"/>
            <w:tcBorders>
              <w:bottom w:val="single" w:sz="8" w:color="2D53A6"/>
              <w:right w:val="single" w:sz="8" w:color="2D53A6"/>
            </w:tcBorders>
          </w:tcPr>
          <w:p>
            <w:pPr>
              <w:spacing w:after="0"/>
              <w:rPr>
                <w:sz w:val="20"/>
                <w:szCs w:val="20"/>
                <w:color w:val="auto"/>
              </w:rPr>
            </w:pPr>
          </w:p>
        </w:tc>
        <w:tc>
          <w:tcPr>
            <w:tcW w:w="1660" w:type="dxa"/>
            <w:vAlign w:val="bottom"/>
            <w:tcBorders>
              <w:bottom w:val="single" w:sz="8" w:color="2D53A6"/>
              <w:right w:val="single" w:sz="8" w:color="2D53A6"/>
            </w:tcBorders>
          </w:tcPr>
          <w:p>
            <w:pPr>
              <w:spacing w:after="0"/>
              <w:rPr>
                <w:sz w:val="20"/>
                <w:szCs w:val="20"/>
                <w:color w:val="auto"/>
              </w:rPr>
            </w:pPr>
          </w:p>
        </w:tc>
        <w:tc>
          <w:tcPr>
            <w:tcW w:w="1640" w:type="dxa"/>
            <w:vAlign w:val="bottom"/>
            <w:tcBorders>
              <w:bottom w:val="single" w:sz="8" w:color="2D53A6"/>
              <w:right w:val="single" w:sz="8" w:color="2D53A6"/>
            </w:tcBorders>
          </w:tcPr>
          <w:p>
            <w:pPr>
              <w:spacing w:after="0"/>
              <w:rPr>
                <w:sz w:val="20"/>
                <w:szCs w:val="20"/>
                <w:color w:val="auto"/>
              </w:rPr>
            </w:pPr>
          </w:p>
        </w:tc>
        <w:tc>
          <w:tcPr>
            <w:tcW w:w="1560" w:type="dxa"/>
            <w:vAlign w:val="bottom"/>
            <w:tcBorders>
              <w:bottom w:val="single" w:sz="8" w:color="2D53A6"/>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740" w:type="dxa"/>
            <w:vAlign w:val="bottom"/>
            <w:tcBorders>
              <w:bottom w:val="single" w:sz="8" w:color="2D53A6"/>
              <w:right w:val="single" w:sz="8" w:color="2D53A6"/>
            </w:tcBorders>
            <w:shd w:val="clear" w:color="auto" w:fill="E6E6E6"/>
          </w:tcPr>
          <w:p>
            <w:pPr>
              <w:spacing w:after="0"/>
              <w:rPr>
                <w:sz w:val="20"/>
                <w:szCs w:val="20"/>
                <w:color w:val="auto"/>
              </w:rPr>
            </w:pPr>
            <w:r>
              <w:rPr>
                <w:rFonts w:ascii="Arial" w:cs="Arial" w:eastAsia="Arial" w:hAnsi="Arial"/>
                <w:sz w:val="18"/>
                <w:szCs w:val="18"/>
                <w:color w:val="auto"/>
              </w:rPr>
              <w:t>William E. Bendush</w:t>
            </w:r>
          </w:p>
        </w:tc>
        <w:tc>
          <w:tcPr>
            <w:tcW w:w="164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33,347</w:t>
            </w:r>
          </w:p>
        </w:tc>
        <w:tc>
          <w:tcPr>
            <w:tcW w:w="166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33,347</w:t>
            </w:r>
          </w:p>
        </w:tc>
        <w:tc>
          <w:tcPr>
            <w:tcW w:w="1560" w:type="dxa"/>
            <w:vAlign w:val="bottom"/>
            <w:tcBorders>
              <w:bottom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40" w:type="dxa"/>
            <w:vAlign w:val="bottom"/>
            <w:tcBorders>
              <w:bottom w:val="single" w:sz="8" w:color="2D53A6"/>
              <w:right w:val="single" w:sz="8" w:color="2D53A6"/>
            </w:tcBorders>
          </w:tcPr>
          <w:p>
            <w:pPr>
              <w:spacing w:after="0" w:line="210" w:lineRule="exact"/>
              <w:rPr>
                <w:sz w:val="20"/>
                <w:szCs w:val="20"/>
                <w:color w:val="auto"/>
              </w:rPr>
            </w:pPr>
            <w:r>
              <w:rPr>
                <w:rFonts w:ascii="Arial" w:cs="Arial" w:eastAsia="Arial" w:hAnsi="Arial"/>
                <w:sz w:val="15"/>
                <w:szCs w:val="15"/>
                <w:color w:val="auto"/>
              </w:rPr>
              <w:t xml:space="preserve">Steven J. Bilodeau </w:t>
            </w:r>
            <w:r>
              <w:rPr>
                <w:rFonts w:ascii="Arial" w:cs="Arial" w:eastAsia="Arial" w:hAnsi="Arial"/>
                <w:sz w:val="24"/>
                <w:szCs w:val="24"/>
                <w:color w:val="auto"/>
                <w:vertAlign w:val="superscript"/>
              </w:rPr>
              <w:t>(6)</w:t>
            </w:r>
          </w:p>
        </w:tc>
        <w:tc>
          <w:tcPr>
            <w:tcW w:w="164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79,476</w:t>
            </w:r>
          </w:p>
        </w:tc>
        <w:tc>
          <w:tcPr>
            <w:tcW w:w="166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79,476</w:t>
            </w:r>
          </w:p>
        </w:tc>
        <w:tc>
          <w:tcPr>
            <w:tcW w:w="1560" w:type="dxa"/>
            <w:vAlign w:val="bottom"/>
            <w:tcBorders>
              <w:bottom w:val="single" w:sz="8" w:color="2D53A6"/>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40" w:type="dxa"/>
            <w:vAlign w:val="bottom"/>
            <w:tcBorders>
              <w:bottom w:val="single" w:sz="8" w:color="2D53A6"/>
              <w:right w:val="single" w:sz="8" w:color="2D53A6"/>
            </w:tcBorders>
            <w:shd w:val="clear" w:color="auto" w:fill="E6E6E6"/>
          </w:tcPr>
          <w:p>
            <w:pPr>
              <w:spacing w:after="0"/>
              <w:rPr>
                <w:sz w:val="20"/>
                <w:szCs w:val="20"/>
                <w:color w:val="auto"/>
              </w:rPr>
            </w:pPr>
            <w:r>
              <w:rPr>
                <w:rFonts w:ascii="Arial" w:cs="Arial" w:eastAsia="Arial" w:hAnsi="Arial"/>
                <w:sz w:val="18"/>
                <w:szCs w:val="18"/>
                <w:color w:val="auto"/>
              </w:rPr>
              <w:t>Christopher G. Bohrson</w:t>
            </w:r>
          </w:p>
        </w:tc>
        <w:tc>
          <w:tcPr>
            <w:tcW w:w="164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22,245</w:t>
            </w:r>
          </w:p>
        </w:tc>
        <w:tc>
          <w:tcPr>
            <w:tcW w:w="166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17,891</w:t>
            </w:r>
          </w:p>
        </w:tc>
        <w:tc>
          <w:tcPr>
            <w:tcW w:w="164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40,136</w:t>
            </w:r>
          </w:p>
        </w:tc>
        <w:tc>
          <w:tcPr>
            <w:tcW w:w="1560" w:type="dxa"/>
            <w:vAlign w:val="bottom"/>
            <w:tcBorders>
              <w:bottom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40" w:type="dxa"/>
            <w:vAlign w:val="bottom"/>
            <w:tcBorders>
              <w:bottom w:val="single" w:sz="8" w:color="2D53A6"/>
              <w:right w:val="single" w:sz="8" w:color="2D53A6"/>
            </w:tcBorders>
          </w:tcPr>
          <w:p>
            <w:pPr>
              <w:spacing w:after="0" w:line="210" w:lineRule="exact"/>
              <w:rPr>
                <w:sz w:val="20"/>
                <w:szCs w:val="20"/>
                <w:color w:val="auto"/>
              </w:rPr>
            </w:pPr>
            <w:r>
              <w:rPr>
                <w:rFonts w:ascii="Arial" w:cs="Arial" w:eastAsia="Arial" w:hAnsi="Arial"/>
                <w:sz w:val="15"/>
                <w:szCs w:val="15"/>
                <w:color w:val="auto"/>
              </w:rPr>
              <w:t xml:space="preserve">Andrew M. Caggia </w:t>
            </w:r>
            <w:r>
              <w:rPr>
                <w:rFonts w:ascii="Arial" w:cs="Arial" w:eastAsia="Arial" w:hAnsi="Arial"/>
                <w:sz w:val="24"/>
                <w:szCs w:val="24"/>
                <w:color w:val="auto"/>
                <w:vertAlign w:val="superscript"/>
              </w:rPr>
              <w:t>(7)</w:t>
            </w:r>
          </w:p>
        </w:tc>
        <w:tc>
          <w:tcPr>
            <w:tcW w:w="164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35,875</w:t>
            </w:r>
          </w:p>
        </w:tc>
        <w:tc>
          <w:tcPr>
            <w:tcW w:w="166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35,875</w:t>
            </w:r>
          </w:p>
        </w:tc>
        <w:tc>
          <w:tcPr>
            <w:tcW w:w="1560" w:type="dxa"/>
            <w:vAlign w:val="bottom"/>
            <w:tcBorders>
              <w:bottom w:val="single" w:sz="8" w:color="2D53A6"/>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40" w:type="dxa"/>
            <w:vAlign w:val="bottom"/>
            <w:tcBorders>
              <w:bottom w:val="single" w:sz="8" w:color="2D53A6"/>
              <w:right w:val="single" w:sz="8" w:color="2D53A6"/>
            </w:tcBorders>
            <w:shd w:val="clear" w:color="auto" w:fill="E6E6E6"/>
          </w:tcPr>
          <w:p>
            <w:pPr>
              <w:spacing w:after="0"/>
              <w:rPr>
                <w:sz w:val="20"/>
                <w:szCs w:val="20"/>
                <w:color w:val="auto"/>
              </w:rPr>
            </w:pPr>
            <w:r>
              <w:rPr>
                <w:rFonts w:ascii="Arial" w:cs="Arial" w:eastAsia="Arial" w:hAnsi="Arial"/>
                <w:sz w:val="18"/>
                <w:szCs w:val="18"/>
                <w:color w:val="auto"/>
              </w:rPr>
              <w:t>Lynne J. Camp</w:t>
            </w:r>
          </w:p>
        </w:tc>
        <w:tc>
          <w:tcPr>
            <w:tcW w:w="164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13,128</w:t>
            </w:r>
          </w:p>
        </w:tc>
        <w:tc>
          <w:tcPr>
            <w:tcW w:w="166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13,128</w:t>
            </w:r>
          </w:p>
        </w:tc>
        <w:tc>
          <w:tcPr>
            <w:tcW w:w="1560" w:type="dxa"/>
            <w:vAlign w:val="bottom"/>
            <w:tcBorders>
              <w:bottom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40" w:type="dxa"/>
            <w:vAlign w:val="bottom"/>
            <w:tcBorders>
              <w:bottom w:val="single" w:sz="8" w:color="2D53A6"/>
              <w:right w:val="single" w:sz="8" w:color="2D53A6"/>
            </w:tcBorders>
          </w:tcPr>
          <w:p>
            <w:pPr>
              <w:spacing w:after="0"/>
              <w:rPr>
                <w:sz w:val="20"/>
                <w:szCs w:val="20"/>
                <w:color w:val="auto"/>
              </w:rPr>
            </w:pPr>
            <w:r>
              <w:rPr>
                <w:rFonts w:ascii="Arial" w:cs="Arial" w:eastAsia="Arial" w:hAnsi="Arial"/>
                <w:sz w:val="18"/>
                <w:szCs w:val="18"/>
                <w:color w:val="auto"/>
              </w:rPr>
              <w:t>James A. Donahue</w:t>
            </w:r>
          </w:p>
        </w:tc>
        <w:tc>
          <w:tcPr>
            <w:tcW w:w="164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367,056</w:t>
            </w:r>
          </w:p>
        </w:tc>
        <w:tc>
          <w:tcPr>
            <w:tcW w:w="166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367,056</w:t>
            </w:r>
          </w:p>
        </w:tc>
        <w:tc>
          <w:tcPr>
            <w:tcW w:w="1560" w:type="dxa"/>
            <w:vAlign w:val="bottom"/>
            <w:tcBorders>
              <w:bottom w:val="single" w:sz="8" w:color="2D53A6"/>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40" w:type="dxa"/>
            <w:vAlign w:val="bottom"/>
            <w:tcBorders>
              <w:bottom w:val="single" w:sz="8" w:color="2D53A6"/>
              <w:right w:val="single" w:sz="8" w:color="2D53A6"/>
            </w:tcBorders>
            <w:shd w:val="clear" w:color="auto" w:fill="E6E6E6"/>
          </w:tcPr>
          <w:p>
            <w:pPr>
              <w:spacing w:after="0"/>
              <w:rPr>
                <w:sz w:val="20"/>
                <w:szCs w:val="20"/>
                <w:color w:val="auto"/>
              </w:rPr>
            </w:pPr>
            <w:r>
              <w:rPr>
                <w:rFonts w:ascii="Arial" w:cs="Arial" w:eastAsia="Arial" w:hAnsi="Arial"/>
                <w:sz w:val="18"/>
                <w:szCs w:val="18"/>
                <w:color w:val="auto"/>
              </w:rPr>
              <w:t>Yon Y. Jorden</w:t>
            </w:r>
          </w:p>
        </w:tc>
        <w:tc>
          <w:tcPr>
            <w:tcW w:w="164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3,000</w:t>
            </w:r>
          </w:p>
        </w:tc>
        <w:tc>
          <w:tcPr>
            <w:tcW w:w="166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3,000</w:t>
            </w:r>
          </w:p>
        </w:tc>
        <w:tc>
          <w:tcPr>
            <w:tcW w:w="1560" w:type="dxa"/>
            <w:vAlign w:val="bottom"/>
            <w:tcBorders>
              <w:bottom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40" w:type="dxa"/>
            <w:vAlign w:val="bottom"/>
            <w:tcBorders>
              <w:bottom w:val="single" w:sz="8" w:color="2D53A6"/>
              <w:right w:val="single" w:sz="8" w:color="2D53A6"/>
            </w:tcBorders>
          </w:tcPr>
          <w:p>
            <w:pPr>
              <w:spacing w:after="0"/>
              <w:rPr>
                <w:sz w:val="20"/>
                <w:szCs w:val="20"/>
                <w:color w:val="auto"/>
              </w:rPr>
            </w:pPr>
            <w:r>
              <w:rPr>
                <w:rFonts w:ascii="Arial" w:cs="Arial" w:eastAsia="Arial" w:hAnsi="Arial"/>
                <w:sz w:val="18"/>
                <w:szCs w:val="18"/>
                <w:color w:val="auto"/>
              </w:rPr>
              <w:t>Jeffrey D. Jones</w:t>
            </w:r>
          </w:p>
        </w:tc>
        <w:tc>
          <w:tcPr>
            <w:tcW w:w="164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148,299</w:t>
            </w:r>
          </w:p>
        </w:tc>
        <w:tc>
          <w:tcPr>
            <w:tcW w:w="166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40,213</w:t>
            </w:r>
          </w:p>
        </w:tc>
        <w:tc>
          <w:tcPr>
            <w:tcW w:w="164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188,512</w:t>
            </w:r>
          </w:p>
        </w:tc>
        <w:tc>
          <w:tcPr>
            <w:tcW w:w="1560" w:type="dxa"/>
            <w:vAlign w:val="bottom"/>
            <w:tcBorders>
              <w:bottom w:val="single" w:sz="8" w:color="2D53A6"/>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40" w:type="dxa"/>
            <w:vAlign w:val="bottom"/>
            <w:tcBorders>
              <w:bottom w:val="single" w:sz="8" w:color="2D53A6"/>
              <w:right w:val="single" w:sz="8" w:color="2D53A6"/>
            </w:tcBorders>
            <w:shd w:val="clear" w:color="auto" w:fill="E6E6E6"/>
          </w:tcPr>
          <w:p>
            <w:pPr>
              <w:spacing w:after="0"/>
              <w:rPr>
                <w:sz w:val="20"/>
                <w:szCs w:val="20"/>
                <w:color w:val="auto"/>
              </w:rPr>
            </w:pPr>
            <w:r>
              <w:rPr>
                <w:rFonts w:ascii="Arial" w:cs="Arial" w:eastAsia="Arial" w:hAnsi="Arial"/>
                <w:sz w:val="18"/>
                <w:szCs w:val="18"/>
                <w:color w:val="auto"/>
              </w:rPr>
              <w:t>Thomas D. Kampfer</w:t>
            </w:r>
          </w:p>
        </w:tc>
        <w:tc>
          <w:tcPr>
            <w:tcW w:w="164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18,208</w:t>
            </w:r>
          </w:p>
        </w:tc>
        <w:tc>
          <w:tcPr>
            <w:tcW w:w="166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14,630</w:t>
            </w:r>
          </w:p>
        </w:tc>
        <w:tc>
          <w:tcPr>
            <w:tcW w:w="164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32,838</w:t>
            </w:r>
          </w:p>
        </w:tc>
        <w:tc>
          <w:tcPr>
            <w:tcW w:w="1560" w:type="dxa"/>
            <w:vAlign w:val="bottom"/>
            <w:tcBorders>
              <w:bottom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40" w:type="dxa"/>
            <w:vAlign w:val="bottom"/>
            <w:tcBorders>
              <w:bottom w:val="single" w:sz="8" w:color="2D53A6"/>
              <w:right w:val="single" w:sz="8" w:color="2D53A6"/>
            </w:tcBorders>
          </w:tcPr>
          <w:p>
            <w:pPr>
              <w:spacing w:after="0"/>
              <w:rPr>
                <w:sz w:val="20"/>
                <w:szCs w:val="20"/>
                <w:color w:val="auto"/>
              </w:rPr>
            </w:pPr>
            <w:r>
              <w:rPr>
                <w:rFonts w:ascii="Arial" w:cs="Arial" w:eastAsia="Arial" w:hAnsi="Arial"/>
                <w:sz w:val="18"/>
                <w:szCs w:val="18"/>
                <w:color w:val="auto"/>
              </w:rPr>
              <w:t>Ian P. Lawee</w:t>
            </w:r>
          </w:p>
        </w:tc>
        <w:tc>
          <w:tcPr>
            <w:tcW w:w="164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8,819</w:t>
            </w:r>
          </w:p>
        </w:tc>
        <w:tc>
          <w:tcPr>
            <w:tcW w:w="166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3,816</w:t>
            </w:r>
          </w:p>
        </w:tc>
        <w:tc>
          <w:tcPr>
            <w:tcW w:w="164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12,635</w:t>
            </w:r>
          </w:p>
        </w:tc>
        <w:tc>
          <w:tcPr>
            <w:tcW w:w="1560" w:type="dxa"/>
            <w:vAlign w:val="bottom"/>
            <w:tcBorders>
              <w:bottom w:val="single" w:sz="8" w:color="2D53A6"/>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40" w:type="dxa"/>
            <w:vAlign w:val="bottom"/>
            <w:tcBorders>
              <w:bottom w:val="single" w:sz="8" w:color="2D53A6"/>
              <w:right w:val="single" w:sz="8" w:color="2D53A6"/>
            </w:tcBorders>
            <w:shd w:val="clear" w:color="auto" w:fill="E6E6E6"/>
          </w:tcPr>
          <w:p>
            <w:pPr>
              <w:spacing w:after="0"/>
              <w:rPr>
                <w:sz w:val="20"/>
                <w:szCs w:val="20"/>
                <w:color w:val="auto"/>
              </w:rPr>
            </w:pPr>
            <w:r>
              <w:rPr>
                <w:rFonts w:ascii="Arial" w:cs="Arial" w:eastAsia="Arial" w:hAnsi="Arial"/>
                <w:sz w:val="18"/>
                <w:szCs w:val="18"/>
                <w:color w:val="auto"/>
              </w:rPr>
              <w:t>Luis A. Müller</w:t>
            </w:r>
          </w:p>
        </w:tc>
        <w:tc>
          <w:tcPr>
            <w:tcW w:w="164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240,841</w:t>
            </w:r>
          </w:p>
        </w:tc>
        <w:tc>
          <w:tcPr>
            <w:tcW w:w="166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76,026</w:t>
            </w:r>
          </w:p>
        </w:tc>
        <w:tc>
          <w:tcPr>
            <w:tcW w:w="164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316,867</w:t>
            </w:r>
          </w:p>
        </w:tc>
        <w:tc>
          <w:tcPr>
            <w:tcW w:w="1560" w:type="dxa"/>
            <w:vAlign w:val="bottom"/>
            <w:tcBorders>
              <w:bottom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40" w:type="dxa"/>
            <w:vAlign w:val="bottom"/>
            <w:tcBorders>
              <w:bottom w:val="single" w:sz="8" w:color="2D53A6"/>
              <w:right w:val="single" w:sz="8" w:color="2D53A6"/>
            </w:tcBorders>
          </w:tcPr>
          <w:p>
            <w:pPr>
              <w:spacing w:after="0" w:line="210" w:lineRule="exact"/>
              <w:rPr>
                <w:sz w:val="20"/>
                <w:szCs w:val="20"/>
                <w:color w:val="auto"/>
              </w:rPr>
            </w:pPr>
            <w:r>
              <w:rPr>
                <w:rFonts w:ascii="Arial" w:cs="Arial" w:eastAsia="Arial" w:hAnsi="Arial"/>
                <w:sz w:val="15"/>
                <w:szCs w:val="15"/>
                <w:color w:val="auto"/>
              </w:rPr>
              <w:t xml:space="preserve">Nina L. Richardson </w:t>
            </w:r>
            <w:r>
              <w:rPr>
                <w:rFonts w:ascii="Arial" w:cs="Arial" w:eastAsia="Arial" w:hAnsi="Arial"/>
                <w:sz w:val="24"/>
                <w:szCs w:val="24"/>
                <w:color w:val="auto"/>
                <w:vertAlign w:val="superscript"/>
              </w:rPr>
              <w:t>(8)</w:t>
            </w:r>
          </w:p>
        </w:tc>
        <w:tc>
          <w:tcPr>
            <w:tcW w:w="164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13,915</w:t>
            </w:r>
          </w:p>
        </w:tc>
        <w:tc>
          <w:tcPr>
            <w:tcW w:w="166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13,915</w:t>
            </w:r>
          </w:p>
        </w:tc>
        <w:tc>
          <w:tcPr>
            <w:tcW w:w="1560" w:type="dxa"/>
            <w:vAlign w:val="bottom"/>
            <w:tcBorders>
              <w:bottom w:val="single" w:sz="8" w:color="2D53A6"/>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40" w:type="dxa"/>
            <w:vAlign w:val="bottom"/>
            <w:tcBorders>
              <w:bottom w:val="single" w:sz="8" w:color="2D53A6"/>
              <w:right w:val="single" w:sz="8" w:color="2D53A6"/>
            </w:tcBorders>
            <w:shd w:val="clear" w:color="auto" w:fill="E6E6E6"/>
          </w:tcPr>
          <w:p>
            <w:pPr>
              <w:spacing w:after="0"/>
              <w:rPr>
                <w:sz w:val="20"/>
                <w:szCs w:val="20"/>
                <w:color w:val="auto"/>
              </w:rPr>
            </w:pPr>
            <w:r>
              <w:rPr>
                <w:rFonts w:ascii="Arial" w:cs="Arial" w:eastAsia="Arial" w:hAnsi="Arial"/>
                <w:sz w:val="18"/>
                <w:szCs w:val="18"/>
                <w:color w:val="auto"/>
              </w:rPr>
              <w:t>All directors and executive officers as a group (12 persons)</w:t>
            </w:r>
          </w:p>
        </w:tc>
        <w:tc>
          <w:tcPr>
            <w:tcW w:w="164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984,209</w:t>
            </w:r>
          </w:p>
        </w:tc>
        <w:tc>
          <w:tcPr>
            <w:tcW w:w="166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152,576</w:t>
            </w:r>
          </w:p>
        </w:tc>
        <w:tc>
          <w:tcPr>
            <w:tcW w:w="164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1,136,785</w:t>
            </w:r>
          </w:p>
        </w:tc>
        <w:tc>
          <w:tcPr>
            <w:tcW w:w="1560" w:type="dxa"/>
            <w:vAlign w:val="bottom"/>
            <w:tcBorders>
              <w:bottom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2.33%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Less than 1%</w:t>
      </w:r>
    </w:p>
    <w:p>
      <w:pPr>
        <w:spacing w:after="0" w:line="23" w:lineRule="exact"/>
        <w:rPr>
          <w:sz w:val="20"/>
          <w:szCs w:val="20"/>
          <w:color w:val="auto"/>
        </w:rPr>
      </w:pPr>
    </w:p>
    <w:p>
      <w:pPr>
        <w:ind w:left="340" w:right="60" w:hanging="332"/>
        <w:spacing w:after="0" w:line="250"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Shares issuable upon exercise of stock options and restricted stock units and performance stock units held by directors and executive officers that were exercisable or will otherwise vest on or within 60 days of March 1, 2022.</w:t>
      </w:r>
    </w:p>
    <w:p>
      <w:pPr>
        <w:ind w:left="340" w:hanging="332"/>
        <w:spacing w:after="0" w:line="250"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Computed on the basis of 48,563,962 shares of Cohu common stock outstanding as of March 1, 2022, plus, with respect to each person holding options and restricted stock units and performance stock units that were exercisable or will otherwise vest on or within 60 days of March 1, 2022, the number of shares of Cohu common stock issuable upon exercise or vesting thereof.</w:t>
      </w:r>
    </w:p>
    <w:p>
      <w:pPr>
        <w:spacing w:after="0" w:line="1" w:lineRule="exact"/>
        <w:rPr>
          <w:rFonts w:ascii="Arial" w:cs="Arial" w:eastAsia="Arial" w:hAnsi="Arial"/>
          <w:sz w:val="18"/>
          <w:szCs w:val="18"/>
          <w:color w:val="auto"/>
        </w:rPr>
      </w:pPr>
    </w:p>
    <w:p>
      <w:pPr>
        <w:ind w:left="340" w:right="240" w:hanging="332"/>
        <w:spacing w:after="0" w:line="250"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According to Schedule 13G/A filed with the SEC on January 27, 2022, BlackRock, Inc. reported that its affiliated companies collectively had sole voting and dispositive power with respect to 7,282,590 and 7,340,752 shares, respectively, and no shared voting or dispositive power with respect to these shares.</w:t>
      </w:r>
    </w:p>
    <w:p>
      <w:pPr>
        <w:spacing w:after="0" w:line="1" w:lineRule="exact"/>
        <w:rPr>
          <w:rFonts w:ascii="Arial" w:cs="Arial" w:eastAsia="Arial" w:hAnsi="Arial"/>
          <w:sz w:val="18"/>
          <w:szCs w:val="18"/>
          <w:color w:val="auto"/>
        </w:rPr>
      </w:pPr>
    </w:p>
    <w:p>
      <w:pPr>
        <w:ind w:left="340" w:right="80" w:hanging="332"/>
        <w:spacing w:after="0" w:line="281" w:lineRule="auto"/>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According to Schedule 13G/A filed with the SEC on February 8, 2020, Dimensional Fund Advisors LP reported that it had sole voting and dispositive power with respect to 2,196,203 and 2,250,012 shares, respectively, and no shared voting or dispositive power with respect to these shares.</w:t>
      </w:r>
    </w:p>
    <w:p>
      <w:pPr>
        <w:spacing w:after="0" w:line="1" w:lineRule="exact"/>
        <w:rPr>
          <w:rFonts w:ascii="Arial" w:cs="Arial" w:eastAsia="Arial" w:hAnsi="Arial"/>
          <w:sz w:val="16"/>
          <w:szCs w:val="16"/>
          <w:color w:val="auto"/>
        </w:rPr>
      </w:pPr>
    </w:p>
    <w:p>
      <w:pPr>
        <w:ind w:left="340" w:right="40" w:hanging="332"/>
        <w:spacing w:after="0" w:line="250"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According to Schedule 13G/A filed with the Securities SEC on February 9, 2022, The Vanguard Group reported that it had sole dispositive power with respect to 3,536,901 shares, and no sole voting power, and shared voting and dispositive power with respect to 88,558 and 125,318 shares, respectively.</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Beneficially owned common stock includes 39,371 deferred stock unit awards issued pursuant to the 2005 Plan.</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Beneficially owned common stock includes 25,875 deferred stock unit awards issued pursuant to the 2005 Plan.</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Beneficially owned common stock includes 11,992 deferred stock unit awards issued pursuant to the 2005 Plan.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8" w:name="page19"/>
    <w:bookmarkEnd w:id="18"/>
    <w:p>
      <w:pPr>
        <w:spacing w:after="0"/>
        <w:rPr>
          <w:sz w:val="20"/>
          <w:szCs w:val="20"/>
          <w:color w:val="auto"/>
        </w:rPr>
      </w:pPr>
      <w:r>
        <w:rPr>
          <w:rFonts w:ascii="Arial" w:cs="Arial" w:eastAsia="Arial" w:hAnsi="Arial"/>
          <w:sz w:val="22"/>
          <w:szCs w:val="22"/>
          <w:b w:val="1"/>
          <w:bCs w:val="1"/>
          <w:color w:val="2D53A6"/>
        </w:rPr>
        <w:t>Delinquent Section 16(a) Reports</w:t>
      </w:r>
    </w:p>
    <w:p>
      <w:pPr>
        <w:spacing w:after="0" w:line="219"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color w:val="auto"/>
        </w:rPr>
        <w:t>Section 16(a) of the Exchange Act requires that Cohu’s executive officers, directors and persons who own more than 10% of a registered class of Cohu’s equity securities, file an initial report of ownership on Form 3 and changes in ownership on Form 4 or 5 with the SEC. Such officers, directors and 10% stockholders are also required by SEC rules to furnish Cohu with copies of all Section 16(a) forms they file.</w:t>
      </w:r>
    </w:p>
    <w:p>
      <w:pPr>
        <w:spacing w:after="0" w:line="16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Based solely upon its review of the copies of such forms received by it, or written representations from certain reporting persons that no Forms 5 were required for such persons, Cohu believes that during the fiscal year ended December 25, 2021, its executive officers, directors and 10% stockholders timely complied with all Section 16(a) filing requirements, except: i) on August 26, 2021, a Form 4 was filed for Christopher G. Bohrson that was not filed in a timely manner as it was one day past the filing deadline, due to a reporting error by an outside service provider.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5143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514350"/>
                    </a:xfrm>
                    <a:prstGeom prst="rect">
                      <a:avLst/>
                    </a:prstGeom>
                    <a:noFill/>
                  </pic:spPr>
                </pic:pic>
              </a:graphicData>
            </a:graphic>
          </wp:anchor>
        </w:drawing>
      </w:r>
    </w:p>
    <w:p>
      <w:pPr>
        <w:spacing w:after="0" w:line="340" w:lineRule="exact"/>
        <w:rPr>
          <w:sz w:val="20"/>
          <w:szCs w:val="20"/>
          <w:color w:val="auto"/>
        </w:rPr>
      </w:pPr>
    </w:p>
    <w:p>
      <w:pPr>
        <w:ind w:left="340"/>
        <w:spacing w:after="0"/>
        <w:rPr>
          <w:sz w:val="20"/>
          <w:szCs w:val="20"/>
          <w:color w:val="auto"/>
        </w:rPr>
      </w:pPr>
      <w:r>
        <w:rPr>
          <w:rFonts w:ascii="Arial" w:cs="Arial" w:eastAsia="Arial" w:hAnsi="Arial"/>
          <w:sz w:val="32"/>
          <w:szCs w:val="32"/>
          <w:b w:val="1"/>
          <w:bCs w:val="1"/>
          <w:color w:val="FFFFFF"/>
        </w:rPr>
        <w:t>Governance Matters</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2D53A6"/>
        </w:rPr>
        <w:t>Corporate Governance</w:t>
      </w:r>
    </w:p>
    <w:p>
      <w:pPr>
        <w:spacing w:after="0" w:line="219"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 xml:space="preserve">Cohu has adopted Corporate Governance Guidelines (the “Guidelines”) that outline, among other matters, the role and functions of the Board, the responsibilities of various Board committees, selection of new directors and director independence. The Guidelines are available, along with other important corporate governance materials, on our website at </w:t>
      </w:r>
      <w:r>
        <w:rPr>
          <w:rFonts w:ascii="Arial" w:cs="Arial" w:eastAsia="Arial" w:hAnsi="Arial"/>
          <w:sz w:val="17"/>
          <w:szCs w:val="17"/>
          <w:u w:val="single" w:color="auto"/>
          <w:color w:val="auto"/>
        </w:rPr>
        <w:t>https://cohu.gcs-web.com/corporate-governance/documents-charters</w:t>
      </w:r>
      <w:r>
        <w:rPr>
          <w:rFonts w:ascii="Arial" w:cs="Arial" w:eastAsia="Arial" w:hAnsi="Arial"/>
          <w:sz w:val="17"/>
          <w:szCs w:val="17"/>
          <w:color w:val="auto"/>
        </w:rPr>
        <w:t>. As the operation of the Board is a dynamic process, the Board regularly reviews new or changing legal and regulatory requirements, evolving best practices and other developments, and the Board may modify the Guidelines, as appropriate, from time to time.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2D53A6"/>
        </w:rPr>
        <w:t>Code of Business Conduct and Ethics</w:t>
      </w:r>
    </w:p>
    <w:p>
      <w:pPr>
        <w:spacing w:after="0" w:line="22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Cohu has adopted a Code of Business Conduct and Ethics (the “Code of Conduct”). The Code of Conduct applies to all of Cohu’s directors and employees including its principal executive officer, principal financial officer and principal accounting officer. The Code of Conduct, among other things, is designed to promote: honest and ethical conduct, including the ethical handling of actual or apparent conflicts of interest between personal and professional relationships; full, fair, accurate, timely and understandable disclosure in reports and documents that Cohu files with, or submits to, the SEC and in other public communications made by Cohu; compliance with applicable governmental laws, rules and regulations; the prompt internal reporting of violations of the Code of Conduct to an appropriate person or persons identified in the Code of Conduct; and accountability for adherence to the Code of Conduct.</w:t>
      </w:r>
    </w:p>
    <w:p>
      <w:pPr>
        <w:spacing w:after="0" w:line="164"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 xml:space="preserve">The Code of Conduct is available at </w:t>
      </w:r>
      <w:r>
        <w:rPr>
          <w:rFonts w:ascii="Arial" w:cs="Arial" w:eastAsia="Arial" w:hAnsi="Arial"/>
          <w:sz w:val="18"/>
          <w:szCs w:val="18"/>
          <w:u w:val="single" w:color="auto"/>
          <w:color w:val="auto"/>
        </w:rPr>
        <w:t>https://cohu.gcs-web.com/corporate-governance/documents-charters</w:t>
      </w:r>
      <w:r>
        <w:rPr>
          <w:rFonts w:ascii="Arial" w:cs="Arial" w:eastAsia="Arial" w:hAnsi="Arial"/>
          <w:sz w:val="18"/>
          <w:szCs w:val="18"/>
          <w:color w:val="auto"/>
        </w:rPr>
        <w:t>. We intend to make all required disclosures concerning any amendments to, or waivers from, our Code of Conduct on our website within four business days.</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2D53A6"/>
        </w:rPr>
        <w:t>Board of Directors and Committees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2D53A6"/>
        </w:rPr>
        <w:t>Director Independence</w:t>
      </w:r>
    </w:p>
    <w:p>
      <w:pPr>
        <w:spacing w:after="0" w:line="225"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Cohu has adopted standards for director independence pursuant to Nasdaq listing standards and SEC rules, and previously adopted more restrictive guidelines (than set forth by Nasdaq) on the independence of former employee directors and the amounts of compensation for professional services that can be accepted. An “independent director” means a person other than an officer or employee of Cohu or its subsidiaries, or any other individual having a relationship that, in the opinion of the Board, would interfere with the exercise of independent judgment in carrying out the responsibilities of a director.</w:t>
      </w:r>
    </w:p>
    <w:p>
      <w:pPr>
        <w:spacing w:after="0" w:line="15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Board has considered relationships, transactions and/or arrangements with each of the directors, and has determined that six (6) of its directors (or 75% of the Board), namely, Mses. Camp, Jorden and Richardson and Messrs. Bendush, Bilodeau and Caggia, are independent directors in accordance with Nasdaq listing standards and SEC rules. In addition, the Board has also considered and determined that:</w:t>
      </w:r>
    </w:p>
    <w:p>
      <w:pPr>
        <w:spacing w:after="0" w:line="3" w:lineRule="exact"/>
        <w:rPr>
          <w:sz w:val="20"/>
          <w:szCs w:val="20"/>
          <w:color w:val="auto"/>
        </w:rPr>
      </w:pPr>
    </w:p>
    <w:p>
      <w:pPr>
        <w:ind w:left="980" w:right="160" w:hanging="324"/>
        <w:spacing w:after="0" w:line="250"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directors who serve on the Audit, Compensation and Nominating and Governance committees are independent under applicable Nasdaq listing standards and SEC rules.</w:t>
      </w:r>
    </w:p>
    <w:p>
      <w:pPr>
        <w:ind w:left="980" w:right="580" w:hanging="324"/>
        <w:spacing w:after="0" w:line="250"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members of the Audit and Compensation Committee meet the additional independence requirements as required by Nasdaq listing standards and SEC rules.</w:t>
      </w:r>
    </w:p>
    <w:p>
      <w:pPr>
        <w:ind w:left="980" w:right="560" w:hanging="324"/>
        <w:spacing w:after="0" w:line="260"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members of the Audit Committee, currently Ms. Jorden and Messrs. Bendush and Caggia, qualify as an “audit committee financial expert” under SEC guidelines.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1" w:right="35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2D53A6"/>
        </w:rPr>
        <w:t>Board Structure and Committee Composition</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As of the date of this proxy statement, our Board has eight (8) directors. However, with Ms. Camp’s term expiring and her not standing for re-election, the Board intends to reduce its size to seven (7) directors as of the meeting date. Our Board has three standing committees: (1) Audit, (2) Compensation and (3) Nominating and Governance. The membership and function of each of the committees are described below, and we believe that the composition of these committees meets the criteria for independence, and the functioning of these committees complies with the applicable requirements of the Sarbanes-Oxley Act of 2002, as amended, the current rules of the Nasdaq Global Select Market and applicable SEC rules and regulations. Each committee operates under a written charter adopted by the Board, and each of the charters are available on Cohu’s website at </w:t>
      </w:r>
      <w:r>
        <w:rPr>
          <w:rFonts w:ascii="Arial" w:cs="Arial" w:eastAsia="Arial" w:hAnsi="Arial"/>
          <w:sz w:val="18"/>
          <w:szCs w:val="18"/>
          <w:u w:val="single" w:color="auto"/>
          <w:color w:val="auto"/>
        </w:rPr>
        <w:t>https://cohu.gcs-web.com/corporate-governance/documents-charters</w:t>
      </w:r>
      <w:r>
        <w:rPr>
          <w:rFonts w:ascii="Arial" w:cs="Arial" w:eastAsia="Arial" w:hAnsi="Arial"/>
          <w:sz w:val="18"/>
          <w:szCs w:val="18"/>
          <w:color w:val="auto"/>
        </w:rPr>
        <w:t>.</w:t>
      </w:r>
    </w:p>
    <w:p>
      <w:pPr>
        <w:spacing w:after="0" w:line="19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During 2021, the Board held thirteen (13) meetings. Each director attended at least 75% of all Board and applicable committee meetings on which they served and held during the period for which they were directors or committee members. Although we do not have a formal policy regarding attendance by members of our Board at annual meetings of stockholders, we encourage all of our directors to attend annual meetings of Cohu stockholders and all of our continuing directors at that time virtually attended the 2021 Annual Meeting.</w:t>
      </w:r>
    </w:p>
    <w:p>
      <w:pPr>
        <w:spacing w:after="0" w:line="18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Cohu’s Corporate Governance Guidelines set forth the circumstances in which the Nominating and Governance Committee shall nominate an independent director to serve as the Lead Independent Director, the selection of whom shall be subject to approval by a vote of the majority of the independent directors.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breaks down committee membership, as of the date of this proxy statement, for each committee and each director.</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00" w:type="dxa"/>
            <w:vAlign w:val="bottom"/>
            <w:tcBorders>
              <w:right w:val="single" w:sz="8" w:color="2D53A6"/>
            </w:tcBorders>
            <w:vMerge w:val="restart"/>
            <w:shd w:val="clear" w:color="auto" w:fill="2D53A6"/>
          </w:tcPr>
          <w:p>
            <w:pPr>
              <w:spacing w:after="0"/>
              <w:rPr>
                <w:sz w:val="20"/>
                <w:szCs w:val="20"/>
                <w:color w:val="auto"/>
              </w:rPr>
            </w:pPr>
            <w:r>
              <w:rPr>
                <w:rFonts w:ascii="Arial" w:cs="Arial" w:eastAsia="Arial" w:hAnsi="Arial"/>
                <w:sz w:val="18"/>
                <w:szCs w:val="18"/>
                <w:b w:val="1"/>
                <w:bCs w:val="1"/>
                <w:color w:val="FFFFFF"/>
              </w:rPr>
              <w:t>Name of Director</w:t>
            </w:r>
          </w:p>
        </w:tc>
        <w:tc>
          <w:tcPr>
            <w:tcW w:w="228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95"/>
              </w:rPr>
              <w:t>Audit</w:t>
            </w:r>
          </w:p>
        </w:tc>
        <w:tc>
          <w:tcPr>
            <w:tcW w:w="228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87"/>
              </w:rPr>
              <w:t>Compensation</w:t>
            </w:r>
          </w:p>
        </w:tc>
        <w:tc>
          <w:tcPr>
            <w:tcW w:w="2180" w:type="dxa"/>
            <w:vAlign w:val="bottom"/>
            <w:shd w:val="clear" w:color="auto" w:fill="2D53A6"/>
          </w:tcPr>
          <w:p>
            <w:pPr>
              <w:jc w:val="center"/>
              <w:spacing w:after="0"/>
              <w:rPr>
                <w:sz w:val="20"/>
                <w:szCs w:val="20"/>
                <w:color w:val="auto"/>
              </w:rPr>
            </w:pPr>
            <w:r>
              <w:rPr>
                <w:rFonts w:ascii="Arial" w:cs="Arial" w:eastAsia="Arial" w:hAnsi="Arial"/>
                <w:sz w:val="18"/>
                <w:szCs w:val="18"/>
                <w:b w:val="1"/>
                <w:bCs w:val="1"/>
                <w:color w:val="FFFFFF"/>
                <w:w w:val="91"/>
              </w:rPr>
              <w:t>Nominating and</w:t>
            </w:r>
          </w:p>
        </w:tc>
        <w:tc>
          <w:tcPr>
            <w:tcW w:w="0" w:type="dxa"/>
            <w:vAlign w:val="bottom"/>
          </w:tcPr>
          <w:p>
            <w:pPr>
              <w:spacing w:after="0"/>
              <w:rPr>
                <w:sz w:val="1"/>
                <w:szCs w:val="1"/>
                <w:color w:val="auto"/>
              </w:rPr>
            </w:pPr>
          </w:p>
        </w:tc>
      </w:tr>
      <w:tr>
        <w:trPr>
          <w:trHeight w:val="126"/>
        </w:trPr>
        <w:tc>
          <w:tcPr>
            <w:tcW w:w="4500" w:type="dxa"/>
            <w:vAlign w:val="bottom"/>
            <w:tcBorders>
              <w:right w:val="single" w:sz="8" w:color="2D53A6"/>
            </w:tcBorders>
            <w:vMerge w:val="continue"/>
            <w:shd w:val="clear" w:color="auto" w:fill="2D53A6"/>
          </w:tcPr>
          <w:p>
            <w:pPr>
              <w:spacing w:after="0"/>
              <w:rPr>
                <w:sz w:val="10"/>
                <w:szCs w:val="10"/>
                <w:color w:val="auto"/>
              </w:rPr>
            </w:pPr>
          </w:p>
        </w:tc>
        <w:tc>
          <w:tcPr>
            <w:tcW w:w="2280" w:type="dxa"/>
            <w:vAlign w:val="bottom"/>
            <w:tcBorders>
              <w:right w:val="single" w:sz="8" w:color="2D53A6"/>
            </w:tcBorders>
            <w:vMerge w:val="continue"/>
            <w:shd w:val="clear" w:color="auto" w:fill="2D53A6"/>
          </w:tcPr>
          <w:p>
            <w:pPr>
              <w:spacing w:after="0"/>
              <w:rPr>
                <w:sz w:val="10"/>
                <w:szCs w:val="10"/>
                <w:color w:val="auto"/>
              </w:rPr>
            </w:pPr>
          </w:p>
        </w:tc>
        <w:tc>
          <w:tcPr>
            <w:tcW w:w="2280" w:type="dxa"/>
            <w:vAlign w:val="bottom"/>
            <w:tcBorders>
              <w:right w:val="single" w:sz="8" w:color="2D53A6"/>
            </w:tcBorders>
            <w:vMerge w:val="continue"/>
            <w:shd w:val="clear" w:color="auto" w:fill="2D53A6"/>
          </w:tcPr>
          <w:p>
            <w:pPr>
              <w:spacing w:after="0"/>
              <w:rPr>
                <w:sz w:val="10"/>
                <w:szCs w:val="10"/>
                <w:color w:val="auto"/>
              </w:rPr>
            </w:pPr>
          </w:p>
        </w:tc>
        <w:tc>
          <w:tcPr>
            <w:tcW w:w="2180" w:type="dxa"/>
            <w:vAlign w:val="bottom"/>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90"/>
              </w:rPr>
              <w:t>Governance</w:t>
            </w:r>
          </w:p>
        </w:tc>
        <w:tc>
          <w:tcPr>
            <w:tcW w:w="0" w:type="dxa"/>
            <w:vAlign w:val="bottom"/>
          </w:tcPr>
          <w:p>
            <w:pPr>
              <w:spacing w:after="0"/>
              <w:rPr>
                <w:sz w:val="1"/>
                <w:szCs w:val="1"/>
                <w:color w:val="auto"/>
              </w:rPr>
            </w:pPr>
          </w:p>
        </w:tc>
      </w:tr>
      <w:tr>
        <w:trPr>
          <w:trHeight w:val="122"/>
        </w:trPr>
        <w:tc>
          <w:tcPr>
            <w:tcW w:w="4500" w:type="dxa"/>
            <w:vAlign w:val="bottom"/>
            <w:tcBorders>
              <w:right w:val="single" w:sz="8" w:color="2D53A6"/>
            </w:tcBorders>
            <w:shd w:val="clear" w:color="auto" w:fill="2D53A6"/>
          </w:tcPr>
          <w:p>
            <w:pPr>
              <w:spacing w:after="0"/>
              <w:rPr>
                <w:sz w:val="10"/>
                <w:szCs w:val="10"/>
                <w:color w:val="auto"/>
              </w:rPr>
            </w:pPr>
          </w:p>
        </w:tc>
        <w:tc>
          <w:tcPr>
            <w:tcW w:w="2280" w:type="dxa"/>
            <w:vAlign w:val="bottom"/>
            <w:tcBorders>
              <w:right w:val="single" w:sz="8" w:color="2D53A6"/>
            </w:tcBorders>
            <w:shd w:val="clear" w:color="auto" w:fill="2D53A6"/>
          </w:tcPr>
          <w:p>
            <w:pPr>
              <w:spacing w:after="0"/>
              <w:rPr>
                <w:sz w:val="10"/>
                <w:szCs w:val="10"/>
                <w:color w:val="auto"/>
              </w:rPr>
            </w:pPr>
          </w:p>
        </w:tc>
        <w:tc>
          <w:tcPr>
            <w:tcW w:w="2280" w:type="dxa"/>
            <w:vAlign w:val="bottom"/>
            <w:tcBorders>
              <w:right w:val="single" w:sz="8" w:color="2D53A6"/>
            </w:tcBorders>
            <w:shd w:val="clear" w:color="auto" w:fill="2D53A6"/>
          </w:tcPr>
          <w:p>
            <w:pPr>
              <w:spacing w:after="0"/>
              <w:rPr>
                <w:sz w:val="10"/>
                <w:szCs w:val="10"/>
                <w:color w:val="auto"/>
              </w:rPr>
            </w:pPr>
          </w:p>
        </w:tc>
        <w:tc>
          <w:tcPr>
            <w:tcW w:w="2180" w:type="dxa"/>
            <w:vAlign w:val="bottom"/>
            <w:vMerge w:val="continue"/>
            <w:shd w:val="clear" w:color="auto" w:fill="2D53A6"/>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4500" w:type="dxa"/>
            <w:vAlign w:val="bottom"/>
            <w:tcBorders>
              <w:bottom w:val="single" w:sz="8" w:color="2D53A6"/>
              <w:right w:val="single" w:sz="8" w:color="2D53A6"/>
            </w:tcBorders>
          </w:tcPr>
          <w:p>
            <w:pPr>
              <w:spacing w:after="0"/>
              <w:rPr>
                <w:sz w:val="20"/>
                <w:szCs w:val="20"/>
                <w:color w:val="auto"/>
              </w:rPr>
            </w:pPr>
            <w:r>
              <w:rPr>
                <w:rFonts w:ascii="Arial" w:cs="Arial" w:eastAsia="Arial" w:hAnsi="Arial"/>
                <w:sz w:val="18"/>
                <w:szCs w:val="18"/>
                <w:b w:val="1"/>
                <w:bCs w:val="1"/>
                <w:i w:val="1"/>
                <w:iCs w:val="1"/>
                <w:color w:val="auto"/>
              </w:rPr>
              <w:t>Independent Directors:</w:t>
            </w:r>
          </w:p>
        </w:tc>
        <w:tc>
          <w:tcPr>
            <w:tcW w:w="2280" w:type="dxa"/>
            <w:vAlign w:val="bottom"/>
            <w:tcBorders>
              <w:bottom w:val="single" w:sz="8" w:color="2D53A6"/>
              <w:right w:val="single" w:sz="8" w:color="2D53A6"/>
            </w:tcBorders>
          </w:tcPr>
          <w:p>
            <w:pPr>
              <w:spacing w:after="0"/>
              <w:rPr>
                <w:sz w:val="18"/>
                <w:szCs w:val="18"/>
                <w:color w:val="auto"/>
              </w:rPr>
            </w:pPr>
          </w:p>
        </w:tc>
        <w:tc>
          <w:tcPr>
            <w:tcW w:w="2280" w:type="dxa"/>
            <w:vAlign w:val="bottom"/>
            <w:tcBorders>
              <w:bottom w:val="single" w:sz="8" w:color="2D53A6"/>
              <w:right w:val="single" w:sz="8" w:color="2D53A6"/>
            </w:tcBorders>
          </w:tcPr>
          <w:p>
            <w:pPr>
              <w:spacing w:after="0"/>
              <w:rPr>
                <w:sz w:val="18"/>
                <w:szCs w:val="18"/>
                <w:color w:val="auto"/>
              </w:rPr>
            </w:pPr>
          </w:p>
        </w:tc>
        <w:tc>
          <w:tcPr>
            <w:tcW w:w="2180" w:type="dxa"/>
            <w:vAlign w:val="bottom"/>
            <w:tcBorders>
              <w:bottom w:val="single" w:sz="8" w:color="2D53A6"/>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00" w:type="dxa"/>
            <w:vAlign w:val="bottom"/>
            <w:tcBorders>
              <w:bottom w:val="single" w:sz="8" w:color="2D53A6"/>
              <w:right w:val="single" w:sz="8" w:color="2D53A6"/>
            </w:tcBorders>
            <w:shd w:val="clear" w:color="auto" w:fill="E6E6E6"/>
          </w:tcPr>
          <w:p>
            <w:pPr>
              <w:spacing w:after="0"/>
              <w:rPr>
                <w:sz w:val="20"/>
                <w:szCs w:val="20"/>
                <w:color w:val="auto"/>
              </w:rPr>
            </w:pPr>
            <w:r>
              <w:rPr>
                <w:rFonts w:ascii="Arial" w:cs="Arial" w:eastAsia="Arial" w:hAnsi="Arial"/>
                <w:sz w:val="18"/>
                <w:szCs w:val="18"/>
                <w:color w:val="auto"/>
              </w:rPr>
              <w:t>William E. Bendush</w:t>
            </w:r>
          </w:p>
        </w:tc>
        <w:tc>
          <w:tcPr>
            <w:tcW w:w="228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2"/>
              </w:rPr>
              <w:t>Chair</w:t>
            </w:r>
          </w:p>
        </w:tc>
        <w:tc>
          <w:tcPr>
            <w:tcW w:w="2280" w:type="dxa"/>
            <w:vAlign w:val="bottom"/>
            <w:tcBorders>
              <w:bottom w:val="single" w:sz="8" w:color="2D53A6"/>
              <w:right w:val="single" w:sz="8" w:color="2D53A6"/>
            </w:tcBorders>
            <w:shd w:val="clear" w:color="auto" w:fill="E6E6E6"/>
          </w:tcPr>
          <w:p>
            <w:pPr>
              <w:spacing w:after="0"/>
              <w:rPr>
                <w:sz w:val="18"/>
                <w:szCs w:val="18"/>
                <w:color w:val="auto"/>
              </w:rPr>
            </w:pPr>
          </w:p>
        </w:tc>
        <w:tc>
          <w:tcPr>
            <w:tcW w:w="2180" w:type="dxa"/>
            <w:vAlign w:val="bottom"/>
            <w:tcBorders>
              <w:bottom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500" w:type="dxa"/>
            <w:vAlign w:val="bottom"/>
            <w:tcBorders>
              <w:bottom w:val="single" w:sz="8" w:color="2D53A6"/>
              <w:right w:val="single" w:sz="8" w:color="2D53A6"/>
            </w:tcBorders>
          </w:tcPr>
          <w:p>
            <w:pPr>
              <w:spacing w:after="0" w:line="210" w:lineRule="exact"/>
              <w:rPr>
                <w:sz w:val="20"/>
                <w:szCs w:val="20"/>
                <w:color w:val="auto"/>
              </w:rPr>
            </w:pPr>
            <w:r>
              <w:rPr>
                <w:rFonts w:ascii="Arial" w:cs="Arial" w:eastAsia="Arial" w:hAnsi="Arial"/>
                <w:sz w:val="15"/>
                <w:szCs w:val="15"/>
                <w:color w:val="auto"/>
              </w:rPr>
              <w:t xml:space="preserve">Steven J. Bilodeau </w:t>
            </w:r>
            <w:r>
              <w:rPr>
                <w:rFonts w:ascii="Arial" w:cs="Arial" w:eastAsia="Arial" w:hAnsi="Arial"/>
                <w:sz w:val="24"/>
                <w:szCs w:val="24"/>
                <w:color w:val="auto"/>
                <w:vertAlign w:val="superscript"/>
              </w:rPr>
              <w:t>(1)</w:t>
            </w:r>
          </w:p>
        </w:tc>
        <w:tc>
          <w:tcPr>
            <w:tcW w:w="2280" w:type="dxa"/>
            <w:vAlign w:val="bottom"/>
            <w:tcBorders>
              <w:bottom w:val="single" w:sz="8" w:color="2D53A6"/>
              <w:right w:val="single" w:sz="8" w:color="2D53A6"/>
            </w:tcBorders>
          </w:tcPr>
          <w:p>
            <w:pPr>
              <w:spacing w:after="0"/>
              <w:rPr>
                <w:sz w:val="18"/>
                <w:szCs w:val="18"/>
                <w:color w:val="auto"/>
              </w:rPr>
            </w:pPr>
          </w:p>
        </w:tc>
        <w:tc>
          <w:tcPr>
            <w:tcW w:w="228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2"/>
              </w:rPr>
              <w:t>Chair</w:t>
            </w:r>
          </w:p>
        </w:tc>
        <w:tc>
          <w:tcPr>
            <w:tcW w:w="2180" w:type="dxa"/>
            <w:vAlign w:val="bottom"/>
            <w:tcBorders>
              <w:bottom w:val="single" w:sz="8" w:color="2D53A6"/>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500" w:type="dxa"/>
            <w:vAlign w:val="bottom"/>
            <w:tcBorders>
              <w:bottom w:val="single" w:sz="8" w:color="2D53A6"/>
              <w:right w:val="single" w:sz="8" w:color="2D53A6"/>
            </w:tcBorders>
            <w:shd w:val="clear" w:color="auto" w:fill="E6E6E6"/>
          </w:tcPr>
          <w:p>
            <w:pPr>
              <w:spacing w:after="0"/>
              <w:rPr>
                <w:sz w:val="20"/>
                <w:szCs w:val="20"/>
                <w:color w:val="auto"/>
              </w:rPr>
            </w:pPr>
            <w:r>
              <w:rPr>
                <w:rFonts w:ascii="Arial" w:cs="Arial" w:eastAsia="Arial" w:hAnsi="Arial"/>
                <w:sz w:val="18"/>
                <w:szCs w:val="18"/>
                <w:color w:val="auto"/>
              </w:rPr>
              <w:t>Andrew M. Caggia</w:t>
            </w:r>
          </w:p>
        </w:tc>
        <w:tc>
          <w:tcPr>
            <w:tcW w:w="228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2280" w:type="dxa"/>
            <w:vAlign w:val="bottom"/>
            <w:tcBorders>
              <w:bottom w:val="single" w:sz="8" w:color="2D53A6"/>
              <w:right w:val="single" w:sz="8" w:color="2D53A6"/>
            </w:tcBorders>
            <w:shd w:val="clear" w:color="auto" w:fill="E6E6E6"/>
          </w:tcPr>
          <w:p>
            <w:pPr>
              <w:spacing w:after="0"/>
              <w:rPr>
                <w:sz w:val="18"/>
                <w:szCs w:val="18"/>
                <w:color w:val="auto"/>
              </w:rPr>
            </w:pPr>
          </w:p>
        </w:tc>
        <w:tc>
          <w:tcPr>
            <w:tcW w:w="2180" w:type="dxa"/>
            <w:vAlign w:val="bottom"/>
            <w:tcBorders>
              <w:bottom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2"/>
              </w:rPr>
              <w:t>Chair</w:t>
            </w:r>
          </w:p>
        </w:tc>
        <w:tc>
          <w:tcPr>
            <w:tcW w:w="0" w:type="dxa"/>
            <w:vAlign w:val="bottom"/>
          </w:tcPr>
          <w:p>
            <w:pPr>
              <w:spacing w:after="0"/>
              <w:rPr>
                <w:sz w:val="1"/>
                <w:szCs w:val="1"/>
                <w:color w:val="auto"/>
              </w:rPr>
            </w:pPr>
          </w:p>
        </w:tc>
      </w:tr>
      <w:tr>
        <w:trPr>
          <w:trHeight w:val="209"/>
        </w:trPr>
        <w:tc>
          <w:tcPr>
            <w:tcW w:w="4500" w:type="dxa"/>
            <w:vAlign w:val="bottom"/>
            <w:tcBorders>
              <w:bottom w:val="single" w:sz="8" w:color="2D53A6"/>
              <w:right w:val="single" w:sz="8" w:color="2D53A6"/>
            </w:tcBorders>
          </w:tcPr>
          <w:p>
            <w:pPr>
              <w:spacing w:after="0" w:line="210" w:lineRule="exact"/>
              <w:rPr>
                <w:sz w:val="20"/>
                <w:szCs w:val="20"/>
                <w:color w:val="auto"/>
              </w:rPr>
            </w:pPr>
            <w:r>
              <w:rPr>
                <w:rFonts w:ascii="Arial" w:cs="Arial" w:eastAsia="Arial" w:hAnsi="Arial"/>
                <w:sz w:val="15"/>
                <w:szCs w:val="15"/>
                <w:color w:val="auto"/>
              </w:rPr>
              <w:t xml:space="preserve">Lynne J. Camp </w:t>
            </w:r>
            <w:r>
              <w:rPr>
                <w:rFonts w:ascii="Arial" w:cs="Arial" w:eastAsia="Arial" w:hAnsi="Arial"/>
                <w:sz w:val="24"/>
                <w:szCs w:val="24"/>
                <w:color w:val="auto"/>
                <w:vertAlign w:val="superscript"/>
              </w:rPr>
              <w:t>(2)</w:t>
            </w:r>
          </w:p>
        </w:tc>
        <w:tc>
          <w:tcPr>
            <w:tcW w:w="2280" w:type="dxa"/>
            <w:vAlign w:val="bottom"/>
            <w:tcBorders>
              <w:bottom w:val="single" w:sz="8" w:color="2D53A6"/>
              <w:right w:val="single" w:sz="8" w:color="2D53A6"/>
            </w:tcBorders>
          </w:tcPr>
          <w:p>
            <w:pPr>
              <w:spacing w:after="0"/>
              <w:rPr>
                <w:sz w:val="18"/>
                <w:szCs w:val="18"/>
                <w:color w:val="auto"/>
              </w:rPr>
            </w:pPr>
          </w:p>
        </w:tc>
        <w:tc>
          <w:tcPr>
            <w:tcW w:w="228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rPr>
              <w:t>√</w:t>
            </w:r>
          </w:p>
        </w:tc>
        <w:tc>
          <w:tcPr>
            <w:tcW w:w="2180" w:type="dxa"/>
            <w:vAlign w:val="bottom"/>
            <w:tcBorders>
              <w:bottom w:val="single" w:sz="8" w:color="2D53A6"/>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00" w:type="dxa"/>
            <w:vAlign w:val="bottom"/>
            <w:tcBorders>
              <w:bottom w:val="single" w:sz="8" w:color="2D53A6"/>
              <w:right w:val="single" w:sz="8" w:color="2D53A6"/>
            </w:tcBorders>
            <w:shd w:val="clear" w:color="auto" w:fill="E6E6E6"/>
          </w:tcPr>
          <w:p>
            <w:pPr>
              <w:spacing w:after="0"/>
              <w:rPr>
                <w:sz w:val="20"/>
                <w:szCs w:val="20"/>
                <w:color w:val="auto"/>
              </w:rPr>
            </w:pPr>
            <w:r>
              <w:rPr>
                <w:rFonts w:ascii="Arial" w:cs="Arial" w:eastAsia="Arial" w:hAnsi="Arial"/>
                <w:sz w:val="18"/>
                <w:szCs w:val="18"/>
                <w:color w:val="auto"/>
              </w:rPr>
              <w:t>Nina L. Richardson</w:t>
            </w:r>
          </w:p>
        </w:tc>
        <w:tc>
          <w:tcPr>
            <w:tcW w:w="2280" w:type="dxa"/>
            <w:vAlign w:val="bottom"/>
            <w:tcBorders>
              <w:bottom w:val="single" w:sz="8" w:color="2D53A6"/>
              <w:right w:val="single" w:sz="8" w:color="2D53A6"/>
            </w:tcBorders>
            <w:shd w:val="clear" w:color="auto" w:fill="E6E6E6"/>
          </w:tcPr>
          <w:p>
            <w:pPr>
              <w:spacing w:after="0"/>
              <w:rPr>
                <w:sz w:val="18"/>
                <w:szCs w:val="18"/>
                <w:color w:val="auto"/>
              </w:rPr>
            </w:pPr>
          </w:p>
        </w:tc>
        <w:tc>
          <w:tcPr>
            <w:tcW w:w="228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rPr>
              <w:t>√</w:t>
            </w:r>
          </w:p>
        </w:tc>
        <w:tc>
          <w:tcPr>
            <w:tcW w:w="2180" w:type="dxa"/>
            <w:vAlign w:val="bottom"/>
            <w:tcBorders>
              <w:bottom w:val="single" w:sz="8" w:color="2D53A6"/>
            </w:tcBorders>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00" w:type="dxa"/>
            <w:vAlign w:val="bottom"/>
            <w:tcBorders>
              <w:bottom w:val="single" w:sz="8" w:color="2D53A6"/>
              <w:right w:val="single" w:sz="8" w:color="2D53A6"/>
            </w:tcBorders>
          </w:tcPr>
          <w:p>
            <w:pPr>
              <w:spacing w:after="0" w:line="210" w:lineRule="exact"/>
              <w:rPr>
                <w:sz w:val="20"/>
                <w:szCs w:val="20"/>
                <w:color w:val="auto"/>
              </w:rPr>
            </w:pPr>
            <w:r>
              <w:rPr>
                <w:rFonts w:ascii="Arial" w:cs="Arial" w:eastAsia="Arial" w:hAnsi="Arial"/>
                <w:sz w:val="15"/>
                <w:szCs w:val="15"/>
                <w:color w:val="auto"/>
              </w:rPr>
              <w:t xml:space="preserve">Yon Y. Jorden </w:t>
            </w:r>
            <w:r>
              <w:rPr>
                <w:rFonts w:ascii="Arial" w:cs="Arial" w:eastAsia="Arial" w:hAnsi="Arial"/>
                <w:sz w:val="24"/>
                <w:szCs w:val="24"/>
                <w:color w:val="auto"/>
                <w:vertAlign w:val="superscript"/>
              </w:rPr>
              <w:t>(3)</w:t>
            </w:r>
          </w:p>
        </w:tc>
        <w:tc>
          <w:tcPr>
            <w:tcW w:w="228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rPr>
              <w:t>√</w:t>
            </w:r>
          </w:p>
        </w:tc>
        <w:tc>
          <w:tcPr>
            <w:tcW w:w="2280" w:type="dxa"/>
            <w:vAlign w:val="bottom"/>
            <w:tcBorders>
              <w:bottom w:val="single" w:sz="8" w:color="2D53A6"/>
              <w:right w:val="single" w:sz="8" w:color="2D53A6"/>
            </w:tcBorders>
          </w:tcPr>
          <w:p>
            <w:pPr>
              <w:spacing w:after="0"/>
              <w:rPr>
                <w:sz w:val="18"/>
                <w:szCs w:val="18"/>
                <w:color w:val="auto"/>
              </w:rPr>
            </w:pPr>
          </w:p>
        </w:tc>
        <w:tc>
          <w:tcPr>
            <w:tcW w:w="2180" w:type="dxa"/>
            <w:vAlign w:val="bottom"/>
            <w:tcBorders>
              <w:bottom w:val="single" w:sz="8" w:color="2D53A6"/>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00" w:type="dxa"/>
            <w:vAlign w:val="bottom"/>
            <w:tcBorders>
              <w:bottom w:val="single" w:sz="8" w:color="2D53A6"/>
              <w:right w:val="single" w:sz="8" w:color="2D53A6"/>
            </w:tcBorders>
            <w:shd w:val="clear" w:color="auto" w:fill="E6E6E6"/>
          </w:tcPr>
          <w:p>
            <w:pPr>
              <w:ind w:left="340"/>
              <w:spacing w:after="0"/>
              <w:rPr>
                <w:sz w:val="20"/>
                <w:szCs w:val="20"/>
                <w:color w:val="auto"/>
              </w:rPr>
            </w:pPr>
            <w:r>
              <w:rPr>
                <w:rFonts w:ascii="Arial" w:cs="Arial" w:eastAsia="Arial" w:hAnsi="Arial"/>
                <w:sz w:val="18"/>
                <w:szCs w:val="18"/>
                <w:color w:val="auto"/>
              </w:rPr>
              <w:t>Total committee size:</w:t>
            </w:r>
          </w:p>
        </w:tc>
        <w:tc>
          <w:tcPr>
            <w:tcW w:w="228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79"/>
              </w:rPr>
              <w:t>3</w:t>
            </w:r>
          </w:p>
        </w:tc>
        <w:tc>
          <w:tcPr>
            <w:tcW w:w="228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9"/>
              </w:rPr>
              <w:t>3</w:t>
            </w:r>
          </w:p>
        </w:tc>
        <w:tc>
          <w:tcPr>
            <w:tcW w:w="2180" w:type="dxa"/>
            <w:vAlign w:val="bottom"/>
            <w:tcBorders>
              <w:bottom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10"/>
        </w:trPr>
        <w:tc>
          <w:tcPr>
            <w:tcW w:w="4500" w:type="dxa"/>
            <w:vAlign w:val="bottom"/>
            <w:tcBorders>
              <w:bottom w:val="single" w:sz="8" w:color="2D53A6"/>
              <w:right w:val="single" w:sz="8" w:color="2D53A6"/>
            </w:tcBorders>
          </w:tcPr>
          <w:p>
            <w:pPr>
              <w:spacing w:after="0"/>
              <w:rPr>
                <w:sz w:val="20"/>
                <w:szCs w:val="20"/>
                <w:color w:val="auto"/>
              </w:rPr>
            </w:pPr>
            <w:r>
              <w:rPr>
                <w:rFonts w:ascii="Arial" w:cs="Arial" w:eastAsia="Arial" w:hAnsi="Arial"/>
                <w:sz w:val="18"/>
                <w:szCs w:val="18"/>
                <w:b w:val="1"/>
                <w:bCs w:val="1"/>
                <w:i w:val="1"/>
                <w:iCs w:val="1"/>
                <w:color w:val="auto"/>
              </w:rPr>
              <w:t>Other Directors:</w:t>
            </w:r>
          </w:p>
        </w:tc>
        <w:tc>
          <w:tcPr>
            <w:tcW w:w="2280" w:type="dxa"/>
            <w:vAlign w:val="bottom"/>
            <w:tcBorders>
              <w:bottom w:val="single" w:sz="8" w:color="2D53A6"/>
              <w:right w:val="single" w:sz="8" w:color="2D53A6"/>
            </w:tcBorders>
          </w:tcPr>
          <w:p>
            <w:pPr>
              <w:spacing w:after="0"/>
              <w:rPr>
                <w:sz w:val="18"/>
                <w:szCs w:val="18"/>
                <w:color w:val="auto"/>
              </w:rPr>
            </w:pPr>
          </w:p>
        </w:tc>
        <w:tc>
          <w:tcPr>
            <w:tcW w:w="2280" w:type="dxa"/>
            <w:vAlign w:val="bottom"/>
            <w:tcBorders>
              <w:bottom w:val="single" w:sz="8" w:color="2D53A6"/>
              <w:right w:val="single" w:sz="8" w:color="2D53A6"/>
            </w:tcBorders>
          </w:tcPr>
          <w:p>
            <w:pPr>
              <w:spacing w:after="0"/>
              <w:rPr>
                <w:sz w:val="18"/>
                <w:szCs w:val="18"/>
                <w:color w:val="auto"/>
              </w:rPr>
            </w:pPr>
          </w:p>
        </w:tc>
        <w:tc>
          <w:tcPr>
            <w:tcW w:w="2180" w:type="dxa"/>
            <w:vAlign w:val="bottom"/>
            <w:tcBorders>
              <w:bottom w:val="single" w:sz="8" w:color="2D53A6"/>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00" w:type="dxa"/>
            <w:vAlign w:val="bottom"/>
            <w:tcBorders>
              <w:bottom w:val="single" w:sz="8" w:color="2D53A6"/>
              <w:right w:val="single" w:sz="8" w:color="2D53A6"/>
            </w:tcBorders>
            <w:shd w:val="clear" w:color="auto" w:fill="E6E6E6"/>
          </w:tcPr>
          <w:p>
            <w:pPr>
              <w:spacing w:after="0"/>
              <w:rPr>
                <w:sz w:val="20"/>
                <w:szCs w:val="20"/>
                <w:color w:val="auto"/>
              </w:rPr>
            </w:pPr>
            <w:r>
              <w:rPr>
                <w:rFonts w:ascii="Arial" w:cs="Arial" w:eastAsia="Arial" w:hAnsi="Arial"/>
                <w:sz w:val="18"/>
                <w:szCs w:val="18"/>
                <w:color w:val="auto"/>
              </w:rPr>
              <w:t>James A. Donahue</w:t>
            </w:r>
          </w:p>
        </w:tc>
        <w:tc>
          <w:tcPr>
            <w:tcW w:w="2280" w:type="dxa"/>
            <w:vAlign w:val="bottom"/>
            <w:tcBorders>
              <w:bottom w:val="single" w:sz="8" w:color="2D53A6"/>
              <w:right w:val="single" w:sz="8" w:color="2D53A6"/>
            </w:tcBorders>
            <w:shd w:val="clear" w:color="auto" w:fill="E6E6E6"/>
          </w:tcPr>
          <w:p>
            <w:pPr>
              <w:spacing w:after="0"/>
              <w:rPr>
                <w:sz w:val="18"/>
                <w:szCs w:val="18"/>
                <w:color w:val="auto"/>
              </w:rPr>
            </w:pPr>
          </w:p>
        </w:tc>
        <w:tc>
          <w:tcPr>
            <w:tcW w:w="2280" w:type="dxa"/>
            <w:vAlign w:val="bottom"/>
            <w:tcBorders>
              <w:bottom w:val="single" w:sz="8" w:color="2D53A6"/>
              <w:right w:val="single" w:sz="8" w:color="2D53A6"/>
            </w:tcBorders>
            <w:shd w:val="clear" w:color="auto" w:fill="E6E6E6"/>
          </w:tcPr>
          <w:p>
            <w:pPr>
              <w:spacing w:after="0"/>
              <w:rPr>
                <w:sz w:val="18"/>
                <w:szCs w:val="18"/>
                <w:color w:val="auto"/>
              </w:rPr>
            </w:pPr>
          </w:p>
        </w:tc>
        <w:tc>
          <w:tcPr>
            <w:tcW w:w="2180" w:type="dxa"/>
            <w:vAlign w:val="bottom"/>
            <w:tcBorders>
              <w:bottom w:val="single" w:sz="8" w:color="2D53A6"/>
            </w:tcBorders>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00" w:type="dxa"/>
            <w:vAlign w:val="bottom"/>
            <w:tcBorders>
              <w:bottom w:val="single" w:sz="8" w:color="2D53A6"/>
              <w:right w:val="single" w:sz="8" w:color="2D53A6"/>
            </w:tcBorders>
          </w:tcPr>
          <w:p>
            <w:pPr>
              <w:spacing w:after="0"/>
              <w:rPr>
                <w:sz w:val="20"/>
                <w:szCs w:val="20"/>
                <w:color w:val="auto"/>
              </w:rPr>
            </w:pPr>
            <w:r>
              <w:rPr>
                <w:rFonts w:ascii="Arial" w:cs="Arial" w:eastAsia="Arial" w:hAnsi="Arial"/>
                <w:sz w:val="18"/>
                <w:szCs w:val="18"/>
                <w:color w:val="auto"/>
              </w:rPr>
              <w:t>Luis A. Müller</w:t>
            </w:r>
          </w:p>
        </w:tc>
        <w:tc>
          <w:tcPr>
            <w:tcW w:w="2280" w:type="dxa"/>
            <w:vAlign w:val="bottom"/>
            <w:tcBorders>
              <w:bottom w:val="single" w:sz="8" w:color="2D53A6"/>
              <w:right w:val="single" w:sz="8" w:color="2D53A6"/>
            </w:tcBorders>
          </w:tcPr>
          <w:p>
            <w:pPr>
              <w:spacing w:after="0"/>
              <w:rPr>
                <w:sz w:val="18"/>
                <w:szCs w:val="18"/>
                <w:color w:val="auto"/>
              </w:rPr>
            </w:pPr>
          </w:p>
        </w:tc>
        <w:tc>
          <w:tcPr>
            <w:tcW w:w="2280" w:type="dxa"/>
            <w:vAlign w:val="bottom"/>
            <w:tcBorders>
              <w:bottom w:val="single" w:sz="8" w:color="2D53A6"/>
              <w:right w:val="single" w:sz="8" w:color="2D53A6"/>
            </w:tcBorders>
          </w:tcPr>
          <w:p>
            <w:pPr>
              <w:spacing w:after="0"/>
              <w:rPr>
                <w:sz w:val="18"/>
                <w:szCs w:val="18"/>
                <w:color w:val="auto"/>
              </w:rPr>
            </w:pPr>
          </w:p>
        </w:tc>
        <w:tc>
          <w:tcPr>
            <w:tcW w:w="2180" w:type="dxa"/>
            <w:vAlign w:val="bottom"/>
            <w:tcBorders>
              <w:bottom w:val="single" w:sz="8" w:color="2D53A6"/>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00" w:type="dxa"/>
            <w:vAlign w:val="bottom"/>
            <w:tcBorders>
              <w:bottom w:val="single" w:sz="8" w:color="2D53A6"/>
              <w:right w:val="single" w:sz="8" w:color="2D53A6"/>
            </w:tcBorders>
            <w:shd w:val="clear" w:color="auto" w:fill="E6E6E6"/>
          </w:tcPr>
          <w:p>
            <w:pPr>
              <w:spacing w:after="0"/>
              <w:rPr>
                <w:sz w:val="20"/>
                <w:szCs w:val="20"/>
                <w:color w:val="auto"/>
              </w:rPr>
            </w:pPr>
            <w:r>
              <w:rPr>
                <w:rFonts w:ascii="Arial" w:cs="Arial" w:eastAsia="Arial" w:hAnsi="Arial"/>
                <w:sz w:val="18"/>
                <w:szCs w:val="18"/>
                <w:b w:val="1"/>
                <w:bCs w:val="1"/>
                <w:color w:val="auto"/>
              </w:rPr>
              <w:t>Number of Meetings in 2021</w:t>
            </w:r>
          </w:p>
        </w:tc>
        <w:tc>
          <w:tcPr>
            <w:tcW w:w="228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79"/>
              </w:rPr>
              <w:t>7</w:t>
            </w:r>
          </w:p>
        </w:tc>
        <w:tc>
          <w:tcPr>
            <w:tcW w:w="228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89"/>
              </w:rPr>
              <w:t>10</w:t>
            </w:r>
          </w:p>
        </w:tc>
        <w:tc>
          <w:tcPr>
            <w:tcW w:w="2180" w:type="dxa"/>
            <w:vAlign w:val="bottom"/>
            <w:tcBorders>
              <w:bottom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Lead Independent Director.</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Ms. Camp is not standing for re-election and her term will expire as of the meeting date.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Ms. Jorden was appointed to the Board effective May 10, 2021 and joined the Audit Committee at that time.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2D53A6"/>
        </w:rPr>
        <w:t>Audit Committee</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Audit Committee assists the Board in fulfilling its responsibilities for general oversight of the integrity of Cohu’s financial statements, Cohu’s compliance with legal and regulatory requirements, the independent registered public accounting firm’s qualifications and independence, risk assessment and risk management. Among other things, the Audit Committee reviews the results of the independent registered public accounting firm’s annual audit and quarterly reviews, including the communications required by the PCAOB; prepares the Audit Committee report for inclusion in the annual proxy statement; annually reviews the Audit Committee charter and the committee’s performance; appoints, evaluates and approves the fees of Cohu’s independent registered public accounting firm and the lead audit engagement partner and reviews rotation of the lead audit engagement partner; reviews and approves the scope of the annual audit, the audit fee and the financial statements; assesses the independence of the independent registered public accounting firm; reviews Cohu’s disclosure controls and procedures, internal controls, including such controls over financial reporting; reviews the adequacy and effectiveness of Cohu’s information security policies and the internal controls regarding information security and cybersecurity; oversees investigations into complaints concerning financial and accounting matters; oversees the work of internal auditors; and reviews other risks that may have a significant impact on Cohu’s financial statements. The Audit Committee works closely with management as well as Cohu’s independent registered public accounting firm. The Audit Committee has the authority to obtain advice and assistance from, and receive appropriate funding from Cohu for, outside legal, accounting or other advisors as the Audit Committee deems necessary in order to carry out its duties.</w:t>
      </w:r>
    </w:p>
    <w:p>
      <w:pPr>
        <w:spacing w:after="0" w:line="174"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 xml:space="preserve">The report of the Audit Committee is set forth on page 48 and the charter of the Audit Committee is available at </w:t>
      </w:r>
      <w:r>
        <w:rPr>
          <w:rFonts w:ascii="Arial" w:cs="Arial" w:eastAsia="Arial" w:hAnsi="Arial"/>
          <w:sz w:val="18"/>
          <w:szCs w:val="18"/>
          <w:u w:val="single" w:color="auto"/>
          <w:color w:val="auto"/>
        </w:rPr>
        <w:t>https://cohu.gcs-web.com/corporate-governance/documents-charters</w:t>
      </w:r>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2D53A6"/>
        </w:rPr>
        <w:t>Compensation Committee</w:t>
      </w:r>
    </w:p>
    <w:p>
      <w:pPr>
        <w:spacing w:after="0" w:line="22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Compensation Committee discharges the Board’s responsibilities relating to compensation of Cohu’s executives and directors and, among other things, reviews and discusses the “Compensation Discussion and Analysis” with management, and prepares an annual compensation committee report for inclusion in Cohu’s proxy statement; provides general oversight of Cohu’s compensation structure, including Cohu’s equity compensation plans and benefits programs; and retains and approves the terms of the retention of any compensation consultants and other compensation experts. Other specific duties and responsibilities of the Compensation Committee include reviewing and approving objectives relevant to executive officer compensation, participating in the evaluation of the performance and determining the compensation of executive officers, including equity awards, in accordance with those objectives; approving employment agreements for executive officers; approving and amending Cohu’s equity and non-equity incentive compensation and related performance goals and measures and stock-related programs (subject to stockholder approval, if required); approving any changes to non-equity based benefit plans involving a material financial commitment by Cohu; recommending director compensation to the Board; monitoring director and executive stock ownership; and annually evaluating its performance and its charter.</w:t>
      </w:r>
    </w:p>
    <w:p>
      <w:pPr>
        <w:spacing w:after="0" w:line="185"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 xml:space="preserve">The report of the Compensation Committee is set forth on page 39. The charter of the Compensation Committee is available at </w:t>
      </w:r>
      <w:r>
        <w:rPr>
          <w:rFonts w:ascii="Arial" w:cs="Arial" w:eastAsia="Arial" w:hAnsi="Arial"/>
          <w:sz w:val="18"/>
          <w:szCs w:val="18"/>
          <w:u w:val="single" w:color="auto"/>
          <w:color w:val="auto"/>
        </w:rPr>
        <w:t>https://cohu.gcs-web.com/corporate-governance/documents-charters</w:t>
      </w:r>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2D53A6"/>
        </w:rPr>
        <w:t>Nominating and Governance Committee</w:t>
      </w:r>
    </w:p>
    <w:p>
      <w:pPr>
        <w:spacing w:after="0" w:line="22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Nominating and Governance Committee identifies individuals qualified to become Board members and recommends to the Board candidates to be nominated for election as directors at Cohu’s annual meeting consistent with criteria the Committee deems appropriate, as approved by the Board; develops Cohu’s Corporate Governance Guidelines for approval by the Board, and reviews and recommends updates to such Guidelines, as appropriate; oversees the organization of the Board to discharge the Board’s duties and responsibilities properly and efficiently, including the annual evaluation of the Board and its committees; identifies best practices; and recommends corporate governance principles, including giving proper attention and making effective responses to stockholder concerns regarding corporate governance. Other specific duties and responsibilities of the Nominating and Governance Committee include annual assessment of the size and composition of the Board; developing membership qualifications for Board committees; defining specific criteria for director independence; monitoring compliance with Board and Board committee membership criteria; annually reviewing and recommending directors for continued service; coordinating and assisting management and the Board in recruiting new members to the Board; annually, and together with the Compensation Committee and the Lead Independent Director, providing input to the performance evaluation of the CEO; reviewing and recommending proposed changes to Cohu’s articles or bylaws and Board committee charters; periodically assessing and recommending action with respect to stockholder rights plans or other stockholder protections; recommending Board committee assignments; reviewing and approving any employee director or executive officer standing for election for outside for- profit or non-profit boards of directors; reviewing governance-related stockholder proposals and recommending Board responses; overseeing the evaluation of the Board and management and conducting a preliminary review of director independence and the financial literacy and expertise of Audit Committee members; and reviews, oversees and reports to the Board on Cohu’s corporate responsibility and sustainability initiatives, including potential trends and impacts to Cohu’s business regarding environmental, social and governance issues. The Chair of the Nominating and Governance Committee receives communications directed to non-employee directors.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1" w:name="page22"/>
    <w:bookmarkEnd w:id="21"/>
    <w:p>
      <w:pPr>
        <w:spacing w:after="0"/>
        <w:rPr>
          <w:sz w:val="20"/>
          <w:szCs w:val="20"/>
          <w:color w:val="auto"/>
        </w:rPr>
      </w:pPr>
      <w:r>
        <w:rPr>
          <w:rFonts w:ascii="Arial" w:cs="Arial" w:eastAsia="Arial" w:hAnsi="Arial"/>
          <w:sz w:val="17"/>
          <w:szCs w:val="17"/>
          <w:color w:val="auto"/>
        </w:rPr>
        <w:t xml:space="preserve">The charter of the Nominating and Governance Committee is available at </w:t>
      </w:r>
      <w:r>
        <w:rPr>
          <w:rFonts w:ascii="Arial" w:cs="Arial" w:eastAsia="Arial" w:hAnsi="Arial"/>
          <w:sz w:val="17"/>
          <w:szCs w:val="17"/>
          <w:u w:val="single" w:color="auto"/>
          <w:color w:val="auto"/>
        </w:rPr>
        <w:t>https://cohu.gcs-web.com/corporate-governance/documents-charters</w:t>
      </w:r>
      <w:r>
        <w:rPr>
          <w:rFonts w:ascii="Arial" w:cs="Arial" w:eastAsia="Arial" w:hAnsi="Arial"/>
          <w:sz w:val="17"/>
          <w:szCs w:val="17"/>
          <w:color w:val="auto"/>
        </w:rPr>
        <w: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2D53A6"/>
        </w:rPr>
        <w:t>Board Leadership Structure</w:t>
      </w:r>
    </w:p>
    <w:p>
      <w:pPr>
        <w:spacing w:after="0" w:line="225"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As of the date of this proxy statement, our Board is currently comprised of six (6) independent directors, one (1) non-independent, non-executive director (Mr. Donahue, as the former CEO of Cohu), and one (1) executive director (Dr. Müller, our CEO). One of our independent directors, Ms. Camp is not standing for re-election at the meeting and the Board intends to reduce its size to seven (7) directors as of the meeting date. Our corporate governance principles provide that the Board will fill the Chairperson and Chief Executive Officer positions based upon the Board’s view of what is in Cohu’s best interests at any point in time and do not prevent our Chief Executive Officer from also serving as our Chairperson of the Board. Our Board evaluates its leadership structure and elects the Chairperson and the Chief Executive Officer based on the criteria it deems to be appropriate and in the best interests of Cohu and its stockholders, given the circumstances at the time of such election. While we have in the past had one person serve as Chairperson of the Board and Chief Executive Officer, the positions are currently held by separate individuals.</w:t>
      </w:r>
    </w:p>
    <w:p>
      <w:pPr>
        <w:spacing w:after="0" w:line="17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Separating the positions of Chief Executive Officer and Chairperson of the Board allows our Chief Executive Officer to focus on the day-to-day operations and strategy of our business, while allowing the Chairperson of the Board to lead the Board in its fundamental role of providing advice to and independent oversight of management. Given his long tenure with and status within Cohu, our Board believes Mr. Donahue possesses detailed and in-depth knowledge of the issues, opportunities, and challenges facing Cohu and we believe he is best positioned to develop agendas that ensure that the Board’s time and attention are focused on the most critical matters. Our Board believes that having Dr. Müller serve as Cohu’s Chief Executive Officer and Mr. Donahue serve as Chairperson, in combination with Mr. Bilodeau’s service as Lead Independent Director, is in the best interests of Cohu and its stockholders.</w:t>
      </w:r>
    </w:p>
    <w:p>
      <w:pPr>
        <w:spacing w:after="0" w:line="164" w:lineRule="exact"/>
        <w:rPr>
          <w:sz w:val="20"/>
          <w:szCs w:val="20"/>
          <w:color w:val="auto"/>
        </w:rPr>
      </w:pPr>
    </w:p>
    <w:p>
      <w:pPr>
        <w:ind w:right="660"/>
        <w:spacing w:after="0" w:line="311" w:lineRule="auto"/>
        <w:rPr>
          <w:sz w:val="20"/>
          <w:szCs w:val="20"/>
          <w:color w:val="auto"/>
        </w:rPr>
      </w:pPr>
      <w:r>
        <w:rPr>
          <w:rFonts w:ascii="Arial" w:cs="Arial" w:eastAsia="Arial" w:hAnsi="Arial"/>
          <w:sz w:val="16"/>
          <w:szCs w:val="16"/>
          <w:color w:val="auto"/>
        </w:rPr>
        <w:t>Cohu’s Corporate Governance Guidelines provide for the circumstances in which the Nominating and Governance Committee shall nominate an independent director to serve as the Lead Independent Director, the selection of whom shall be subject to approval by a vote of the majority of the independent directors. Although annually elected, the Lead Independent Director is generally expected to serve for more than one year.</w:t>
      </w:r>
    </w:p>
    <w:p>
      <w:pPr>
        <w:spacing w:after="0" w:line="14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specific responsibilities of the Lead Independent Director include presiding at executive sessions of directors and at board meetings where the Chairperson is not present, calling meetings of independent directors, serving as a liaison between the independent directors and the Chairperson and CEO, and performing such other duties and responsibilities as the Board may determine.</w:t>
      </w:r>
    </w:p>
    <w:p>
      <w:pPr>
        <w:spacing w:after="0" w:line="18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As of the date of this proxy statement, our Board has three (3) women members, or 37.5% of the Board, and two racially/ethnically diverse members, or 25% of the Board.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2D53A6"/>
        </w:rPr>
        <w:t>Risk Oversight</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Board oversees our risk management process. The Board focuses on general risk management strategy, the most significant risks facing Cohu, and ensures that appropriate risk mitigation strategies are implemented by management. The Board is also apprised of particular risk management matters in connection with its general oversight and approval of corporate matters. Cohu’s management is responsible for day-to-day risk management. This responsibility includes identifying, evaluating, and addressing potential risks that may exist at the enterprise, strategic, financial, operational, cybersecurity, and compliance and reporting levels.</w:t>
      </w:r>
    </w:p>
    <w:p>
      <w:pPr>
        <w:spacing w:after="0" w:line="18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While our Board is ultimately responsible for risk oversight, our Board committees assist our Board in fulfilling its oversight responsibilities in certain areas of risk. Our Audit Committee assists our Board in fulfilling its oversight responsibilities with respect to risk management in the areas of internal control over financial reporting and disclosure controls and procedures, legal and regulatory compliance, and discusses with management and the independent auditor guidelines and policies with respect to risk assessment and risk management. Our Audit Committee also reviews our major financial risk exposures and the steps management has taken to monitor and control these exposures. In addition, our Audit Committee monitors certain key risks on a regular basis throughout the fiscal year, such as risk associated with internal control over financial reporting, liquidity and cybersecurity risks. Our Nominating and Governance Committee assists our Board in fulfilling its oversight responsibilities with respect to the management of risk associated with board organization, membership and structure, corporate governance and sustainability risks. Our Compensation Committee oversees risks related to our compensation policies to ensure that our compensation programs do not encourage unnecessary risk-taking. Finally, our full Board reviews strategic and operational risk in the context of reports from the management team, receives reports on all significant committee activities at each regular meeting, and evaluates the risks inherent in significant transactions.</w:t>
      </w:r>
    </w:p>
    <w:p>
      <w:pPr>
        <w:spacing w:after="0" w:line="1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84" w:right="39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2D53A6"/>
        </w:rPr>
        <w:t>Stockholder Nominees</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policy of the Nominating and Governance Committee is to consider properly submitted stockholder nominations for candidates for membership on the Board as described below under “Identifying and Evaluating Nominees for Directors”. In evaluating such nominations, the Nominating and Governance Committee seeks to achieve a balance of knowledge, experience, capability and diversity on the Board and to address the membership criteria set forth under “Director Qualifications”.</w:t>
      </w:r>
    </w:p>
    <w:p>
      <w:pPr>
        <w:spacing w:after="0" w:line="187"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Any stockholder nominations proposed for consideration by the Nominating and Governance Committee should include the nominee’s name and qualifications for Board membership and should be addressed to:</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Corporate Secretary</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Cohu, Inc.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12367 Crosthwaite Circle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Poway, CA 92064-6817</w:t>
      </w:r>
    </w:p>
    <w:p>
      <w:pPr>
        <w:spacing w:after="0" w:line="211"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In addition, the bylaws of Cohu permit stockholders to nominate directors for consideration at an annual stockholder meeting. For a description of the process for nominating directors in accordance with Cohu’s bylaws, see “Stockholder Proposals - 2023 Annual Meeting” on page 51.</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2D53A6"/>
        </w:rPr>
        <w:t>Director Qualifications</w:t>
      </w:r>
    </w:p>
    <w:p>
      <w:pPr>
        <w:spacing w:after="0" w:line="22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 xml:space="preserve">Cohu’s Corporate Governance Guidelines are available at </w:t>
      </w:r>
      <w:r>
        <w:rPr>
          <w:rFonts w:ascii="Arial" w:cs="Arial" w:eastAsia="Arial" w:hAnsi="Arial"/>
          <w:sz w:val="16"/>
          <w:szCs w:val="16"/>
          <w:u w:val="single" w:color="auto"/>
          <w:color w:val="auto"/>
        </w:rPr>
        <w:t>https://cohu.gcs-web.com/corporate-governance/documents-charters</w:t>
      </w:r>
      <w:r>
        <w:rPr>
          <w:rFonts w:ascii="Arial" w:cs="Arial" w:eastAsia="Arial" w:hAnsi="Arial"/>
          <w:sz w:val="16"/>
          <w:szCs w:val="16"/>
          <w:color w:val="auto"/>
        </w:rPr>
        <w:t xml:space="preserve"> and contain Board membership criteria that apply to nominees recommended by the Nominating and Governance Committee for a position on Cohu’s Board. Under these criteria, members of the Board should have high professional and personal ethics and values and diversity in perspectives and experiences, consistent with longstanding Cohu values and standards. They should have relevant experience at the policy-making level in business, government, education, technology and/or public interest. They should also be committed to enhancing stockholder value and should have sufficient time to carry out their duties and to provide insight and practical wisdom, based on their experience. In addition, the Board and Nominating and Governance Committee value ethnic, cultural, gender, economic, professional and educational diversity in evaluating new Board candidates and seek to incorporate a wide range of these attributes within Cohu’s Board. Their service on other boards of public companies should be limited to a number that permits them, given their individual circumstances, to responsibly perform all director duties. Each director will seek to represent the diverse interests of all stockholders.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2D53A6"/>
        </w:rPr>
        <w:t>Identifying and Evaluating Nominees for Directors</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Our Nominating and Governance Committee uses a variety of methods for identifying and evaluating nominees for director. The Nominating and Governance Committee assesses the appropriate size of the Board, and whether any vacancies on the Board are expected due to retirement or otherwise. In the event that vacancies are anticipated, or otherwise arise, the Nominating and Governance Committee considers various potential candidates for director. Candidates may come to the attention of the Nominating and Governance Committee through current Board members, professional search firms, stockholders or other persons. These candidates are evaluated at regular or special meetings of the Nominating and Governance Committee and may be considered at any point during the year. As described above, the Nominating and Governance Committee also considers properly submitted stockholder nominations for candidates for the Board. Following verification of the stockholder status of persons proposing candidates, recommendations are aggregated and considered by the Nominating and Governance Committee at a regularly scheduled meeting. If any materials are provided by a stockholder in connection with the nomination of a director candidate, such materials are forwarded to the Nominating and Governance Committee. The Nominating and Governance Committee also reviews materials provided by professional search firms or other parties in connection with a nominee who is not proposed by a stockholder. In evaluating such nominations, the Nominating and Governance Committee seeks to achieve a balance of knowledge, diversity, experience and capability on the Board. The Board believes it is important for the Board to have diversity of knowledge base, life perspectives, professional experience and skills, and the Board and Nominating and Governance Committee takes these qualities into account when considering director nominees.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2D53A6"/>
        </w:rPr>
        <w:t>Executive Sessions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Executive sessions of independent directors, without management and non-independent directors present, are held at least three times a year. The sessions may be scheduled or held on an impromptu basis, and are chaired by the Lead Independent Director or, in the absence of the Lead Independent Director, the Chair of the Nominating and Governance Committee or another independent director. Any independent director can request that an additional executive session be initiated or scheduled.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2D53A6"/>
        </w:rPr>
        <w:t>Communications with the Board</w:t>
      </w:r>
    </w:p>
    <w:p>
      <w:pPr>
        <w:spacing w:after="0" w:line="225"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 xml:space="preserve">Individuals may communicate with the Board, including the non-employee directors, by submitting an e-mail to Cohu’s Board at </w:t>
      </w:r>
      <w:r>
        <w:rPr>
          <w:rFonts w:ascii="Arial" w:cs="Arial" w:eastAsia="Arial" w:hAnsi="Arial"/>
          <w:sz w:val="18"/>
          <w:szCs w:val="18"/>
          <w:color w:val="0040BE"/>
        </w:rPr>
        <w:t>corp@cohu.com</w:t>
      </w:r>
      <w:r>
        <w:rPr>
          <w:rFonts w:ascii="Arial" w:cs="Arial" w:eastAsia="Arial" w:hAnsi="Arial"/>
          <w:sz w:val="18"/>
          <w:szCs w:val="18"/>
          <w:color w:val="auto"/>
        </w:rPr>
        <w:t xml:space="preserve"> or by sending a letter to the Cohu Board of Directors, c/o Corporate Secretary, Cohu, Inc., 12367 Crosthwaite Circle, Poway, California 92064-6817. Communications are distributed to our Board, or to individual directors as appropriate, depending on the facts and circumstances outlined in the communication.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2D53A6"/>
        </w:rPr>
        <w:t>Compensation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Compensation</w:t>
      </w:r>
    </w:p>
    <w:p>
      <w:pPr>
        <w:spacing w:after="0" w:line="225" w:lineRule="exact"/>
        <w:rPr>
          <w:sz w:val="20"/>
          <w:szCs w:val="20"/>
          <w:color w:val="auto"/>
        </w:rPr>
      </w:pPr>
    </w:p>
    <w:p>
      <w:pPr>
        <w:ind w:right="640"/>
        <w:spacing w:after="0" w:line="342" w:lineRule="auto"/>
        <w:rPr>
          <w:sz w:val="20"/>
          <w:szCs w:val="20"/>
          <w:color w:val="auto"/>
        </w:rPr>
      </w:pPr>
      <w:r>
        <w:rPr>
          <w:rFonts w:ascii="Arial" w:cs="Arial" w:eastAsia="Arial" w:hAnsi="Arial"/>
          <w:sz w:val="16"/>
          <w:szCs w:val="16"/>
          <w:color w:val="auto"/>
        </w:rPr>
        <w:t>Directors who are employees of Cohu do not receive any additional compensation for their services as directors. During fiscal 2021, non-employee directors received an annual retainer, and Board committee Chairs and members received annual fees, all paid quarterly, as set forth below.</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00" w:type="dxa"/>
            <w:vAlign w:val="bottom"/>
            <w:tcBorders>
              <w:right w:val="single" w:sz="8" w:color="2D53A6"/>
            </w:tcBorders>
            <w:shd w:val="clear" w:color="auto" w:fill="2D53A6"/>
          </w:tcPr>
          <w:p>
            <w:pPr>
              <w:spacing w:after="0"/>
              <w:rPr>
                <w:sz w:val="19"/>
                <w:szCs w:val="19"/>
                <w:color w:val="auto"/>
              </w:rPr>
            </w:pPr>
          </w:p>
        </w:tc>
        <w:tc>
          <w:tcPr>
            <w:tcW w:w="4540" w:type="dxa"/>
            <w:vAlign w:val="bottom"/>
            <w:tcBorders>
              <w:right w:val="single" w:sz="8" w:color="2D53A6"/>
            </w:tcBorders>
            <w:shd w:val="clear" w:color="auto" w:fill="2D53A6"/>
          </w:tcPr>
          <w:p>
            <w:pPr>
              <w:spacing w:after="0"/>
              <w:rPr>
                <w:sz w:val="20"/>
                <w:szCs w:val="20"/>
                <w:color w:val="auto"/>
              </w:rPr>
            </w:pPr>
            <w:r>
              <w:rPr>
                <w:rFonts w:ascii="Arial" w:cs="Arial" w:eastAsia="Arial" w:hAnsi="Arial"/>
                <w:sz w:val="18"/>
                <w:szCs w:val="18"/>
                <w:b w:val="1"/>
                <w:bCs w:val="1"/>
                <w:color w:val="FFFFFF"/>
              </w:rPr>
              <w:t>Compensation</w:t>
            </w:r>
          </w:p>
        </w:tc>
        <w:tc>
          <w:tcPr>
            <w:tcW w:w="1400" w:type="dxa"/>
            <w:vAlign w:val="bottom"/>
            <w:shd w:val="clear" w:color="auto" w:fill="2D53A6"/>
          </w:tcPr>
          <w:p>
            <w:pPr>
              <w:jc w:val="right"/>
              <w:ind w:right="430"/>
              <w:spacing w:after="0"/>
              <w:rPr>
                <w:sz w:val="20"/>
                <w:szCs w:val="20"/>
                <w:color w:val="auto"/>
              </w:rPr>
            </w:pPr>
            <w:r>
              <w:rPr>
                <w:rFonts w:ascii="Arial" w:cs="Arial" w:eastAsia="Arial" w:hAnsi="Arial"/>
                <w:sz w:val="18"/>
                <w:szCs w:val="18"/>
                <w:b w:val="1"/>
                <w:bCs w:val="1"/>
                <w:color w:val="FFFFFF"/>
              </w:rPr>
              <w:t>2021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00" w:type="dxa"/>
            <w:vAlign w:val="bottom"/>
            <w:tcBorders>
              <w:right w:val="single" w:sz="8" w:color="2D53A6"/>
            </w:tcBorders>
            <w:vMerge w:val="restart"/>
          </w:tcPr>
          <w:p>
            <w:pPr>
              <w:spacing w:after="0"/>
              <w:rPr>
                <w:sz w:val="20"/>
                <w:szCs w:val="20"/>
                <w:color w:val="auto"/>
              </w:rPr>
            </w:pPr>
            <w:r>
              <w:rPr>
                <w:rFonts w:ascii="Arial" w:cs="Arial" w:eastAsia="Arial" w:hAnsi="Arial"/>
                <w:sz w:val="18"/>
                <w:szCs w:val="18"/>
                <w:b w:val="1"/>
                <w:bCs w:val="1"/>
                <w:color w:val="auto"/>
              </w:rPr>
              <w:t>Annual Retainer</w:t>
            </w:r>
          </w:p>
        </w:tc>
        <w:tc>
          <w:tcPr>
            <w:tcW w:w="4540" w:type="dxa"/>
            <w:vAlign w:val="bottom"/>
            <w:tcBorders>
              <w:bottom w:val="single" w:sz="8" w:color="2D53A6"/>
              <w:right w:val="single" w:sz="8" w:color="2D53A6"/>
            </w:tcBorders>
          </w:tcPr>
          <w:p>
            <w:pPr>
              <w:spacing w:after="0"/>
              <w:rPr>
                <w:sz w:val="20"/>
                <w:szCs w:val="20"/>
                <w:color w:val="auto"/>
              </w:rPr>
            </w:pPr>
            <w:r>
              <w:rPr>
                <w:rFonts w:ascii="Arial" w:cs="Arial" w:eastAsia="Arial" w:hAnsi="Arial"/>
                <w:sz w:val="18"/>
                <w:szCs w:val="18"/>
                <w:color w:val="auto"/>
              </w:rPr>
              <w:t>Chairperson of the Board</w:t>
            </w:r>
          </w:p>
        </w:tc>
        <w:tc>
          <w:tcPr>
            <w:tcW w:w="1400" w:type="dxa"/>
            <w:vAlign w:val="bottom"/>
            <w:tcBorders>
              <w:bottom w:val="single" w:sz="8" w:color="2D53A6"/>
            </w:tcBorders>
          </w:tcPr>
          <w:p>
            <w:pPr>
              <w:jc w:val="right"/>
              <w:spacing w:after="0"/>
              <w:rPr>
                <w:sz w:val="20"/>
                <w:szCs w:val="20"/>
                <w:color w:val="auto"/>
              </w:rPr>
            </w:pPr>
            <w:r>
              <w:rPr>
                <w:rFonts w:ascii="Arial" w:cs="Arial" w:eastAsia="Arial" w:hAnsi="Arial"/>
                <w:sz w:val="18"/>
                <w:szCs w:val="18"/>
                <w:color w:val="auto"/>
              </w:rPr>
              <w:t>$95,000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00" w:type="dxa"/>
            <w:vAlign w:val="bottom"/>
            <w:tcBorders>
              <w:right w:val="single" w:sz="8" w:color="2D53A6"/>
            </w:tcBorders>
            <w:vMerge w:val="continue"/>
          </w:tcPr>
          <w:p>
            <w:pPr>
              <w:spacing w:after="0"/>
              <w:rPr>
                <w:sz w:val="18"/>
                <w:szCs w:val="18"/>
                <w:color w:val="auto"/>
              </w:rPr>
            </w:pPr>
          </w:p>
        </w:tc>
        <w:tc>
          <w:tcPr>
            <w:tcW w:w="4540" w:type="dxa"/>
            <w:vAlign w:val="bottom"/>
            <w:tcBorders>
              <w:bottom w:val="single" w:sz="8" w:color="2D53A6"/>
              <w:right w:val="single" w:sz="8" w:color="2D53A6"/>
            </w:tcBorders>
          </w:tcPr>
          <w:p>
            <w:pPr>
              <w:spacing w:after="0"/>
              <w:rPr>
                <w:sz w:val="20"/>
                <w:szCs w:val="20"/>
                <w:color w:val="auto"/>
              </w:rPr>
            </w:pPr>
            <w:r>
              <w:rPr>
                <w:rFonts w:ascii="Arial" w:cs="Arial" w:eastAsia="Arial" w:hAnsi="Arial"/>
                <w:sz w:val="18"/>
                <w:szCs w:val="18"/>
                <w:color w:val="auto"/>
              </w:rPr>
              <w:t>Lead Independent Director</w:t>
            </w:r>
          </w:p>
        </w:tc>
        <w:tc>
          <w:tcPr>
            <w:tcW w:w="1400" w:type="dxa"/>
            <w:vAlign w:val="bottom"/>
            <w:tcBorders>
              <w:bottom w:val="single" w:sz="8" w:color="2D53A6"/>
            </w:tcBorders>
          </w:tcPr>
          <w:p>
            <w:pPr>
              <w:jc w:val="right"/>
              <w:spacing w:after="0"/>
              <w:rPr>
                <w:sz w:val="20"/>
                <w:szCs w:val="20"/>
                <w:color w:val="auto"/>
              </w:rPr>
            </w:pPr>
            <w:r>
              <w:rPr>
                <w:rFonts w:ascii="Arial" w:cs="Arial" w:eastAsia="Arial" w:hAnsi="Arial"/>
                <w:sz w:val="18"/>
                <w:szCs w:val="18"/>
                <w:color w:val="auto"/>
              </w:rPr>
              <w:t>$75,000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00" w:type="dxa"/>
            <w:vAlign w:val="bottom"/>
            <w:tcBorders>
              <w:bottom w:val="single" w:sz="8" w:color="2D53A6"/>
              <w:right w:val="single" w:sz="8" w:color="2D53A6"/>
            </w:tcBorders>
          </w:tcPr>
          <w:p>
            <w:pPr>
              <w:spacing w:after="0"/>
              <w:rPr>
                <w:sz w:val="18"/>
                <w:szCs w:val="18"/>
                <w:color w:val="auto"/>
              </w:rPr>
            </w:pPr>
          </w:p>
        </w:tc>
        <w:tc>
          <w:tcPr>
            <w:tcW w:w="4540" w:type="dxa"/>
            <w:vAlign w:val="bottom"/>
            <w:tcBorders>
              <w:bottom w:val="single" w:sz="8" w:color="2D53A6"/>
              <w:right w:val="single" w:sz="8" w:color="2D53A6"/>
            </w:tcBorders>
          </w:tcPr>
          <w:p>
            <w:pPr>
              <w:spacing w:after="0"/>
              <w:rPr>
                <w:sz w:val="20"/>
                <w:szCs w:val="20"/>
                <w:color w:val="auto"/>
              </w:rPr>
            </w:pPr>
            <w:r>
              <w:rPr>
                <w:rFonts w:ascii="Arial" w:cs="Arial" w:eastAsia="Arial" w:hAnsi="Arial"/>
                <w:sz w:val="18"/>
                <w:szCs w:val="18"/>
                <w:color w:val="auto"/>
              </w:rPr>
              <w:t>Other Directors</w:t>
            </w:r>
          </w:p>
        </w:tc>
        <w:tc>
          <w:tcPr>
            <w:tcW w:w="1400" w:type="dxa"/>
            <w:vAlign w:val="bottom"/>
            <w:tcBorders>
              <w:bottom w:val="single" w:sz="8" w:color="2D53A6"/>
            </w:tcBorders>
          </w:tcPr>
          <w:p>
            <w:pPr>
              <w:jc w:val="right"/>
              <w:spacing w:after="0"/>
              <w:rPr>
                <w:sz w:val="20"/>
                <w:szCs w:val="20"/>
                <w:color w:val="auto"/>
              </w:rPr>
            </w:pPr>
            <w:r>
              <w:rPr>
                <w:rFonts w:ascii="Arial" w:cs="Arial" w:eastAsia="Arial" w:hAnsi="Arial"/>
                <w:sz w:val="18"/>
                <w:szCs w:val="18"/>
                <w:color w:val="auto"/>
              </w:rPr>
              <w:t>$60,000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00" w:type="dxa"/>
            <w:vAlign w:val="bottom"/>
            <w:tcBorders>
              <w:right w:val="single" w:sz="8" w:color="2D53A6"/>
            </w:tcBorders>
          </w:tcPr>
          <w:p>
            <w:pPr>
              <w:spacing w:after="0"/>
              <w:rPr>
                <w:sz w:val="20"/>
                <w:szCs w:val="20"/>
                <w:color w:val="auto"/>
              </w:rPr>
            </w:pPr>
            <w:r>
              <w:rPr>
                <w:rFonts w:ascii="Arial" w:cs="Arial" w:eastAsia="Arial" w:hAnsi="Arial"/>
                <w:sz w:val="18"/>
                <w:szCs w:val="18"/>
                <w:b w:val="1"/>
                <w:bCs w:val="1"/>
                <w:color w:val="auto"/>
              </w:rPr>
              <w:t>Annual Fees for</w:t>
            </w:r>
          </w:p>
        </w:tc>
        <w:tc>
          <w:tcPr>
            <w:tcW w:w="4540" w:type="dxa"/>
            <w:vAlign w:val="bottom"/>
            <w:tcBorders>
              <w:bottom w:val="single" w:sz="8" w:color="2D53A6"/>
              <w:right w:val="single" w:sz="8" w:color="2D53A6"/>
            </w:tcBorders>
          </w:tcPr>
          <w:p>
            <w:pPr>
              <w:spacing w:after="0" w:line="210" w:lineRule="exact"/>
              <w:rPr>
                <w:sz w:val="20"/>
                <w:szCs w:val="20"/>
                <w:color w:val="auto"/>
              </w:rPr>
            </w:pPr>
            <w:r>
              <w:rPr>
                <w:rFonts w:ascii="Arial" w:cs="Arial" w:eastAsia="Arial" w:hAnsi="Arial"/>
                <w:sz w:val="15"/>
                <w:szCs w:val="15"/>
                <w:color w:val="auto"/>
              </w:rPr>
              <w:t xml:space="preserve">Audit Committee </w:t>
            </w:r>
            <w:r>
              <w:rPr>
                <w:rFonts w:ascii="Arial" w:cs="Arial" w:eastAsia="Arial" w:hAnsi="Arial"/>
                <w:sz w:val="24"/>
                <w:szCs w:val="24"/>
                <w:color w:val="auto"/>
                <w:vertAlign w:val="superscript"/>
              </w:rPr>
              <w:t>(1)</w:t>
            </w:r>
          </w:p>
        </w:tc>
        <w:tc>
          <w:tcPr>
            <w:tcW w:w="1400" w:type="dxa"/>
            <w:vAlign w:val="bottom"/>
            <w:tcBorders>
              <w:bottom w:val="single" w:sz="8" w:color="2D53A6"/>
            </w:tcBorders>
          </w:tcPr>
          <w:p>
            <w:pPr>
              <w:jc w:val="right"/>
              <w:spacing w:after="0"/>
              <w:rPr>
                <w:sz w:val="20"/>
                <w:szCs w:val="20"/>
                <w:color w:val="auto"/>
              </w:rPr>
            </w:pPr>
            <w:r>
              <w:rPr>
                <w:rFonts w:ascii="Arial" w:cs="Arial" w:eastAsia="Arial" w:hAnsi="Arial"/>
                <w:sz w:val="18"/>
                <w:szCs w:val="18"/>
                <w:color w:val="auto"/>
              </w:rPr>
              <w:t>$25,000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00" w:type="dxa"/>
            <w:vAlign w:val="bottom"/>
            <w:tcBorders>
              <w:right w:val="single" w:sz="8" w:color="2D53A6"/>
            </w:tcBorders>
          </w:tcPr>
          <w:p>
            <w:pPr>
              <w:spacing w:after="0"/>
              <w:rPr>
                <w:sz w:val="20"/>
                <w:szCs w:val="20"/>
                <w:color w:val="auto"/>
              </w:rPr>
            </w:pPr>
            <w:r>
              <w:rPr>
                <w:rFonts w:ascii="Arial" w:cs="Arial" w:eastAsia="Arial" w:hAnsi="Arial"/>
                <w:sz w:val="18"/>
                <w:szCs w:val="18"/>
                <w:b w:val="1"/>
                <w:bCs w:val="1"/>
                <w:color w:val="auto"/>
              </w:rPr>
              <w:t>Committee Chairs</w:t>
            </w:r>
          </w:p>
        </w:tc>
        <w:tc>
          <w:tcPr>
            <w:tcW w:w="4540" w:type="dxa"/>
            <w:vAlign w:val="bottom"/>
            <w:tcBorders>
              <w:bottom w:val="single" w:sz="8" w:color="2D53A6"/>
              <w:right w:val="single" w:sz="8" w:color="2D53A6"/>
            </w:tcBorders>
          </w:tcPr>
          <w:p>
            <w:pPr>
              <w:spacing w:after="0" w:line="210" w:lineRule="exact"/>
              <w:rPr>
                <w:sz w:val="20"/>
                <w:szCs w:val="20"/>
                <w:color w:val="auto"/>
              </w:rPr>
            </w:pPr>
            <w:r>
              <w:rPr>
                <w:rFonts w:ascii="Arial" w:cs="Arial" w:eastAsia="Arial" w:hAnsi="Arial"/>
                <w:sz w:val="15"/>
                <w:szCs w:val="15"/>
                <w:color w:val="auto"/>
              </w:rPr>
              <w:t xml:space="preserve">Compensation Committee </w:t>
            </w:r>
            <w:r>
              <w:rPr>
                <w:rFonts w:ascii="Arial" w:cs="Arial" w:eastAsia="Arial" w:hAnsi="Arial"/>
                <w:sz w:val="24"/>
                <w:szCs w:val="24"/>
                <w:color w:val="auto"/>
                <w:vertAlign w:val="superscript"/>
              </w:rPr>
              <w:t>(1)</w:t>
            </w:r>
          </w:p>
        </w:tc>
        <w:tc>
          <w:tcPr>
            <w:tcW w:w="1400" w:type="dxa"/>
            <w:vAlign w:val="bottom"/>
            <w:tcBorders>
              <w:bottom w:val="single" w:sz="8" w:color="2D53A6"/>
            </w:tcBorders>
          </w:tcPr>
          <w:p>
            <w:pPr>
              <w:jc w:val="right"/>
              <w:spacing w:after="0"/>
              <w:rPr>
                <w:sz w:val="20"/>
                <w:szCs w:val="20"/>
                <w:color w:val="auto"/>
              </w:rPr>
            </w:pPr>
            <w:r>
              <w:rPr>
                <w:rFonts w:ascii="Arial" w:cs="Arial" w:eastAsia="Arial" w:hAnsi="Arial"/>
                <w:sz w:val="18"/>
                <w:szCs w:val="18"/>
                <w:color w:val="auto"/>
              </w:rPr>
              <w:t>$16,500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00" w:type="dxa"/>
            <w:vAlign w:val="bottom"/>
            <w:tcBorders>
              <w:bottom w:val="single" w:sz="8" w:color="2D53A6"/>
              <w:right w:val="single" w:sz="8" w:color="2D53A6"/>
            </w:tcBorders>
          </w:tcPr>
          <w:p>
            <w:pPr>
              <w:spacing w:after="0"/>
              <w:rPr>
                <w:sz w:val="18"/>
                <w:szCs w:val="18"/>
                <w:color w:val="auto"/>
              </w:rPr>
            </w:pPr>
          </w:p>
        </w:tc>
        <w:tc>
          <w:tcPr>
            <w:tcW w:w="4540" w:type="dxa"/>
            <w:vAlign w:val="bottom"/>
            <w:tcBorders>
              <w:bottom w:val="single" w:sz="8" w:color="2D53A6"/>
              <w:right w:val="single" w:sz="8" w:color="2D53A6"/>
            </w:tcBorders>
          </w:tcPr>
          <w:p>
            <w:pPr>
              <w:spacing w:after="0"/>
              <w:rPr>
                <w:sz w:val="20"/>
                <w:szCs w:val="20"/>
                <w:color w:val="auto"/>
              </w:rPr>
            </w:pPr>
            <w:r>
              <w:rPr>
                <w:rFonts w:ascii="Arial" w:cs="Arial" w:eastAsia="Arial" w:hAnsi="Arial"/>
                <w:sz w:val="18"/>
                <w:szCs w:val="18"/>
                <w:color w:val="auto"/>
              </w:rPr>
              <w:t>Nominating and Governance Committee</w:t>
            </w:r>
          </w:p>
        </w:tc>
        <w:tc>
          <w:tcPr>
            <w:tcW w:w="1400" w:type="dxa"/>
            <w:vAlign w:val="bottom"/>
            <w:tcBorders>
              <w:bottom w:val="single" w:sz="8" w:color="2D53A6"/>
            </w:tcBorders>
          </w:tcPr>
          <w:p>
            <w:pPr>
              <w:jc w:val="right"/>
              <w:spacing w:after="0"/>
              <w:rPr>
                <w:sz w:val="20"/>
                <w:szCs w:val="20"/>
                <w:color w:val="auto"/>
              </w:rPr>
            </w:pPr>
            <w:r>
              <w:rPr>
                <w:rFonts w:ascii="Arial" w:cs="Arial" w:eastAsia="Arial" w:hAnsi="Arial"/>
                <w:sz w:val="18"/>
                <w:szCs w:val="18"/>
                <w:color w:val="auto"/>
              </w:rPr>
              <w:t>$10,000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00" w:type="dxa"/>
            <w:vAlign w:val="bottom"/>
            <w:tcBorders>
              <w:right w:val="single" w:sz="8" w:color="2D53A6"/>
            </w:tcBorders>
          </w:tcPr>
          <w:p>
            <w:pPr>
              <w:spacing w:after="0"/>
              <w:rPr>
                <w:sz w:val="20"/>
                <w:szCs w:val="20"/>
                <w:color w:val="auto"/>
              </w:rPr>
            </w:pPr>
            <w:r>
              <w:rPr>
                <w:rFonts w:ascii="Arial" w:cs="Arial" w:eastAsia="Arial" w:hAnsi="Arial"/>
                <w:sz w:val="18"/>
                <w:szCs w:val="18"/>
                <w:b w:val="1"/>
                <w:bCs w:val="1"/>
                <w:color w:val="auto"/>
              </w:rPr>
              <w:t>Annual Fees for Other</w:t>
            </w:r>
          </w:p>
        </w:tc>
        <w:tc>
          <w:tcPr>
            <w:tcW w:w="4540" w:type="dxa"/>
            <w:vAlign w:val="bottom"/>
            <w:tcBorders>
              <w:bottom w:val="single" w:sz="8" w:color="2D53A6"/>
              <w:right w:val="single" w:sz="8" w:color="2D53A6"/>
            </w:tcBorders>
          </w:tcPr>
          <w:p>
            <w:pPr>
              <w:spacing w:after="0"/>
              <w:rPr>
                <w:sz w:val="20"/>
                <w:szCs w:val="20"/>
                <w:color w:val="auto"/>
              </w:rPr>
            </w:pPr>
            <w:r>
              <w:rPr>
                <w:rFonts w:ascii="Arial" w:cs="Arial" w:eastAsia="Arial" w:hAnsi="Arial"/>
                <w:sz w:val="18"/>
                <w:szCs w:val="18"/>
                <w:color w:val="auto"/>
              </w:rPr>
              <w:t>Audit Committee</w:t>
            </w:r>
          </w:p>
        </w:tc>
        <w:tc>
          <w:tcPr>
            <w:tcW w:w="1400" w:type="dxa"/>
            <w:vAlign w:val="bottom"/>
            <w:tcBorders>
              <w:bottom w:val="single" w:sz="8" w:color="2D53A6"/>
            </w:tcBorders>
          </w:tcPr>
          <w:p>
            <w:pPr>
              <w:jc w:val="right"/>
              <w:spacing w:after="0"/>
              <w:rPr>
                <w:sz w:val="20"/>
                <w:szCs w:val="20"/>
                <w:color w:val="auto"/>
              </w:rPr>
            </w:pPr>
            <w:r>
              <w:rPr>
                <w:rFonts w:ascii="Arial" w:cs="Arial" w:eastAsia="Arial" w:hAnsi="Arial"/>
                <w:sz w:val="18"/>
                <w:szCs w:val="18"/>
                <w:color w:val="auto"/>
              </w:rPr>
              <w:t>$10,000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00" w:type="dxa"/>
            <w:vAlign w:val="bottom"/>
            <w:tcBorders>
              <w:right w:val="single" w:sz="8" w:color="2D53A6"/>
            </w:tcBorders>
          </w:tcPr>
          <w:p>
            <w:pPr>
              <w:spacing w:after="0"/>
              <w:rPr>
                <w:sz w:val="20"/>
                <w:szCs w:val="20"/>
                <w:color w:val="auto"/>
              </w:rPr>
            </w:pPr>
            <w:r>
              <w:rPr>
                <w:rFonts w:ascii="Arial" w:cs="Arial" w:eastAsia="Arial" w:hAnsi="Arial"/>
                <w:sz w:val="18"/>
                <w:szCs w:val="18"/>
                <w:b w:val="1"/>
                <w:bCs w:val="1"/>
                <w:color w:val="auto"/>
              </w:rPr>
              <w:t>Committee Members</w:t>
            </w:r>
          </w:p>
        </w:tc>
        <w:tc>
          <w:tcPr>
            <w:tcW w:w="4540" w:type="dxa"/>
            <w:vAlign w:val="bottom"/>
            <w:tcBorders>
              <w:bottom w:val="single" w:sz="8" w:color="2D53A6"/>
              <w:right w:val="single" w:sz="8" w:color="2D53A6"/>
            </w:tcBorders>
          </w:tcPr>
          <w:p>
            <w:pPr>
              <w:spacing w:after="0"/>
              <w:rPr>
                <w:sz w:val="20"/>
                <w:szCs w:val="20"/>
                <w:color w:val="auto"/>
              </w:rPr>
            </w:pPr>
            <w:r>
              <w:rPr>
                <w:rFonts w:ascii="Arial" w:cs="Arial" w:eastAsia="Arial" w:hAnsi="Arial"/>
                <w:sz w:val="18"/>
                <w:szCs w:val="18"/>
                <w:color w:val="auto"/>
              </w:rPr>
              <w:t>Compensation Committee</w:t>
            </w:r>
          </w:p>
        </w:tc>
        <w:tc>
          <w:tcPr>
            <w:tcW w:w="1400" w:type="dxa"/>
            <w:vAlign w:val="bottom"/>
            <w:tcBorders>
              <w:bottom w:val="single" w:sz="8" w:color="2D53A6"/>
            </w:tcBorders>
          </w:tcPr>
          <w:p>
            <w:pPr>
              <w:jc w:val="right"/>
              <w:spacing w:after="0"/>
              <w:rPr>
                <w:sz w:val="20"/>
                <w:szCs w:val="20"/>
                <w:color w:val="auto"/>
              </w:rPr>
            </w:pPr>
            <w:r>
              <w:rPr>
                <w:rFonts w:ascii="Arial" w:cs="Arial" w:eastAsia="Arial" w:hAnsi="Arial"/>
                <w:sz w:val="18"/>
                <w:szCs w:val="18"/>
                <w:color w:val="auto"/>
              </w:rPr>
              <w:t>$7,500</w:t>
            </w:r>
          </w:p>
        </w:tc>
        <w:tc>
          <w:tcPr>
            <w:tcW w:w="20" w:type="dxa"/>
            <w:vAlign w:val="bottom"/>
            <w:tcBorders>
              <w:bottom w:val="single" w:sz="8" w:color="2D53A6"/>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00" w:type="dxa"/>
            <w:vAlign w:val="bottom"/>
            <w:tcBorders>
              <w:bottom w:val="single" w:sz="8" w:color="2D53A6"/>
              <w:right w:val="single" w:sz="8" w:color="2D53A6"/>
            </w:tcBorders>
          </w:tcPr>
          <w:p>
            <w:pPr>
              <w:spacing w:after="0"/>
              <w:rPr>
                <w:sz w:val="18"/>
                <w:szCs w:val="18"/>
                <w:color w:val="auto"/>
              </w:rPr>
            </w:pPr>
          </w:p>
        </w:tc>
        <w:tc>
          <w:tcPr>
            <w:tcW w:w="4540" w:type="dxa"/>
            <w:vAlign w:val="bottom"/>
            <w:tcBorders>
              <w:bottom w:val="single" w:sz="8" w:color="2D53A6"/>
              <w:right w:val="single" w:sz="8" w:color="2D53A6"/>
            </w:tcBorders>
          </w:tcPr>
          <w:p>
            <w:pPr>
              <w:spacing w:after="0"/>
              <w:rPr>
                <w:sz w:val="20"/>
                <w:szCs w:val="20"/>
                <w:color w:val="auto"/>
              </w:rPr>
            </w:pPr>
            <w:r>
              <w:rPr>
                <w:rFonts w:ascii="Arial" w:cs="Arial" w:eastAsia="Arial" w:hAnsi="Arial"/>
                <w:sz w:val="18"/>
                <w:szCs w:val="18"/>
                <w:color w:val="auto"/>
              </w:rPr>
              <w:t>Nominating and Governance Committee</w:t>
            </w:r>
          </w:p>
        </w:tc>
        <w:tc>
          <w:tcPr>
            <w:tcW w:w="1420" w:type="dxa"/>
            <w:vAlign w:val="bottom"/>
            <w:tcBorders>
              <w:bottom w:val="single" w:sz="8" w:color="2D53A6"/>
            </w:tcBorders>
            <w:gridSpan w:val="2"/>
          </w:tcPr>
          <w:p>
            <w:pPr>
              <w:jc w:val="right"/>
              <w:ind w:right="2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right="180" w:hanging="332"/>
        <w:spacing w:after="0" w:line="277"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On May 5, 2021, the Board approved increasing the Audit Committee and Compensation Committee Chair annual fees from $22,000 to $25,000 and from $15,000 to $16,500, respectively.</w:t>
      </w:r>
    </w:p>
    <w:p>
      <w:pPr>
        <w:spacing w:after="0" w:line="170"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In addition to the retainers and fees noted above, non-employee directors are reimbursed for out-of-town travel and other reasonable out-of-pocket expenses related to attendance at Board and committee meetings.</w:t>
      </w:r>
    </w:p>
    <w:p>
      <w:pPr>
        <w:spacing w:after="0" w:line="170"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Under the terms and conditions of the Cohu 2005 Equity Incentive Plan (the “2005 Plan”), members of the Board may make an annual irrevocable election to defer receipt of all or a portion of their cash-based non-employee director fees (including, as applicable, any annual retainer fee, committee fee and any other compensation payable with respect to their service as a member of the Board). In the event that a director makes such an election, Cohu will grant deferred stock units (“DSUs”) in lieu of cash, with an initial value equal to the deferred cash, which will be settled at a future date through the issuance of Cohu common stock upon the first to occur of cessation of service as a director for any reason, a change in control of Cohu or a future date selected at the time of deferral. Mr. Bilodeau elected to defer 100% of his 2021 cash-based non-employee director fees.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i w:val="1"/>
          <w:iCs w:val="1"/>
          <w:color w:val="auto"/>
        </w:rPr>
        <w:t>Equity Compensation</w:t>
      </w:r>
    </w:p>
    <w:p>
      <w:pPr>
        <w:spacing w:after="0" w:line="225"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Non-employee directors participate in the 2005 Plan that provides for grants of restricted stock units or other forms of equity compensation to non-employee directors, as authorized by the Board. Cohu’s stock ownership guidelines provide that independent and non-employee directors should accumulate, over the three-year period commencing with their appointment or following an increase in the director’s annual cash retainer or a new guideline being approved, a minimum number of shares of Cohu stock with a value equal to three times the director’s annual cash retainer and should not sell any Cohu shares until these ownership guidelines are met and once met subsequent sales, if any, should not reduce their Cohu stock ownership below these minimum guideline amounts.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Equity compensation for non-employee directors during 2021 was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700" w:type="dxa"/>
            <w:vAlign w:val="bottom"/>
            <w:tcBorders>
              <w:top w:val="single" w:sz="8" w:color="2D53A6"/>
              <w:right w:val="single" w:sz="8" w:color="2D53A6"/>
            </w:tcBorders>
            <w:vMerge w:val="restart"/>
          </w:tcPr>
          <w:p>
            <w:pPr>
              <w:jc w:val="center"/>
              <w:spacing w:after="0"/>
              <w:rPr>
                <w:sz w:val="20"/>
                <w:szCs w:val="20"/>
                <w:color w:val="auto"/>
              </w:rPr>
            </w:pPr>
            <w:r>
              <w:rPr>
                <w:rFonts w:ascii="Arial" w:cs="Arial" w:eastAsia="Arial" w:hAnsi="Arial"/>
                <w:sz w:val="18"/>
                <w:szCs w:val="18"/>
                <w:color w:val="auto"/>
                <w:w w:val="95"/>
              </w:rPr>
              <w:t>Initial Appointment</w:t>
            </w:r>
          </w:p>
        </w:tc>
        <w:tc>
          <w:tcPr>
            <w:tcW w:w="2640" w:type="dxa"/>
            <w:vAlign w:val="bottom"/>
            <w:tcBorders>
              <w:top w:val="single" w:sz="8" w:color="2D53A6"/>
            </w:tcBorders>
          </w:tcPr>
          <w:p>
            <w:pPr>
              <w:spacing w:after="0"/>
              <w:rPr>
                <w:sz w:val="20"/>
                <w:szCs w:val="20"/>
                <w:color w:val="auto"/>
              </w:rPr>
            </w:pPr>
            <w:r>
              <w:rPr>
                <w:rFonts w:ascii="Arial" w:cs="Arial" w:eastAsia="Arial" w:hAnsi="Arial"/>
                <w:sz w:val="18"/>
                <w:szCs w:val="18"/>
                <w:color w:val="auto"/>
                <w:w w:val="91"/>
              </w:rPr>
              <w:t>RSUs with a total value of $150,000</w:t>
            </w:r>
          </w:p>
        </w:tc>
        <w:tc>
          <w:tcPr>
            <w:tcW w:w="6900" w:type="dxa"/>
            <w:vAlign w:val="bottom"/>
            <w:tcBorders>
              <w:top w:val="single" w:sz="8" w:color="2D53A6"/>
            </w:tcBorders>
          </w:tcPr>
          <w:p>
            <w:pPr>
              <w:ind w:left="20"/>
              <w:spacing w:after="0" w:line="216" w:lineRule="exact"/>
              <w:rPr>
                <w:sz w:val="20"/>
                <w:szCs w:val="20"/>
                <w:color w:val="auto"/>
              </w:rPr>
            </w:pPr>
            <w:r>
              <w:rPr>
                <w:rFonts w:ascii="Arial" w:cs="Arial" w:eastAsia="Arial" w:hAnsi="Arial"/>
                <w:sz w:val="24"/>
                <w:szCs w:val="24"/>
                <w:color w:val="auto"/>
                <w:vertAlign w:val="superscript"/>
              </w:rPr>
              <w:t>(1)</w:t>
            </w:r>
            <w:r>
              <w:rPr>
                <w:rFonts w:ascii="Arial" w:cs="Arial" w:eastAsia="Arial" w:hAnsi="Arial"/>
                <w:sz w:val="15"/>
                <w:szCs w:val="15"/>
                <w:color w:val="auto"/>
              </w:rPr>
              <w:t>, but the total value of such grant is prorated based on the period of time between</w:t>
            </w:r>
          </w:p>
        </w:tc>
        <w:tc>
          <w:tcPr>
            <w:tcW w:w="0" w:type="dxa"/>
            <w:vAlign w:val="bottom"/>
          </w:tcPr>
          <w:p>
            <w:pPr>
              <w:spacing w:after="0"/>
              <w:rPr>
                <w:sz w:val="1"/>
                <w:szCs w:val="1"/>
                <w:color w:val="auto"/>
              </w:rPr>
            </w:pPr>
          </w:p>
        </w:tc>
      </w:tr>
      <w:tr>
        <w:trPr>
          <w:trHeight w:val="230"/>
        </w:trPr>
        <w:tc>
          <w:tcPr>
            <w:tcW w:w="1700" w:type="dxa"/>
            <w:vAlign w:val="bottom"/>
            <w:tcBorders>
              <w:bottom w:val="single" w:sz="8" w:color="2D53A6"/>
              <w:right w:val="single" w:sz="8" w:color="2D53A6"/>
            </w:tcBorders>
            <w:vMerge w:val="continue"/>
          </w:tcPr>
          <w:p>
            <w:pPr>
              <w:spacing w:after="0"/>
              <w:rPr>
                <w:sz w:val="20"/>
                <w:szCs w:val="20"/>
                <w:color w:val="auto"/>
              </w:rPr>
            </w:pPr>
          </w:p>
        </w:tc>
        <w:tc>
          <w:tcPr>
            <w:tcW w:w="9540" w:type="dxa"/>
            <w:vAlign w:val="bottom"/>
            <w:tcBorders>
              <w:bottom w:val="single" w:sz="8" w:color="2D53A6"/>
            </w:tcBorders>
            <w:gridSpan w:val="2"/>
          </w:tcPr>
          <w:p>
            <w:pPr>
              <w:spacing w:after="0"/>
              <w:rPr>
                <w:sz w:val="20"/>
                <w:szCs w:val="20"/>
                <w:color w:val="auto"/>
              </w:rPr>
            </w:pPr>
            <w:r>
              <w:rPr>
                <w:rFonts w:ascii="Arial" w:cs="Arial" w:eastAsia="Arial" w:hAnsi="Arial"/>
                <w:sz w:val="18"/>
                <w:szCs w:val="18"/>
                <w:color w:val="auto"/>
              </w:rPr>
              <w:t>appointment as director and the next scheduled director annual equity grant date</w:t>
            </w:r>
          </w:p>
        </w:tc>
        <w:tc>
          <w:tcPr>
            <w:tcW w:w="0" w:type="dxa"/>
            <w:vAlign w:val="bottom"/>
          </w:tcPr>
          <w:p>
            <w:pPr>
              <w:spacing w:after="0"/>
              <w:rPr>
                <w:sz w:val="1"/>
                <w:szCs w:val="1"/>
                <w:color w:val="auto"/>
              </w:rPr>
            </w:pPr>
          </w:p>
        </w:tc>
      </w:tr>
      <w:tr>
        <w:trPr>
          <w:trHeight w:val="210"/>
        </w:trPr>
        <w:tc>
          <w:tcPr>
            <w:tcW w:w="170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2"/>
              </w:rPr>
              <w:t>Annual Grants</w:t>
            </w:r>
          </w:p>
        </w:tc>
        <w:tc>
          <w:tcPr>
            <w:tcW w:w="2640" w:type="dxa"/>
            <w:vAlign w:val="bottom"/>
            <w:tcBorders>
              <w:bottom w:val="single" w:sz="8" w:color="2D53A6"/>
            </w:tcBorders>
            <w:shd w:val="clear" w:color="auto" w:fill="E6E6E6"/>
          </w:tcPr>
          <w:p>
            <w:pPr>
              <w:spacing w:after="0"/>
              <w:rPr>
                <w:sz w:val="20"/>
                <w:szCs w:val="20"/>
                <w:color w:val="auto"/>
              </w:rPr>
            </w:pPr>
            <w:r>
              <w:rPr>
                <w:rFonts w:ascii="Arial" w:cs="Arial" w:eastAsia="Arial" w:hAnsi="Arial"/>
                <w:sz w:val="18"/>
                <w:szCs w:val="18"/>
                <w:color w:val="auto"/>
                <w:w w:val="91"/>
              </w:rPr>
              <w:t>RSUs with a total value of $150,000</w:t>
            </w:r>
          </w:p>
        </w:tc>
        <w:tc>
          <w:tcPr>
            <w:tcW w:w="6900" w:type="dxa"/>
            <w:vAlign w:val="bottom"/>
            <w:tcBorders>
              <w:bottom w:val="single" w:sz="8" w:color="2D53A6"/>
            </w:tcBorders>
            <w:shd w:val="clear" w:color="auto" w:fill="E6E6E6"/>
          </w:tcPr>
          <w:p>
            <w:pPr>
              <w:ind w:left="20"/>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(1) On May 5, 2021, the Board approved increasing the initial appointment and annual grant total value of each RSU grant from $125,000 to $150,000.</w:t>
      </w:r>
    </w:p>
    <w:p>
      <w:pPr>
        <w:spacing w:after="0" w:line="24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Each RSU represents a contingent right to receive one share of Cohu common stock upon vesting. Assuming continued service on the Board, the RSUs granted to non-employee directors upon their initial appointment to the Board will vest over three years, and shares are issued in three equal annual installments beginning one year after the date of grant. The annual RSU awards vest over approximately one year, and shares are issued upon the earlier to occur of the one-year anniversary of the grant date or the next annual meeting of stockholders. RSUs may be accelerated upon a change in control, as defined in the 2005 Plan.</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May 5, 2021, 4,001 RSUs were awarded to each of Mses. Camp and Richardson and Messrs. Bendush, Bilodeau, Caggia, and Donahue. Cohu will issue to each recipient, assuming continued service as a director, shares of Cohu common stock at the end of the required RSU vesting period. Ms. Jorden joined the Board on May 10, 2021 and received an initial grant of 4,035 RSUs.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Medical Benefits</w:t>
      </w:r>
    </w:p>
    <w:p>
      <w:pPr>
        <w:spacing w:after="0" w:line="225" w:lineRule="exact"/>
        <w:rPr>
          <w:sz w:val="20"/>
          <w:szCs w:val="20"/>
          <w:color w:val="auto"/>
        </w:rPr>
      </w:pPr>
    </w:p>
    <w:p>
      <w:pPr>
        <w:jc w:val="both"/>
        <w:ind w:right="760"/>
        <w:spacing w:after="0" w:line="342" w:lineRule="auto"/>
        <w:rPr>
          <w:sz w:val="20"/>
          <w:szCs w:val="20"/>
          <w:color w:val="auto"/>
        </w:rPr>
      </w:pPr>
      <w:r>
        <w:rPr>
          <w:rFonts w:ascii="Arial" w:cs="Arial" w:eastAsia="Arial" w:hAnsi="Arial"/>
          <w:sz w:val="16"/>
          <w:szCs w:val="16"/>
          <w:color w:val="auto"/>
        </w:rPr>
        <w:t>Mr. Donahue, who is a retired executive officer of Cohu, and his spouse receive medical benefits consisting of reimbursement of health insurance premiums and other medical costs not covered by insurance. These benefits are no longer offered to any current or other retired Cohu employees.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0"/>
        </w:trPr>
        <w:tc>
          <w:tcPr>
            <w:tcW w:w="3300" w:type="dxa"/>
            <w:vAlign w:val="bottom"/>
          </w:tcPr>
          <w:p>
            <w:pPr>
              <w:spacing w:after="0"/>
              <w:rPr>
                <w:sz w:val="20"/>
                <w:szCs w:val="20"/>
                <w:color w:val="auto"/>
              </w:rPr>
            </w:pPr>
            <w:r>
              <w:rPr>
                <w:rFonts w:ascii="Arial" w:cs="Arial" w:eastAsia="Arial" w:hAnsi="Arial"/>
                <w:sz w:val="18"/>
                <w:szCs w:val="18"/>
                <w:i w:val="1"/>
                <w:iCs w:val="1"/>
                <w:color w:val="auto"/>
              </w:rPr>
              <w:t>2021 Director Compensation</w:t>
            </w:r>
          </w:p>
        </w:tc>
        <w:tc>
          <w:tcPr>
            <w:tcW w:w="20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320" w:type="dxa"/>
            <w:vAlign w:val="bottom"/>
            <w:gridSpan w:val="4"/>
          </w:tcPr>
          <w:p>
            <w:pPr>
              <w:spacing w:after="0"/>
              <w:rPr>
                <w:sz w:val="20"/>
                <w:szCs w:val="20"/>
                <w:color w:val="auto"/>
              </w:rPr>
            </w:pPr>
            <w:r>
              <w:rPr>
                <w:rFonts w:ascii="Arial" w:cs="Arial" w:eastAsia="Arial" w:hAnsi="Arial"/>
                <w:sz w:val="18"/>
                <w:szCs w:val="18"/>
                <w:color w:val="auto"/>
              </w:rPr>
              <w:t>The following table provides information on compensation for Cohu’s non-employee directors for fiscal 2021.</w:t>
            </w:r>
          </w:p>
        </w:tc>
        <w:tc>
          <w:tcPr>
            <w:tcW w:w="1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300" w:type="dxa"/>
            <w:vAlign w:val="bottom"/>
            <w:tcBorders>
              <w:right w:val="single" w:sz="8" w:color="2D53A6"/>
            </w:tcBorders>
            <w:vMerge w:val="restart"/>
            <w:shd w:val="clear" w:color="auto" w:fill="2D53A6"/>
          </w:tcPr>
          <w:p>
            <w:pPr>
              <w:spacing w:after="0"/>
              <w:rPr>
                <w:sz w:val="20"/>
                <w:szCs w:val="20"/>
                <w:color w:val="auto"/>
              </w:rPr>
            </w:pPr>
            <w:r>
              <w:rPr>
                <w:rFonts w:ascii="Arial" w:cs="Arial" w:eastAsia="Arial" w:hAnsi="Arial"/>
                <w:sz w:val="18"/>
                <w:szCs w:val="18"/>
                <w:b w:val="1"/>
                <w:bCs w:val="1"/>
                <w:color w:val="FFFFFF"/>
              </w:rPr>
              <w:t>Name</w:t>
            </w:r>
          </w:p>
        </w:tc>
        <w:tc>
          <w:tcPr>
            <w:tcW w:w="2000" w:type="dxa"/>
            <w:vAlign w:val="bottom"/>
            <w:tcBorders>
              <w:right w:val="single" w:sz="8" w:color="2D53A6"/>
            </w:tcBorders>
            <w:shd w:val="clear" w:color="auto" w:fill="2D53A6"/>
          </w:tcPr>
          <w:p>
            <w:pPr>
              <w:jc w:val="right"/>
              <w:ind w:right="30"/>
              <w:spacing w:after="0" w:line="198" w:lineRule="exact"/>
              <w:rPr>
                <w:sz w:val="20"/>
                <w:szCs w:val="20"/>
                <w:color w:val="auto"/>
              </w:rPr>
            </w:pPr>
            <w:r>
              <w:rPr>
                <w:rFonts w:ascii="Arial" w:cs="Arial" w:eastAsia="Arial" w:hAnsi="Arial"/>
                <w:sz w:val="18"/>
                <w:szCs w:val="18"/>
                <w:b w:val="1"/>
                <w:bCs w:val="1"/>
                <w:color w:val="FFFFFF"/>
                <w:w w:val="95"/>
              </w:rPr>
              <w:t>Fees Earned or Paid in</w:t>
            </w:r>
          </w:p>
        </w:tc>
        <w:tc>
          <w:tcPr>
            <w:tcW w:w="2040" w:type="dxa"/>
            <w:vAlign w:val="bottom"/>
            <w:vMerge w:val="restart"/>
            <w:shd w:val="clear" w:color="auto" w:fill="2D53A6"/>
          </w:tcPr>
          <w:p>
            <w:pPr>
              <w:jc w:val="right"/>
              <w:ind w:right="170"/>
              <w:spacing w:after="0"/>
              <w:rPr>
                <w:sz w:val="20"/>
                <w:szCs w:val="20"/>
                <w:color w:val="auto"/>
              </w:rPr>
            </w:pPr>
            <w:r>
              <w:rPr>
                <w:rFonts w:ascii="Arial" w:cs="Arial" w:eastAsia="Arial" w:hAnsi="Arial"/>
                <w:sz w:val="18"/>
                <w:szCs w:val="18"/>
                <w:b w:val="1"/>
                <w:bCs w:val="1"/>
                <w:color w:val="FFFFFF"/>
              </w:rPr>
              <w:t xml:space="preserve">Stock Awards ($) </w:t>
            </w:r>
            <w:r>
              <w:rPr>
                <w:rFonts w:ascii="Arial" w:cs="Arial" w:eastAsia="Arial" w:hAnsi="Arial"/>
                <w:sz w:val="29"/>
                <w:szCs w:val="29"/>
                <w:b w:val="1"/>
                <w:bCs w:val="1"/>
                <w:color w:val="FFFFFF"/>
                <w:vertAlign w:val="superscript"/>
              </w:rPr>
              <w:t>(1)</w:t>
            </w:r>
          </w:p>
        </w:tc>
        <w:tc>
          <w:tcPr>
            <w:tcW w:w="1980" w:type="dxa"/>
            <w:vAlign w:val="bottom"/>
            <w:tcBorders>
              <w:right w:val="single" w:sz="8" w:color="2D53A6"/>
            </w:tcBorders>
            <w:shd w:val="clear" w:color="auto" w:fill="2D53A6"/>
          </w:tcPr>
          <w:p>
            <w:pPr>
              <w:jc w:val="right"/>
              <w:spacing w:after="0" w:line="198" w:lineRule="exact"/>
              <w:rPr>
                <w:sz w:val="20"/>
                <w:szCs w:val="20"/>
                <w:color w:val="auto"/>
              </w:rPr>
            </w:pPr>
            <w:r>
              <w:rPr>
                <w:rFonts w:ascii="Arial" w:cs="Arial" w:eastAsia="Arial" w:hAnsi="Arial"/>
                <w:sz w:val="18"/>
                <w:szCs w:val="18"/>
                <w:b w:val="1"/>
                <w:bCs w:val="1"/>
                <w:color w:val="FFFFFF"/>
                <w:w w:val="92"/>
              </w:rPr>
              <w:t>All Other Compensation</w:t>
            </w:r>
          </w:p>
        </w:tc>
        <w:tc>
          <w:tcPr>
            <w:tcW w:w="1920" w:type="dxa"/>
            <w:vAlign w:val="bottom"/>
            <w:vMerge w:val="restart"/>
            <w:shd w:val="clear" w:color="auto" w:fill="2D53A6"/>
          </w:tcPr>
          <w:p>
            <w:pPr>
              <w:jc w:val="right"/>
              <w:ind w:right="550"/>
              <w:spacing w:after="0"/>
              <w:rPr>
                <w:sz w:val="20"/>
                <w:szCs w:val="20"/>
                <w:color w:val="auto"/>
              </w:rPr>
            </w:pPr>
            <w:r>
              <w:rPr>
                <w:rFonts w:ascii="Arial" w:cs="Arial" w:eastAsia="Arial" w:hAnsi="Arial"/>
                <w:sz w:val="18"/>
                <w:szCs w:val="18"/>
                <w:b w:val="1"/>
                <w:bCs w:val="1"/>
                <w:color w:val="FFFFFF"/>
              </w:rPr>
              <w:t>Total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3300" w:type="dxa"/>
            <w:vAlign w:val="bottom"/>
            <w:tcBorders>
              <w:right w:val="single" w:sz="8" w:color="2D53A6"/>
            </w:tcBorders>
            <w:vMerge w:val="continue"/>
            <w:shd w:val="clear" w:color="auto" w:fill="2D53A6"/>
          </w:tcPr>
          <w:p>
            <w:pPr>
              <w:spacing w:after="0"/>
              <w:rPr>
                <w:sz w:val="15"/>
                <w:szCs w:val="15"/>
                <w:color w:val="auto"/>
              </w:rPr>
            </w:pPr>
          </w:p>
        </w:tc>
        <w:tc>
          <w:tcPr>
            <w:tcW w:w="2000" w:type="dxa"/>
            <w:vAlign w:val="bottom"/>
            <w:tcBorders>
              <w:right w:val="single" w:sz="8" w:color="2D53A6"/>
            </w:tcBorders>
            <w:vMerge w:val="restart"/>
            <w:shd w:val="clear" w:color="auto" w:fill="2D53A6"/>
          </w:tcPr>
          <w:p>
            <w:pPr>
              <w:jc w:val="right"/>
              <w:ind w:right="590"/>
              <w:spacing w:after="0"/>
              <w:rPr>
                <w:sz w:val="20"/>
                <w:szCs w:val="20"/>
                <w:color w:val="auto"/>
              </w:rPr>
            </w:pPr>
            <w:r>
              <w:rPr>
                <w:rFonts w:ascii="Arial" w:cs="Arial" w:eastAsia="Arial" w:hAnsi="Arial"/>
                <w:sz w:val="18"/>
                <w:szCs w:val="18"/>
                <w:b w:val="1"/>
                <w:bCs w:val="1"/>
                <w:color w:val="FFFFFF"/>
              </w:rPr>
              <w:t>Cash ($)</w:t>
            </w:r>
          </w:p>
        </w:tc>
        <w:tc>
          <w:tcPr>
            <w:tcW w:w="2040" w:type="dxa"/>
            <w:vAlign w:val="bottom"/>
            <w:vMerge w:val="continue"/>
            <w:shd w:val="clear" w:color="auto" w:fill="2D53A6"/>
          </w:tcPr>
          <w:p>
            <w:pPr>
              <w:spacing w:after="0"/>
              <w:rPr>
                <w:sz w:val="15"/>
                <w:szCs w:val="15"/>
                <w:color w:val="auto"/>
              </w:rPr>
            </w:pPr>
          </w:p>
        </w:tc>
        <w:tc>
          <w:tcPr>
            <w:tcW w:w="1980" w:type="dxa"/>
            <w:vAlign w:val="bottom"/>
            <w:tcBorders>
              <w:right w:val="single" w:sz="8" w:color="2D53A6"/>
            </w:tcBorders>
            <w:vMerge w:val="restart"/>
            <w:shd w:val="clear" w:color="auto" w:fill="2D53A6"/>
          </w:tcPr>
          <w:p>
            <w:pPr>
              <w:jc w:val="right"/>
              <w:ind w:right="711"/>
              <w:spacing w:after="0" w:line="235" w:lineRule="exact"/>
              <w:rPr>
                <w:sz w:val="20"/>
                <w:szCs w:val="20"/>
                <w:color w:val="auto"/>
              </w:rPr>
            </w:pPr>
            <w:r>
              <w:rPr>
                <w:rFonts w:ascii="Arial" w:cs="Arial" w:eastAsia="Arial" w:hAnsi="Arial"/>
                <w:sz w:val="17"/>
                <w:szCs w:val="17"/>
                <w:b w:val="1"/>
                <w:bCs w:val="1"/>
                <w:color w:val="FFFFFF"/>
              </w:rPr>
              <w:t xml:space="preserve">($) </w:t>
            </w:r>
            <w:r>
              <w:rPr>
                <w:rFonts w:ascii="Arial" w:cs="Arial" w:eastAsia="Arial" w:hAnsi="Arial"/>
                <w:sz w:val="27"/>
                <w:szCs w:val="27"/>
                <w:b w:val="1"/>
                <w:bCs w:val="1"/>
                <w:color w:val="FFFFFF"/>
                <w:vertAlign w:val="superscript"/>
              </w:rPr>
              <w:t>(2)</w:t>
            </w:r>
          </w:p>
        </w:tc>
        <w:tc>
          <w:tcPr>
            <w:tcW w:w="1920" w:type="dxa"/>
            <w:vAlign w:val="bottom"/>
            <w:vMerge w:val="continue"/>
            <w:shd w:val="clear" w:color="auto" w:fill="2D53A6"/>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3300" w:type="dxa"/>
            <w:vAlign w:val="bottom"/>
            <w:tcBorders>
              <w:right w:val="single" w:sz="8" w:color="2D53A6"/>
            </w:tcBorders>
            <w:shd w:val="clear" w:color="auto" w:fill="2D53A6"/>
          </w:tcPr>
          <w:p>
            <w:pPr>
              <w:spacing w:after="0"/>
              <w:rPr>
                <w:sz w:val="5"/>
                <w:szCs w:val="5"/>
                <w:color w:val="auto"/>
              </w:rPr>
            </w:pPr>
          </w:p>
        </w:tc>
        <w:tc>
          <w:tcPr>
            <w:tcW w:w="2000" w:type="dxa"/>
            <w:vAlign w:val="bottom"/>
            <w:tcBorders>
              <w:right w:val="single" w:sz="8" w:color="2D53A6"/>
            </w:tcBorders>
            <w:vMerge w:val="continue"/>
            <w:shd w:val="clear" w:color="auto" w:fill="2D53A6"/>
          </w:tcPr>
          <w:p>
            <w:pPr>
              <w:spacing w:after="0"/>
              <w:rPr>
                <w:sz w:val="5"/>
                <w:szCs w:val="5"/>
                <w:color w:val="auto"/>
              </w:rPr>
            </w:pPr>
          </w:p>
        </w:tc>
        <w:tc>
          <w:tcPr>
            <w:tcW w:w="2040" w:type="dxa"/>
            <w:vAlign w:val="bottom"/>
            <w:shd w:val="clear" w:color="auto" w:fill="2D53A6"/>
          </w:tcPr>
          <w:p>
            <w:pPr>
              <w:spacing w:after="0"/>
              <w:rPr>
                <w:sz w:val="5"/>
                <w:szCs w:val="5"/>
                <w:color w:val="auto"/>
              </w:rPr>
            </w:pPr>
          </w:p>
        </w:tc>
        <w:tc>
          <w:tcPr>
            <w:tcW w:w="1980" w:type="dxa"/>
            <w:vAlign w:val="bottom"/>
            <w:tcBorders>
              <w:right w:val="single" w:sz="8" w:color="2D53A6"/>
            </w:tcBorders>
            <w:vMerge w:val="continue"/>
            <w:shd w:val="clear" w:color="auto" w:fill="2D53A6"/>
          </w:tcPr>
          <w:p>
            <w:pPr>
              <w:spacing w:after="0"/>
              <w:rPr>
                <w:sz w:val="5"/>
                <w:szCs w:val="5"/>
                <w:color w:val="auto"/>
              </w:rPr>
            </w:pPr>
          </w:p>
        </w:tc>
        <w:tc>
          <w:tcPr>
            <w:tcW w:w="1920" w:type="dxa"/>
            <w:vAlign w:val="bottom"/>
            <w:shd w:val="clear" w:color="auto" w:fill="2D53A6"/>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300" w:type="dxa"/>
            <w:vAlign w:val="bottom"/>
            <w:tcBorders>
              <w:bottom w:val="single" w:sz="8" w:color="2D53A6"/>
              <w:right w:val="single" w:sz="8" w:color="2D53A6"/>
            </w:tcBorders>
          </w:tcPr>
          <w:p>
            <w:pPr>
              <w:spacing w:after="0"/>
              <w:rPr>
                <w:sz w:val="20"/>
                <w:szCs w:val="20"/>
                <w:color w:val="auto"/>
              </w:rPr>
            </w:pPr>
            <w:r>
              <w:rPr>
                <w:rFonts w:ascii="Arial" w:cs="Arial" w:eastAsia="Arial" w:hAnsi="Arial"/>
                <w:sz w:val="18"/>
                <w:szCs w:val="18"/>
                <w:color w:val="auto"/>
              </w:rPr>
              <w:t>William E. Bendush</w:t>
            </w:r>
          </w:p>
        </w:tc>
        <w:tc>
          <w:tcPr>
            <w:tcW w:w="200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88,962</w:t>
            </w:r>
          </w:p>
        </w:tc>
        <w:tc>
          <w:tcPr>
            <w:tcW w:w="2040" w:type="dxa"/>
            <w:vAlign w:val="bottom"/>
            <w:tcBorders>
              <w:bottom w:val="single" w:sz="8" w:color="2D53A6"/>
            </w:tcBorders>
          </w:tcPr>
          <w:p>
            <w:pPr>
              <w:jc w:val="right"/>
              <w:spacing w:after="0"/>
              <w:rPr>
                <w:sz w:val="20"/>
                <w:szCs w:val="20"/>
                <w:color w:val="auto"/>
              </w:rPr>
            </w:pPr>
            <w:r>
              <w:rPr>
                <w:rFonts w:ascii="Arial" w:cs="Arial" w:eastAsia="Arial" w:hAnsi="Arial"/>
                <w:sz w:val="18"/>
                <w:szCs w:val="18"/>
                <w:color w:val="auto"/>
              </w:rPr>
              <w:t>149,997</w:t>
            </w:r>
          </w:p>
        </w:tc>
        <w:tc>
          <w:tcPr>
            <w:tcW w:w="198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2D53A6"/>
            </w:tcBorders>
          </w:tcPr>
          <w:p>
            <w:pPr>
              <w:jc w:val="right"/>
              <w:spacing w:after="0"/>
              <w:rPr>
                <w:sz w:val="20"/>
                <w:szCs w:val="20"/>
                <w:color w:val="auto"/>
              </w:rPr>
            </w:pPr>
            <w:r>
              <w:rPr>
                <w:rFonts w:ascii="Arial" w:cs="Arial" w:eastAsia="Arial" w:hAnsi="Arial"/>
                <w:sz w:val="18"/>
                <w:szCs w:val="18"/>
                <w:color w:val="auto"/>
              </w:rPr>
              <w:t>238,959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300" w:type="dxa"/>
            <w:vAlign w:val="bottom"/>
            <w:tcBorders>
              <w:bottom w:val="single" w:sz="8" w:color="2D53A6"/>
              <w:right w:val="single" w:sz="8" w:color="2D53A6"/>
            </w:tcBorders>
            <w:shd w:val="clear" w:color="auto" w:fill="E6E6E6"/>
          </w:tcPr>
          <w:p>
            <w:pPr>
              <w:spacing w:after="0" w:line="210" w:lineRule="exact"/>
              <w:rPr>
                <w:sz w:val="20"/>
                <w:szCs w:val="20"/>
                <w:color w:val="auto"/>
              </w:rPr>
            </w:pPr>
            <w:r>
              <w:rPr>
                <w:rFonts w:ascii="Arial" w:cs="Arial" w:eastAsia="Arial" w:hAnsi="Arial"/>
                <w:sz w:val="15"/>
                <w:szCs w:val="15"/>
                <w:color w:val="auto"/>
              </w:rPr>
              <w:t xml:space="preserve">Steven J. Bilodeau </w:t>
            </w:r>
            <w:r>
              <w:rPr>
                <w:rFonts w:ascii="Arial" w:cs="Arial" w:eastAsia="Arial" w:hAnsi="Arial"/>
                <w:sz w:val="24"/>
                <w:szCs w:val="24"/>
                <w:color w:val="auto"/>
                <w:vertAlign w:val="superscript"/>
              </w:rPr>
              <w:t>(3)</w:t>
            </w:r>
          </w:p>
        </w:tc>
        <w:tc>
          <w:tcPr>
            <w:tcW w:w="200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95,981</w:t>
            </w:r>
          </w:p>
        </w:tc>
        <w:tc>
          <w:tcPr>
            <w:tcW w:w="2040" w:type="dxa"/>
            <w:vAlign w:val="bottom"/>
            <w:tcBorders>
              <w:bottom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149,997</w:t>
            </w:r>
          </w:p>
        </w:tc>
        <w:tc>
          <w:tcPr>
            <w:tcW w:w="198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245,978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00" w:type="dxa"/>
            <w:vAlign w:val="bottom"/>
            <w:tcBorders>
              <w:bottom w:val="single" w:sz="8" w:color="2D53A6"/>
              <w:right w:val="single" w:sz="8" w:color="2D53A6"/>
            </w:tcBorders>
          </w:tcPr>
          <w:p>
            <w:pPr>
              <w:spacing w:after="0" w:line="210" w:lineRule="exact"/>
              <w:rPr>
                <w:sz w:val="20"/>
                <w:szCs w:val="20"/>
                <w:color w:val="auto"/>
              </w:rPr>
            </w:pPr>
            <w:r>
              <w:rPr>
                <w:rFonts w:ascii="Arial" w:cs="Arial" w:eastAsia="Arial" w:hAnsi="Arial"/>
                <w:sz w:val="15"/>
                <w:szCs w:val="15"/>
                <w:color w:val="auto"/>
              </w:rPr>
              <w:t xml:space="preserve">Andrew M. Caggia </w:t>
            </w:r>
            <w:r>
              <w:rPr>
                <w:rFonts w:ascii="Arial" w:cs="Arial" w:eastAsia="Arial" w:hAnsi="Arial"/>
                <w:sz w:val="24"/>
                <w:szCs w:val="24"/>
                <w:color w:val="auto"/>
                <w:vertAlign w:val="superscript"/>
              </w:rPr>
              <w:t>(3)</w:t>
            </w:r>
          </w:p>
        </w:tc>
        <w:tc>
          <w:tcPr>
            <w:tcW w:w="200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80,000</w:t>
            </w:r>
          </w:p>
        </w:tc>
        <w:tc>
          <w:tcPr>
            <w:tcW w:w="2040" w:type="dxa"/>
            <w:vAlign w:val="bottom"/>
            <w:tcBorders>
              <w:bottom w:val="single" w:sz="8" w:color="2D53A6"/>
            </w:tcBorders>
          </w:tcPr>
          <w:p>
            <w:pPr>
              <w:jc w:val="right"/>
              <w:spacing w:after="0"/>
              <w:rPr>
                <w:sz w:val="20"/>
                <w:szCs w:val="20"/>
                <w:color w:val="auto"/>
              </w:rPr>
            </w:pPr>
            <w:r>
              <w:rPr>
                <w:rFonts w:ascii="Arial" w:cs="Arial" w:eastAsia="Arial" w:hAnsi="Arial"/>
                <w:sz w:val="18"/>
                <w:szCs w:val="18"/>
                <w:color w:val="auto"/>
              </w:rPr>
              <w:t>149,997</w:t>
            </w:r>
          </w:p>
        </w:tc>
        <w:tc>
          <w:tcPr>
            <w:tcW w:w="198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2D53A6"/>
            </w:tcBorders>
          </w:tcPr>
          <w:p>
            <w:pPr>
              <w:jc w:val="right"/>
              <w:spacing w:after="0"/>
              <w:rPr>
                <w:sz w:val="20"/>
                <w:szCs w:val="20"/>
                <w:color w:val="auto"/>
              </w:rPr>
            </w:pPr>
            <w:r>
              <w:rPr>
                <w:rFonts w:ascii="Arial" w:cs="Arial" w:eastAsia="Arial" w:hAnsi="Arial"/>
                <w:sz w:val="18"/>
                <w:szCs w:val="18"/>
                <w:color w:val="auto"/>
              </w:rPr>
              <w:t>229,997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300" w:type="dxa"/>
            <w:vAlign w:val="bottom"/>
            <w:tcBorders>
              <w:bottom w:val="single" w:sz="8" w:color="2D53A6"/>
              <w:right w:val="single" w:sz="8" w:color="2D53A6"/>
            </w:tcBorders>
            <w:shd w:val="clear" w:color="auto" w:fill="E6E6E6"/>
          </w:tcPr>
          <w:p>
            <w:pPr>
              <w:spacing w:after="0"/>
              <w:rPr>
                <w:sz w:val="20"/>
                <w:szCs w:val="20"/>
                <w:color w:val="auto"/>
              </w:rPr>
            </w:pPr>
            <w:r>
              <w:rPr>
                <w:rFonts w:ascii="Arial" w:cs="Arial" w:eastAsia="Arial" w:hAnsi="Arial"/>
                <w:sz w:val="18"/>
                <w:szCs w:val="18"/>
                <w:color w:val="auto"/>
              </w:rPr>
              <w:t>Lynne J. Camp</w:t>
            </w:r>
          </w:p>
        </w:tc>
        <w:tc>
          <w:tcPr>
            <w:tcW w:w="200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67,500</w:t>
            </w:r>
          </w:p>
        </w:tc>
        <w:tc>
          <w:tcPr>
            <w:tcW w:w="2040" w:type="dxa"/>
            <w:vAlign w:val="bottom"/>
            <w:tcBorders>
              <w:bottom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149,997</w:t>
            </w:r>
          </w:p>
        </w:tc>
        <w:tc>
          <w:tcPr>
            <w:tcW w:w="198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217,497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00" w:type="dxa"/>
            <w:vAlign w:val="bottom"/>
            <w:tcBorders>
              <w:bottom w:val="single" w:sz="8" w:color="2D53A6"/>
              <w:right w:val="single" w:sz="8" w:color="2D53A6"/>
            </w:tcBorders>
          </w:tcPr>
          <w:p>
            <w:pPr>
              <w:spacing w:after="0"/>
              <w:rPr>
                <w:sz w:val="20"/>
                <w:szCs w:val="20"/>
                <w:color w:val="auto"/>
              </w:rPr>
            </w:pPr>
            <w:r>
              <w:rPr>
                <w:rFonts w:ascii="Arial" w:cs="Arial" w:eastAsia="Arial" w:hAnsi="Arial"/>
                <w:sz w:val="18"/>
                <w:szCs w:val="18"/>
                <w:color w:val="auto"/>
              </w:rPr>
              <w:t>James A. Donahue</w:t>
            </w:r>
          </w:p>
        </w:tc>
        <w:tc>
          <w:tcPr>
            <w:tcW w:w="200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95,000</w:t>
            </w:r>
          </w:p>
        </w:tc>
        <w:tc>
          <w:tcPr>
            <w:tcW w:w="2040" w:type="dxa"/>
            <w:vAlign w:val="bottom"/>
            <w:tcBorders>
              <w:bottom w:val="single" w:sz="8" w:color="2D53A6"/>
            </w:tcBorders>
          </w:tcPr>
          <w:p>
            <w:pPr>
              <w:jc w:val="right"/>
              <w:spacing w:after="0"/>
              <w:rPr>
                <w:sz w:val="20"/>
                <w:szCs w:val="20"/>
                <w:color w:val="auto"/>
              </w:rPr>
            </w:pPr>
            <w:r>
              <w:rPr>
                <w:rFonts w:ascii="Arial" w:cs="Arial" w:eastAsia="Arial" w:hAnsi="Arial"/>
                <w:sz w:val="18"/>
                <w:szCs w:val="18"/>
                <w:color w:val="auto"/>
              </w:rPr>
              <w:t>149,997</w:t>
            </w:r>
          </w:p>
        </w:tc>
        <w:tc>
          <w:tcPr>
            <w:tcW w:w="198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17,901</w:t>
            </w:r>
          </w:p>
        </w:tc>
        <w:tc>
          <w:tcPr>
            <w:tcW w:w="1920" w:type="dxa"/>
            <w:vAlign w:val="bottom"/>
            <w:tcBorders>
              <w:bottom w:val="single" w:sz="8" w:color="2D53A6"/>
            </w:tcBorders>
          </w:tcPr>
          <w:p>
            <w:pPr>
              <w:jc w:val="right"/>
              <w:spacing w:after="0"/>
              <w:rPr>
                <w:sz w:val="20"/>
                <w:szCs w:val="20"/>
                <w:color w:val="auto"/>
              </w:rPr>
            </w:pPr>
            <w:r>
              <w:rPr>
                <w:rFonts w:ascii="Arial" w:cs="Arial" w:eastAsia="Arial" w:hAnsi="Arial"/>
                <w:sz w:val="18"/>
                <w:szCs w:val="18"/>
                <w:color w:val="auto"/>
              </w:rPr>
              <w:t>262,898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300" w:type="dxa"/>
            <w:vAlign w:val="bottom"/>
            <w:tcBorders>
              <w:bottom w:val="single" w:sz="8" w:color="2D53A6"/>
              <w:right w:val="single" w:sz="8" w:color="2D53A6"/>
            </w:tcBorders>
            <w:shd w:val="clear" w:color="auto" w:fill="E6E6E6"/>
          </w:tcPr>
          <w:p>
            <w:pPr>
              <w:spacing w:after="0" w:line="210" w:lineRule="exact"/>
              <w:rPr>
                <w:sz w:val="20"/>
                <w:szCs w:val="20"/>
                <w:color w:val="auto"/>
              </w:rPr>
            </w:pPr>
            <w:r>
              <w:rPr>
                <w:rFonts w:ascii="Arial" w:cs="Arial" w:eastAsia="Arial" w:hAnsi="Arial"/>
                <w:sz w:val="15"/>
                <w:szCs w:val="15"/>
                <w:color w:val="auto"/>
              </w:rPr>
              <w:t xml:space="preserve">Yon Y. Jorden </w:t>
            </w:r>
            <w:r>
              <w:rPr>
                <w:rFonts w:ascii="Arial" w:cs="Arial" w:eastAsia="Arial" w:hAnsi="Arial"/>
                <w:sz w:val="24"/>
                <w:szCs w:val="24"/>
                <w:color w:val="auto"/>
                <w:vertAlign w:val="superscript"/>
              </w:rPr>
              <w:t>(4)</w:t>
            </w:r>
          </w:p>
        </w:tc>
        <w:tc>
          <w:tcPr>
            <w:tcW w:w="200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44,423</w:t>
            </w:r>
          </w:p>
        </w:tc>
        <w:tc>
          <w:tcPr>
            <w:tcW w:w="2040" w:type="dxa"/>
            <w:vAlign w:val="bottom"/>
            <w:tcBorders>
              <w:bottom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147,520</w:t>
            </w:r>
          </w:p>
        </w:tc>
        <w:tc>
          <w:tcPr>
            <w:tcW w:w="198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191,943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300" w:type="dxa"/>
            <w:vAlign w:val="bottom"/>
            <w:tcBorders>
              <w:bottom w:val="single" w:sz="8" w:color="2D53A6"/>
              <w:right w:val="single" w:sz="8" w:color="2D53A6"/>
            </w:tcBorders>
          </w:tcPr>
          <w:p>
            <w:pPr>
              <w:spacing w:after="0" w:line="210" w:lineRule="exact"/>
              <w:rPr>
                <w:sz w:val="20"/>
                <w:szCs w:val="20"/>
                <w:color w:val="auto"/>
              </w:rPr>
            </w:pPr>
            <w:r>
              <w:rPr>
                <w:rFonts w:ascii="Arial" w:cs="Arial" w:eastAsia="Arial" w:hAnsi="Arial"/>
                <w:sz w:val="15"/>
                <w:szCs w:val="15"/>
                <w:color w:val="auto"/>
              </w:rPr>
              <w:t xml:space="preserve">Nina L. Richardson </w:t>
            </w:r>
            <w:r>
              <w:rPr>
                <w:rFonts w:ascii="Arial" w:cs="Arial" w:eastAsia="Arial" w:hAnsi="Arial"/>
                <w:sz w:val="24"/>
                <w:szCs w:val="24"/>
                <w:color w:val="auto"/>
                <w:vertAlign w:val="superscript"/>
              </w:rPr>
              <w:t>(3)</w:t>
            </w:r>
          </w:p>
        </w:tc>
        <w:tc>
          <w:tcPr>
            <w:tcW w:w="200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68,413</w:t>
            </w:r>
          </w:p>
        </w:tc>
        <w:tc>
          <w:tcPr>
            <w:tcW w:w="2040" w:type="dxa"/>
            <w:vAlign w:val="bottom"/>
            <w:tcBorders>
              <w:bottom w:val="single" w:sz="8" w:color="2D53A6"/>
            </w:tcBorders>
          </w:tcPr>
          <w:p>
            <w:pPr>
              <w:jc w:val="right"/>
              <w:spacing w:after="0"/>
              <w:rPr>
                <w:sz w:val="20"/>
                <w:szCs w:val="20"/>
                <w:color w:val="auto"/>
              </w:rPr>
            </w:pPr>
            <w:r>
              <w:rPr>
                <w:rFonts w:ascii="Arial" w:cs="Arial" w:eastAsia="Arial" w:hAnsi="Arial"/>
                <w:sz w:val="18"/>
                <w:szCs w:val="18"/>
                <w:color w:val="auto"/>
              </w:rPr>
              <w:t>149,997</w:t>
            </w:r>
          </w:p>
        </w:tc>
        <w:tc>
          <w:tcPr>
            <w:tcW w:w="198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2D53A6"/>
            </w:tcBorders>
          </w:tcPr>
          <w:p>
            <w:pPr>
              <w:jc w:val="right"/>
              <w:spacing w:after="0"/>
              <w:rPr>
                <w:sz w:val="20"/>
                <w:szCs w:val="20"/>
                <w:color w:val="auto"/>
              </w:rPr>
            </w:pPr>
            <w:r>
              <w:rPr>
                <w:rFonts w:ascii="Arial" w:cs="Arial" w:eastAsia="Arial" w:hAnsi="Arial"/>
                <w:sz w:val="18"/>
                <w:szCs w:val="18"/>
                <w:color w:val="auto"/>
              </w:rPr>
              <w:t>218,410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00" w:type="dxa"/>
            <w:vAlign w:val="bottom"/>
            <w:tcBorders>
              <w:bottom w:val="single" w:sz="8" w:color="2D53A6"/>
              <w:right w:val="single" w:sz="8" w:color="2D53A6"/>
            </w:tcBorders>
            <w:shd w:val="clear" w:color="auto" w:fill="E6E6E6"/>
          </w:tcPr>
          <w:p>
            <w:pPr>
              <w:spacing w:after="0" w:line="210" w:lineRule="exact"/>
              <w:rPr>
                <w:sz w:val="20"/>
                <w:szCs w:val="20"/>
                <w:color w:val="auto"/>
              </w:rPr>
            </w:pPr>
            <w:r>
              <w:rPr>
                <w:rFonts w:ascii="Arial" w:cs="Arial" w:eastAsia="Arial" w:hAnsi="Arial"/>
                <w:sz w:val="15"/>
                <w:szCs w:val="15"/>
                <w:color w:val="auto"/>
              </w:rPr>
              <w:t xml:space="preserve">Jorge L. Titinger </w:t>
            </w:r>
            <w:r>
              <w:rPr>
                <w:rFonts w:ascii="Arial" w:cs="Arial" w:eastAsia="Arial" w:hAnsi="Arial"/>
                <w:sz w:val="24"/>
                <w:szCs w:val="24"/>
                <w:color w:val="auto"/>
                <w:vertAlign w:val="superscript"/>
              </w:rPr>
              <w:t>(5)</w:t>
            </w:r>
          </w:p>
        </w:tc>
        <w:tc>
          <w:tcPr>
            <w:tcW w:w="200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24,663</w:t>
            </w:r>
          </w:p>
        </w:tc>
        <w:tc>
          <w:tcPr>
            <w:tcW w:w="2040" w:type="dxa"/>
            <w:vAlign w:val="bottom"/>
            <w:tcBorders>
              <w:bottom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24,663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4629785</wp:posOffset>
            </wp:positionH>
            <wp:positionV relativeFrom="paragraph">
              <wp:posOffset>-1461135</wp:posOffset>
            </wp:positionV>
            <wp:extent cx="34290" cy="14744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 cy="1474470"/>
                    </a:xfrm>
                    <a:prstGeom prst="rect">
                      <a:avLst/>
                    </a:prstGeom>
                    <a:noFill/>
                  </pic:spPr>
                </pic:pic>
              </a:graphicData>
            </a:graphic>
          </wp:anchor>
        </w:drawing>
      </w:r>
    </w:p>
    <w:p>
      <w:pPr>
        <w:spacing w:after="0" w:line="182" w:lineRule="exact"/>
        <w:rPr>
          <w:sz w:val="20"/>
          <w:szCs w:val="20"/>
          <w:color w:val="auto"/>
        </w:rPr>
      </w:pPr>
    </w:p>
    <w:p>
      <w:pPr>
        <w:ind w:left="340" w:right="20" w:hanging="332"/>
        <w:spacing w:after="0" w:line="252"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Amounts shown do not reflect compensation actually received by the directors. Instead, the amounts above are the grant date fair value for stock awards issued in the form of RSUs granted in fiscal 2021 calculated in accordance with FASB ASC Topic 718. The assumptions used to calculate the grant date fair value of the stock awards are set forth in Note 6, “Employee Benefit Plans”, included in Part IV, Item 15(a) of Cohu’s Annual Report on Form 10-K for the year ended December 25, 2021, filed with the SEC. The derived grant date fair value for the stock award is recognized, for financial statement purposes, over the number of days of service required for the award to vest in full. As of December 25, 2021, Mses. Camp, Jorden and Richardson had 6,298, 4,035 and 5,923 unvested RSUs outstanding, respectively, and Messrs. Bendush, Bilodeau, Caggia and Donahue each had 4,001 unvested RSUs outstanding.</w:t>
      </w:r>
    </w:p>
    <w:p>
      <w:pPr>
        <w:spacing w:after="0" w:line="5" w:lineRule="exact"/>
        <w:rPr>
          <w:rFonts w:ascii="Arial" w:cs="Arial" w:eastAsia="Arial" w:hAnsi="Arial"/>
          <w:sz w:val="18"/>
          <w:szCs w:val="18"/>
          <w:color w:val="auto"/>
        </w:rPr>
      </w:pPr>
    </w:p>
    <w:p>
      <w:pPr>
        <w:ind w:left="340" w:right="300" w:hanging="332"/>
        <w:spacing w:after="0" w:line="250"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Amount shown for Mr. Donahue is for reimbursement of health insurance premiums and other medical costs for him and his spouse not covered by insurance.</w:t>
      </w:r>
    </w:p>
    <w:p>
      <w:pPr>
        <w:jc w:val="both"/>
        <w:ind w:left="340" w:right="100" w:hanging="332"/>
        <w:spacing w:after="0" w:line="250"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During the year ended December 25, 2021, Mr. Bilodeau elected to defer his cash director fees. The deferred amounts are credited in the form of DSU awards and ultimately payable in shares of Cohu common stock, if the director ceases to be a director for any reason, upon the occurrence of a change in control of Cohu or at a future date selected at the time of deferral. As of December 25, 2021, Ms. Richardson and Messrs. Bilodeau and Caggia had 11,992, 53,954 and 25,875 DSUs, respectively.</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Ms. Jorden was appointed to the Board effective May 10, 2021.</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Mr. Titinger did not stand for re-election effective May 5, 2021, and fees shown above represent amounts earned prior to his departure from the Board.</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6" w:name="page27"/>
    <w:bookmarkEnd w:id="26"/>
    <w:p>
      <w:pPr>
        <w:ind w:left="340"/>
        <w:spacing w:after="0"/>
        <w:rPr>
          <w:sz w:val="20"/>
          <w:szCs w:val="20"/>
          <w:color w:val="auto"/>
        </w:rPr>
      </w:pPr>
      <w:r>
        <w:rPr>
          <w:rFonts w:ascii="Arial" w:cs="Arial" w:eastAsia="Arial" w:hAnsi="Arial"/>
          <w:sz w:val="32"/>
          <w:szCs w:val="32"/>
          <w:b w:val="1"/>
          <w:bCs w:val="1"/>
          <w:color w:val="FFFFFF"/>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5054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505460"/>
                    </a:xfrm>
                    <a:prstGeom prst="rect">
                      <a:avLst/>
                    </a:prstGeom>
                    <a:noFill/>
                  </pic:spPr>
                </pic:pic>
              </a:graphicData>
            </a:graphic>
          </wp:anchor>
        </w:drawing>
        <w:t>Compensation Matters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b w:val="1"/>
          <w:bCs w:val="1"/>
          <w:color w:val="2D53A6"/>
        </w:rPr>
        <w:t>Executive Compensation and Other Information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2D53A6"/>
        </w:rPr>
        <w:t>Compensation Discussion and Analysis</w:t>
      </w:r>
    </w:p>
    <w:p>
      <w:pPr>
        <w:spacing w:after="0" w:line="225"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This Compensation Discussion and Analysis provides information regarding the 2021 compensation program for our Chief Executive Officer, Chief Financial Officer, and the next three most highly compensated executive officers of Cohu at the end of 2021. These individuals were: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20" w:type="dxa"/>
            <w:vAlign w:val="bottom"/>
            <w:tcBorders>
              <w:right w:val="single" w:sz="8" w:color="2D53A6"/>
            </w:tcBorders>
            <w:shd w:val="clear" w:color="auto" w:fill="2D53A6"/>
          </w:tcPr>
          <w:p>
            <w:pPr>
              <w:spacing w:after="0"/>
              <w:rPr>
                <w:sz w:val="20"/>
                <w:szCs w:val="20"/>
                <w:color w:val="auto"/>
              </w:rPr>
            </w:pPr>
            <w:r>
              <w:rPr>
                <w:rFonts w:ascii="Arial" w:cs="Arial" w:eastAsia="Arial" w:hAnsi="Arial"/>
                <w:sz w:val="18"/>
                <w:szCs w:val="18"/>
                <w:b w:val="1"/>
                <w:bCs w:val="1"/>
                <w:color w:val="FFFFFF"/>
              </w:rPr>
              <w:t>Named Executive Officer</w:t>
            </w:r>
          </w:p>
        </w:tc>
        <w:tc>
          <w:tcPr>
            <w:tcW w:w="6520" w:type="dxa"/>
            <w:vAlign w:val="bottom"/>
            <w:shd w:val="clear" w:color="auto" w:fill="2D53A6"/>
          </w:tcPr>
          <w:p>
            <w:pPr>
              <w:spacing w:after="0"/>
              <w:rPr>
                <w:sz w:val="20"/>
                <w:szCs w:val="20"/>
                <w:color w:val="auto"/>
              </w:rPr>
            </w:pPr>
            <w:r>
              <w:rPr>
                <w:rFonts w:ascii="Arial" w:cs="Arial" w:eastAsia="Arial" w:hAnsi="Arial"/>
                <w:sz w:val="18"/>
                <w:szCs w:val="18"/>
                <w:b w:val="1"/>
                <w:bCs w:val="1"/>
                <w:color w:val="FFFFFF"/>
              </w:rPr>
              <w:t>Position(s)</w:t>
            </w:r>
          </w:p>
        </w:tc>
      </w:tr>
      <w:tr>
        <w:trPr>
          <w:trHeight w:val="216"/>
        </w:trPr>
        <w:tc>
          <w:tcPr>
            <w:tcW w:w="4720" w:type="dxa"/>
            <w:vAlign w:val="bottom"/>
            <w:tcBorders>
              <w:bottom w:val="single" w:sz="8" w:color="2D53A6"/>
              <w:right w:val="single" w:sz="8" w:color="2D53A6"/>
            </w:tcBorders>
          </w:tcPr>
          <w:p>
            <w:pPr>
              <w:spacing w:after="0"/>
              <w:rPr>
                <w:sz w:val="20"/>
                <w:szCs w:val="20"/>
                <w:color w:val="auto"/>
              </w:rPr>
            </w:pPr>
            <w:r>
              <w:rPr>
                <w:rFonts w:ascii="Arial" w:cs="Arial" w:eastAsia="Arial" w:hAnsi="Arial"/>
                <w:sz w:val="18"/>
                <w:szCs w:val="18"/>
                <w:color w:val="auto"/>
              </w:rPr>
              <w:t>Luis A. Müller</w:t>
            </w:r>
          </w:p>
        </w:tc>
        <w:tc>
          <w:tcPr>
            <w:tcW w:w="6520" w:type="dxa"/>
            <w:vAlign w:val="bottom"/>
            <w:tcBorders>
              <w:bottom w:val="single" w:sz="8" w:color="2D53A6"/>
            </w:tcBorders>
          </w:tcPr>
          <w:p>
            <w:pPr>
              <w:spacing w:after="0"/>
              <w:rPr>
                <w:sz w:val="20"/>
                <w:szCs w:val="20"/>
                <w:color w:val="auto"/>
              </w:rPr>
            </w:pPr>
            <w:r>
              <w:rPr>
                <w:rFonts w:ascii="Arial" w:cs="Arial" w:eastAsia="Arial" w:hAnsi="Arial"/>
                <w:sz w:val="18"/>
                <w:szCs w:val="18"/>
                <w:color w:val="auto"/>
              </w:rPr>
              <w:t>President and Chief Executive Officer (our “CEO”)</w:t>
            </w:r>
          </w:p>
        </w:tc>
      </w:tr>
      <w:tr>
        <w:trPr>
          <w:trHeight w:val="209"/>
        </w:trPr>
        <w:tc>
          <w:tcPr>
            <w:tcW w:w="4720" w:type="dxa"/>
            <w:vAlign w:val="bottom"/>
            <w:tcBorders>
              <w:bottom w:val="single" w:sz="8" w:color="2D53A6"/>
              <w:right w:val="single" w:sz="8" w:color="2D53A6"/>
            </w:tcBorders>
            <w:shd w:val="clear" w:color="auto" w:fill="E6E6E6"/>
          </w:tcPr>
          <w:p>
            <w:pPr>
              <w:spacing w:after="0"/>
              <w:rPr>
                <w:sz w:val="20"/>
                <w:szCs w:val="20"/>
                <w:color w:val="auto"/>
              </w:rPr>
            </w:pPr>
            <w:r>
              <w:rPr>
                <w:rFonts w:ascii="Arial" w:cs="Arial" w:eastAsia="Arial" w:hAnsi="Arial"/>
                <w:sz w:val="18"/>
                <w:szCs w:val="18"/>
                <w:color w:val="auto"/>
              </w:rPr>
              <w:t>Jeffrey D. Jones</w:t>
            </w:r>
          </w:p>
        </w:tc>
        <w:tc>
          <w:tcPr>
            <w:tcW w:w="6520" w:type="dxa"/>
            <w:vAlign w:val="bottom"/>
            <w:tcBorders>
              <w:bottom w:val="single" w:sz="8" w:color="2D53A6"/>
            </w:tcBorders>
            <w:shd w:val="clear" w:color="auto" w:fill="E6E6E6"/>
          </w:tcPr>
          <w:p>
            <w:pPr>
              <w:spacing w:after="0" w:line="210" w:lineRule="exact"/>
              <w:rPr>
                <w:sz w:val="20"/>
                <w:szCs w:val="20"/>
                <w:color w:val="auto"/>
              </w:rPr>
            </w:pPr>
            <w:r>
              <w:rPr>
                <w:rFonts w:ascii="Arial" w:cs="Arial" w:eastAsia="Arial" w:hAnsi="Arial"/>
                <w:sz w:val="15"/>
                <w:szCs w:val="15"/>
                <w:color w:val="auto"/>
              </w:rPr>
              <w:t xml:space="preserve">Senior Vice President Finance and Chief Financial Officer </w:t>
            </w:r>
            <w:r>
              <w:rPr>
                <w:rFonts w:ascii="Arial" w:cs="Arial" w:eastAsia="Arial" w:hAnsi="Arial"/>
                <w:sz w:val="24"/>
                <w:szCs w:val="24"/>
                <w:color w:val="auto"/>
                <w:vertAlign w:val="superscript"/>
              </w:rPr>
              <w:t>(1)</w:t>
            </w:r>
          </w:p>
        </w:tc>
      </w:tr>
      <w:tr>
        <w:trPr>
          <w:trHeight w:val="210"/>
        </w:trPr>
        <w:tc>
          <w:tcPr>
            <w:tcW w:w="4720" w:type="dxa"/>
            <w:vAlign w:val="bottom"/>
            <w:tcBorders>
              <w:bottom w:val="single" w:sz="8" w:color="2D53A6"/>
              <w:right w:val="single" w:sz="8" w:color="2D53A6"/>
            </w:tcBorders>
          </w:tcPr>
          <w:p>
            <w:pPr>
              <w:spacing w:after="0"/>
              <w:rPr>
                <w:sz w:val="20"/>
                <w:szCs w:val="20"/>
                <w:color w:val="auto"/>
              </w:rPr>
            </w:pPr>
            <w:r>
              <w:rPr>
                <w:rFonts w:ascii="Arial" w:cs="Arial" w:eastAsia="Arial" w:hAnsi="Arial"/>
                <w:sz w:val="18"/>
                <w:szCs w:val="18"/>
                <w:color w:val="auto"/>
              </w:rPr>
              <w:t>Christopher G. Bohrson</w:t>
            </w:r>
          </w:p>
        </w:tc>
        <w:tc>
          <w:tcPr>
            <w:tcW w:w="6520" w:type="dxa"/>
            <w:vAlign w:val="bottom"/>
            <w:tcBorders>
              <w:bottom w:val="single" w:sz="8" w:color="2D53A6"/>
            </w:tcBorders>
          </w:tcPr>
          <w:p>
            <w:pPr>
              <w:spacing w:after="0"/>
              <w:rPr>
                <w:sz w:val="20"/>
                <w:szCs w:val="20"/>
                <w:color w:val="auto"/>
              </w:rPr>
            </w:pPr>
            <w:r>
              <w:rPr>
                <w:rFonts w:ascii="Arial" w:cs="Arial" w:eastAsia="Arial" w:hAnsi="Arial"/>
                <w:sz w:val="18"/>
                <w:szCs w:val="18"/>
                <w:color w:val="auto"/>
              </w:rPr>
              <w:t>Senior Vice President, Global Customer Group</w:t>
            </w:r>
          </w:p>
        </w:tc>
      </w:tr>
      <w:tr>
        <w:trPr>
          <w:trHeight w:val="209"/>
        </w:trPr>
        <w:tc>
          <w:tcPr>
            <w:tcW w:w="4720" w:type="dxa"/>
            <w:vAlign w:val="bottom"/>
            <w:tcBorders>
              <w:bottom w:val="single" w:sz="8" w:color="2D53A6"/>
              <w:right w:val="single" w:sz="8" w:color="2D53A6"/>
            </w:tcBorders>
            <w:shd w:val="clear" w:color="auto" w:fill="E6E6E6"/>
          </w:tcPr>
          <w:p>
            <w:pPr>
              <w:spacing w:after="0"/>
              <w:rPr>
                <w:sz w:val="20"/>
                <w:szCs w:val="20"/>
                <w:color w:val="auto"/>
              </w:rPr>
            </w:pPr>
            <w:r>
              <w:rPr>
                <w:rFonts w:ascii="Arial" w:cs="Arial" w:eastAsia="Arial" w:hAnsi="Arial"/>
                <w:sz w:val="18"/>
                <w:szCs w:val="18"/>
                <w:color w:val="auto"/>
              </w:rPr>
              <w:t>Thomas D. Kampfer</w:t>
            </w:r>
          </w:p>
        </w:tc>
        <w:tc>
          <w:tcPr>
            <w:tcW w:w="6520" w:type="dxa"/>
            <w:vAlign w:val="bottom"/>
            <w:tcBorders>
              <w:bottom w:val="single" w:sz="8" w:color="2D53A6"/>
            </w:tcBorders>
            <w:shd w:val="clear" w:color="auto" w:fill="E6E6E6"/>
          </w:tcPr>
          <w:p>
            <w:pPr>
              <w:spacing w:after="0"/>
              <w:rPr>
                <w:sz w:val="20"/>
                <w:szCs w:val="20"/>
                <w:color w:val="auto"/>
              </w:rPr>
            </w:pPr>
            <w:r>
              <w:rPr>
                <w:rFonts w:ascii="Arial" w:cs="Arial" w:eastAsia="Arial" w:hAnsi="Arial"/>
                <w:sz w:val="18"/>
                <w:szCs w:val="18"/>
                <w:color w:val="auto"/>
              </w:rPr>
              <w:t>Vice President Corporate Development, General Counsel and Secretary</w:t>
            </w:r>
          </w:p>
        </w:tc>
      </w:tr>
      <w:tr>
        <w:trPr>
          <w:trHeight w:val="209"/>
        </w:trPr>
        <w:tc>
          <w:tcPr>
            <w:tcW w:w="4720" w:type="dxa"/>
            <w:vAlign w:val="bottom"/>
            <w:tcBorders>
              <w:bottom w:val="single" w:sz="8" w:color="2D53A6"/>
              <w:right w:val="single" w:sz="8" w:color="2D53A6"/>
            </w:tcBorders>
          </w:tcPr>
          <w:p>
            <w:pPr>
              <w:spacing w:after="0"/>
              <w:rPr>
                <w:sz w:val="20"/>
                <w:szCs w:val="20"/>
                <w:color w:val="auto"/>
              </w:rPr>
            </w:pPr>
            <w:r>
              <w:rPr>
                <w:rFonts w:ascii="Arial" w:cs="Arial" w:eastAsia="Arial" w:hAnsi="Arial"/>
                <w:sz w:val="18"/>
                <w:szCs w:val="18"/>
                <w:color w:val="auto"/>
              </w:rPr>
              <w:t>Ian P. Lawee</w:t>
            </w:r>
          </w:p>
        </w:tc>
        <w:tc>
          <w:tcPr>
            <w:tcW w:w="6520" w:type="dxa"/>
            <w:vAlign w:val="bottom"/>
            <w:tcBorders>
              <w:bottom w:val="single" w:sz="8" w:color="2D53A6"/>
            </w:tcBorders>
          </w:tcPr>
          <w:p>
            <w:pPr>
              <w:spacing w:after="0"/>
              <w:rPr>
                <w:sz w:val="20"/>
                <w:szCs w:val="20"/>
                <w:color w:val="auto"/>
              </w:rPr>
            </w:pPr>
            <w:r>
              <w:rPr>
                <w:rFonts w:ascii="Arial" w:cs="Arial" w:eastAsia="Arial" w:hAnsi="Arial"/>
                <w:sz w:val="18"/>
                <w:szCs w:val="18"/>
                <w:color w:val="auto"/>
              </w:rPr>
              <w:t>Senior Vice President and General Manager, Semiconductor Test Group</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On February 3, 2022, Mr. Jones’ title was changed to Senior Vice President Finance and Chief Financial Officer.</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refer to our named executive officers collectively in this Compensation Discussion and Analysis and the related compensation tables as our “NEOs”. This Compensation Discussion and Analysis provides an overview of our philosophy and principles that govern our executive compensation program, how we applied those principles in compensating our NEOs for 2021, and how we use our executive compensation program to drive performance. In addition, we explain how and why the Compensation Committee of our Board of Directors (the “Compensation Committee”) arrived at the specific compensation policies and decisions involving our NEOs during 2021.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2D53A6"/>
        </w:rPr>
        <w:t>Executive Summary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Business Highlights</w:t>
      </w:r>
    </w:p>
    <w:p>
      <w:pPr>
        <w:spacing w:after="0" w:line="225" w:lineRule="exact"/>
        <w:rPr>
          <w:sz w:val="20"/>
          <w:szCs w:val="20"/>
          <w:color w:val="auto"/>
        </w:rPr>
      </w:pPr>
    </w:p>
    <w:p>
      <w:pPr>
        <w:jc w:val="both"/>
        <w:ind w:right="240"/>
        <w:spacing w:after="0" w:line="286" w:lineRule="auto"/>
        <w:rPr>
          <w:sz w:val="20"/>
          <w:szCs w:val="20"/>
          <w:color w:val="auto"/>
        </w:rPr>
      </w:pPr>
      <w:r>
        <w:rPr>
          <w:rFonts w:ascii="Arial" w:cs="Arial" w:eastAsia="Arial" w:hAnsi="Arial"/>
          <w:sz w:val="17"/>
          <w:szCs w:val="17"/>
          <w:color w:val="auto"/>
        </w:rPr>
        <w:t>2021 was a year full of challenges. The impacts of the COVID-19 pandemic still rippled throughout our global supply chain, drove customer demand to unprecedented levels and impacted our workforce with travel restrictions and health concerns. Despite the unique challenges, 2021 was a record year for Cohu and ended with continuing strong momentum for our semiconductor equipment and interface products:</w:t>
      </w:r>
    </w:p>
    <w:p>
      <w:pPr>
        <w:spacing w:after="0" w:line="165" w:lineRule="exact"/>
        <w:rPr>
          <w:sz w:val="20"/>
          <w:szCs w:val="20"/>
          <w:color w:val="auto"/>
        </w:rPr>
      </w:pPr>
    </w:p>
    <w:p>
      <w:pPr>
        <w:ind w:left="980" w:hanging="324"/>
        <w:spacing w:after="0"/>
        <w:tabs>
          <w:tab w:leader="none" w:pos="9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Sales were up 39% year-over-year to $887.2 million.</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Seventh consecutive year of sales growth with 5-year CAGR 26%.</w:t>
      </w:r>
    </w:p>
    <w:p>
      <w:pPr>
        <w:spacing w:after="0" w:line="23" w:lineRule="exact"/>
        <w:rPr>
          <w:rFonts w:ascii="Arial" w:cs="Arial" w:eastAsia="Arial" w:hAnsi="Arial"/>
          <w:sz w:val="18"/>
          <w:szCs w:val="18"/>
          <w:color w:val="auto"/>
        </w:rPr>
      </w:pPr>
    </w:p>
    <w:p>
      <w:pPr>
        <w:ind w:left="980" w:hanging="324"/>
        <w:spacing w:after="0" w:line="195" w:lineRule="auto"/>
        <w:tabs>
          <w:tab w:leader="none" w:pos="9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 xml:space="preserve">Non-GAAP earnings per share were $3.20 </w:t>
      </w:r>
      <w:r>
        <w:rPr>
          <w:rFonts w:ascii="Arial" w:cs="Arial" w:eastAsia="Arial" w:hAnsi="Arial"/>
          <w:sz w:val="29"/>
          <w:szCs w:val="29"/>
          <w:color w:val="auto"/>
          <w:vertAlign w:val="superscript"/>
        </w:rPr>
        <w:t>(1)</w:t>
      </w:r>
    </w:p>
    <w:p>
      <w:pPr>
        <w:ind w:left="980" w:hanging="324"/>
        <w:spacing w:after="0"/>
        <w:tabs>
          <w:tab w:leader="none" w:pos="9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Outstanding operational execution despite continuing COVID-19 business disruptions throughout the year.</w:t>
      </w:r>
    </w:p>
    <w:p>
      <w:pPr>
        <w:spacing w:after="0" w:line="236" w:lineRule="exact"/>
        <w:rPr>
          <w:rFonts w:ascii="Arial" w:cs="Arial" w:eastAsia="Arial" w:hAnsi="Arial"/>
          <w:sz w:val="18"/>
          <w:szCs w:val="18"/>
          <w:color w:val="auto"/>
        </w:rPr>
      </w:pPr>
    </w:p>
    <w:p>
      <w:pPr>
        <w:ind w:left="260" w:hanging="252"/>
        <w:spacing w:after="0"/>
        <w:tabs>
          <w:tab w:leader="none" w:pos="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See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for GAAP to non-GAAP reconciliations.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Executive Compensation Notable Actions</w:t>
      </w:r>
    </w:p>
    <w:p>
      <w:pPr>
        <w:spacing w:after="0" w:line="225" w:lineRule="exact"/>
        <w:rPr>
          <w:sz w:val="20"/>
          <w:szCs w:val="20"/>
          <w:color w:val="auto"/>
        </w:rPr>
      </w:pPr>
    </w:p>
    <w:p>
      <w:pPr>
        <w:ind w:right="1020"/>
        <w:spacing w:after="0" w:line="277" w:lineRule="auto"/>
        <w:rPr>
          <w:sz w:val="20"/>
          <w:szCs w:val="20"/>
          <w:color w:val="auto"/>
        </w:rPr>
      </w:pPr>
      <w:r>
        <w:rPr>
          <w:rFonts w:ascii="Arial" w:cs="Arial" w:eastAsia="Arial" w:hAnsi="Arial"/>
          <w:sz w:val="18"/>
          <w:szCs w:val="18"/>
          <w:color w:val="auto"/>
        </w:rPr>
        <w:t>Consistent with our performance and the compensation objectives established for 2021, the Compensation Committee approved the following compensation actions for NEOs for 2021:</w:t>
      </w:r>
    </w:p>
    <w:p>
      <w:pPr>
        <w:spacing w:after="0" w:line="170" w:lineRule="exact"/>
        <w:rPr>
          <w:sz w:val="20"/>
          <w:szCs w:val="20"/>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Paid our NEOs, including our CEO, annual cash incentives at 168% of their target annual cash incentive opportunity; and</w:t>
      </w:r>
    </w:p>
    <w:p>
      <w:pPr>
        <w:spacing w:after="0" w:line="36" w:lineRule="exact"/>
        <w:rPr>
          <w:rFonts w:ascii="Arial" w:cs="Arial" w:eastAsia="Arial" w:hAnsi="Arial"/>
          <w:sz w:val="18"/>
          <w:szCs w:val="18"/>
          <w:color w:val="auto"/>
        </w:rPr>
      </w:pPr>
    </w:p>
    <w:p>
      <w:pPr>
        <w:ind w:left="980" w:right="40" w:hanging="324"/>
        <w:spacing w:after="0" w:line="263"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Granted long-term incentive compensation in the form of time-based restricted stock units (“RSUs”) and performance share units (“PSUs”) to be earned based on our total stockholder return (“TSR”) relative to a preselected comparator group for a 3-year period from 2021 through 2023.</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i w:val="1"/>
          <w:iCs w:val="1"/>
          <w:color w:val="auto"/>
        </w:rPr>
        <w:t>Pay for Performance</w:t>
      </w:r>
    </w:p>
    <w:p>
      <w:pPr>
        <w:spacing w:after="0" w:line="225"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Compensation Committee of our Board of Directors believes that the compensation of our NEOs for 2021 was reasonable and appropriate, was justified by our performance, and carefully balanced both time-based and performance-based compensation elements. 2021 compensation objectives for our NEOs were established in February 2021 and were not adjusted for COVID-19 pandemic impacts and business disruptions within the semiconductor industry or our business. The following chart illustrates the mix of elements of the target total direct compensation opportunity for our CEO for 2021 with 50% of his compensation at risk, 66% paid in the form of future equity opportunity and 34%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1950720</wp:posOffset>
            </wp:positionH>
            <wp:positionV relativeFrom="paragraph">
              <wp:posOffset>120650</wp:posOffset>
            </wp:positionV>
            <wp:extent cx="3248660" cy="2451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248660" cy="2451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Further, the compensation of our NEOs over the previous five years demonstrates the alignment between pay and performance. The variable cash compensation for our NEOs for each year from 2017 through 2021 varied from 33% to 168% of their target annual cash incentive opportunities based on our financial performance. For example:</w:t>
      </w:r>
    </w:p>
    <w:p>
      <w:pPr>
        <w:spacing w:after="0" w:line="184" w:lineRule="exact"/>
        <w:rPr>
          <w:sz w:val="20"/>
          <w:szCs w:val="20"/>
          <w:color w:val="auto"/>
        </w:rPr>
      </w:pPr>
    </w:p>
    <w:p>
      <w:pPr>
        <w:ind w:left="980" w:right="200" w:hanging="324"/>
        <w:spacing w:after="0" w:line="342" w:lineRule="auto"/>
        <w:tabs>
          <w:tab w:leader="none" w:pos="9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 2017, we had a successful year with results above annual plan and we executed on our strategic objectives. All NEOs received variable cash compensation above their target amounts ranging from 138% to 152% of their target annual cash incentive opportunities.</w:t>
      </w:r>
    </w:p>
    <w:p>
      <w:pPr>
        <w:spacing w:after="0" w:line="123" w:lineRule="exact"/>
        <w:rPr>
          <w:rFonts w:ascii="Arial" w:cs="Arial" w:eastAsia="Arial" w:hAnsi="Arial"/>
          <w:sz w:val="16"/>
          <w:szCs w:val="16"/>
          <w:color w:val="auto"/>
        </w:rPr>
      </w:pPr>
    </w:p>
    <w:p>
      <w:pPr>
        <w:ind w:left="980" w:right="40" w:hanging="324"/>
        <w:spacing w:after="0" w:line="279" w:lineRule="auto"/>
        <w:tabs>
          <w:tab w:leader="none" w:pos="9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 2018, we delivered good results despite softening market conditions in the second half of the year, particularly in the mobility and automotive segments, and slowing growth in China consumer spending. We executed the transformative acquisition of Xcerra, doubling our sales and employee population, based on the last twelve months immediately preceding the acquisition. NEOs received variable cash compensation amounts ranging from 89% to 117% of their target annual cash incentive opportunities.</w:t>
      </w:r>
    </w:p>
    <w:p>
      <w:pPr>
        <w:spacing w:after="0" w:line="171" w:lineRule="exact"/>
        <w:rPr>
          <w:rFonts w:ascii="Arial" w:cs="Arial" w:eastAsia="Arial" w:hAnsi="Arial"/>
          <w:sz w:val="17"/>
          <w:szCs w:val="17"/>
          <w:color w:val="auto"/>
        </w:rPr>
      </w:pPr>
    </w:p>
    <w:p>
      <w:pPr>
        <w:ind w:left="980" w:right="180" w:hanging="324"/>
        <w:spacing w:after="0" w:line="259"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2019 was a challenging year. Notwithstanding, Cohu still achieved its fourth consecutive year of sales growth in a weak semiconductor market while implementing the integration of Xcerra, delivering $40 million in annual run-rate cost synergies at year-end. This resulted in variable cash compensation to our NEOs ranging from 33% to 45% of their target annual cash incentive opportunities, which reflected the aggressive performance targets established for the 2019 plan year.</w:t>
      </w:r>
    </w:p>
    <w:p>
      <w:pPr>
        <w:spacing w:after="0" w:line="186" w:lineRule="exact"/>
        <w:rPr>
          <w:rFonts w:ascii="Arial" w:cs="Arial" w:eastAsia="Arial" w:hAnsi="Arial"/>
          <w:sz w:val="18"/>
          <w:szCs w:val="18"/>
          <w:color w:val="auto"/>
        </w:rPr>
      </w:pPr>
    </w:p>
    <w:p>
      <w:pPr>
        <w:ind w:left="980" w:hanging="324"/>
        <w:spacing w:after="0" w:line="342" w:lineRule="auto"/>
        <w:tabs>
          <w:tab w:leader="none" w:pos="9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2020, presented unique challenges due to the COVID-19 pandemic and the rapid ramp in business occurring in the second half of the year. Under the variable cash compensation program, NEOs including our CEO received 103% of their target annual cash incentive opportunities.</w:t>
      </w:r>
    </w:p>
    <w:p>
      <w:pPr>
        <w:spacing w:after="0" w:line="123" w:lineRule="exact"/>
        <w:rPr>
          <w:rFonts w:ascii="Arial" w:cs="Arial" w:eastAsia="Arial" w:hAnsi="Arial"/>
          <w:sz w:val="16"/>
          <w:szCs w:val="16"/>
          <w:color w:val="auto"/>
        </w:rPr>
      </w:pPr>
    </w:p>
    <w:p>
      <w:pPr>
        <w:ind w:left="980" w:hanging="324"/>
        <w:spacing w:after="0" w:line="263"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2021, as discussed previously, continued to pose COVID-19 pandemic related challenges yet Cohu still had record revenue, profitability and order levels resulting in the seventh consecutive year of sales growth. Due to this strong performance, NEOs including our CEO received 168% of their target annual cash incentive opportunities.</w:t>
      </w:r>
    </w:p>
    <w:p>
      <w:pPr>
        <w:spacing w:after="0" w:line="18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584" w:right="479" w:bottom="1440" w:gutter="0" w:footer="0" w:header="0"/>
        </w:sectPr>
      </w:pPr>
    </w:p>
    <w:bookmarkStart w:id="28" w:name="page29"/>
    <w:bookmarkEnd w:id="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1313815</wp:posOffset>
            </wp:positionH>
            <wp:positionV relativeFrom="page">
              <wp:posOffset>380365</wp:posOffset>
            </wp:positionV>
            <wp:extent cx="4920615" cy="385762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clrChange>
                        <a:clrFrom>
                          <a:srgbClr val="FFFFFF"/>
                        </a:clrFrom>
                        <a:clrTo>
                          <a:srgbClr val="FFFFFF">
                            <a:alpha val="0"/>
                          </a:srgbClr>
                        </a:clrTo>
                      </a:clrChange>
                      <a:extLst>
                        <a:ext uri="{28A0092B-C50C-407E-A947-70E740481C1C}"/>
                      </a:extLst>
                    </a:blip>
                    <a:srcRect/>
                    <a:stretch>
                      <a:fillRect/>
                    </a:stretch>
                  </pic:blipFill>
                  <pic:spPr bwMode="auto">
                    <a:xfrm>
                      <a:off x="0" y="0"/>
                      <a:ext cx="4920615" cy="3857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Since 2012, all NEOs have had some portion of their long-term incentive compensation based on PSUs that require achievement of business goals to earn a payout. Starting in 2015, the PSU portion of the long-term incentive program was earned based solely on our TSR relative to a pre-selected comparator group of companies. Effective with the 2021 PSU grants, awards will be earned based on our TSR relative to the Russell 2000 index as described in the “Long-Term Incentive Compensation” section that follows. The weighting of these PSUs in relation to time-based RSU grants has also evolved over the years and currently stands at 50% of each NEO’s total annual equity grant value. Our NEOs have earned from a low of 25% of their target PSU award for the 2016 long-term incentive program to a high of 180% of their target PSU award for the 2014 long-term incentive program.</w:t>
      </w:r>
    </w:p>
    <w:p>
      <w:pPr>
        <w:spacing w:after="0" w:line="16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While the past five years indicate that the program effectively rewards our executive officers when we deliver superior performance and appropriately adjusts compensation downward in the case of less-than-superior performance, the Compensation Committee will continue to review the executive compensation program to ensure it reflects the correct balance between short-term financial performance and long-term stockholder return. For example, in March 2016, the Compensation Committee increased the performance period for the TSR measurement to three years to enhance the focus on long-term results and in March 2021 we eliminated the minimum number of PSUs that could be earned on future grants. This formula is described in detail in the section entitled “Long-Term Incentive Compensation” below.</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Executive Compensation Policies and Practices</w:t>
      </w:r>
    </w:p>
    <w:p>
      <w:pPr>
        <w:spacing w:after="0" w:line="225"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We endeavor to maintain sound governance standards consistent with our executive compensation policies and practices. The Compensation Committee evaluates our executive compensation program on an ongoing basis to ensure that it is consistent with our short-term and long-term goals given the dynamic nature of our business and the market in which we compete for executive talent. The following policies and practices were in effect during 2021:</w:t>
      </w:r>
    </w:p>
    <w:p>
      <w:pPr>
        <w:spacing w:after="0" w:line="149" w:lineRule="exact"/>
        <w:rPr>
          <w:sz w:val="20"/>
          <w:szCs w:val="20"/>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b w:val="1"/>
          <w:bCs w:val="1"/>
          <w:i w:val="1"/>
          <w:iCs w:val="1"/>
          <w:color w:val="auto"/>
        </w:rPr>
        <w:t>Independent Compensation Committee</w:t>
      </w:r>
      <w:r>
        <w:rPr>
          <w:rFonts w:ascii="Arial" w:cs="Arial" w:eastAsia="Arial" w:hAnsi="Arial"/>
          <w:sz w:val="18"/>
          <w:szCs w:val="18"/>
          <w:color w:val="auto"/>
        </w:rPr>
        <w:t>. The Compensation Committee is comprised solely of independent directors.</w:t>
      </w:r>
    </w:p>
    <w:p>
      <w:pPr>
        <w:spacing w:after="0" w:line="225" w:lineRule="exact"/>
        <w:rPr>
          <w:rFonts w:ascii="Arial" w:cs="Arial" w:eastAsia="Arial" w:hAnsi="Arial"/>
          <w:sz w:val="18"/>
          <w:szCs w:val="18"/>
          <w:color w:val="auto"/>
        </w:rPr>
      </w:pPr>
    </w:p>
    <w:p>
      <w:pPr>
        <w:ind w:left="980" w:right="100" w:hanging="324"/>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b w:val="1"/>
          <w:bCs w:val="1"/>
          <w:i w:val="1"/>
          <w:iCs w:val="1"/>
          <w:color w:val="auto"/>
        </w:rPr>
        <w:t>Independent Compensation Committee Advisors</w:t>
      </w:r>
      <w:r>
        <w:rPr>
          <w:rFonts w:ascii="Arial" w:cs="Arial" w:eastAsia="Arial" w:hAnsi="Arial"/>
          <w:sz w:val="18"/>
          <w:szCs w:val="18"/>
          <w:color w:val="auto"/>
        </w:rPr>
        <w:t>. The Compensation Committee engaged its own compensation consultant to assist with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2021 compensation and governance reviews. This consultant performed no other consulting or services for us.</w:t>
      </w:r>
    </w:p>
    <w:p>
      <w:pPr>
        <w:spacing w:after="0" w:line="170" w:lineRule="exact"/>
        <w:rPr>
          <w:rFonts w:ascii="Arial" w:cs="Arial" w:eastAsia="Arial" w:hAnsi="Arial"/>
          <w:sz w:val="18"/>
          <w:szCs w:val="18"/>
          <w:color w:val="auto"/>
        </w:rPr>
      </w:pPr>
    </w:p>
    <w:p>
      <w:pPr>
        <w:ind w:left="980" w:right="440" w:hanging="324"/>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Annual Executive Compensation Review. </w:t>
      </w:r>
      <w:r>
        <w:rPr>
          <w:rFonts w:ascii="Arial" w:cs="Arial" w:eastAsia="Arial" w:hAnsi="Arial"/>
          <w:sz w:val="18"/>
          <w:szCs w:val="18"/>
          <w:color w:val="auto"/>
        </w:rPr>
        <w:t>The Compensation Committee conducts an annual review and approval of our compensation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strategy, including a review of our compensation peer group used for comparative purposes.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9" w:name="page30"/>
    <w:bookmarkEnd w:id="29"/>
    <w:p>
      <w:pPr>
        <w:ind w:left="980" w:right="360" w:hanging="324"/>
        <w:spacing w:after="0" w:line="308" w:lineRule="auto"/>
        <w:tabs>
          <w:tab w:leader="none" w:pos="980" w:val="left"/>
        </w:tabs>
        <w:numPr>
          <w:ilvl w:val="0"/>
          <w:numId w:val="2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Annual Compensation-Related Risk Review. </w:t>
      </w:r>
      <w:r>
        <w:rPr>
          <w:rFonts w:ascii="Arial" w:cs="Arial" w:eastAsia="Arial" w:hAnsi="Arial"/>
          <w:sz w:val="17"/>
          <w:szCs w:val="17"/>
          <w:color w:val="auto"/>
        </w:rPr>
        <w:t>The Compensation Committee conducts an annual review of our compensation-related risk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profile to ensure that compensation practices are not reasonably likely to have a material adverse effect on Cohu.</w:t>
      </w:r>
    </w:p>
    <w:p>
      <w:pPr>
        <w:spacing w:after="0" w:line="142" w:lineRule="exact"/>
        <w:rPr>
          <w:rFonts w:ascii="Arial" w:cs="Arial" w:eastAsia="Arial" w:hAnsi="Arial"/>
          <w:sz w:val="17"/>
          <w:szCs w:val="17"/>
          <w:color w:val="auto"/>
        </w:rPr>
      </w:pPr>
    </w:p>
    <w:p>
      <w:pPr>
        <w:jc w:val="both"/>
        <w:ind w:left="980" w:right="120" w:hanging="324"/>
        <w:spacing w:after="0" w:line="266"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b w:val="1"/>
          <w:bCs w:val="1"/>
          <w:i w:val="1"/>
          <w:iCs w:val="1"/>
          <w:color w:val="auto"/>
        </w:rPr>
        <w:t>Executive Compensation Policies and Practices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compensation philosophy and related corporate governance policies and practices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complemented by several specific compensation policies and practices that are designed to align our executive compensation with long-term stockholder interests, including the following:</w:t>
      </w:r>
    </w:p>
    <w:p>
      <w:pPr>
        <w:spacing w:after="0" w:line="175" w:lineRule="exact"/>
        <w:rPr>
          <w:rFonts w:ascii="Arial" w:cs="Arial" w:eastAsia="Arial" w:hAnsi="Arial"/>
          <w:sz w:val="18"/>
          <w:szCs w:val="18"/>
          <w:color w:val="auto"/>
        </w:rPr>
      </w:pPr>
    </w:p>
    <w:p>
      <w:pPr>
        <w:ind w:left="1300" w:right="60" w:hanging="320"/>
        <w:spacing w:after="0" w:line="312" w:lineRule="auto"/>
        <w:tabs>
          <w:tab w:leader="none" w:pos="1300" w:val="left"/>
        </w:tabs>
        <w:numPr>
          <w:ilvl w:val="1"/>
          <w:numId w:val="22"/>
        </w:numPr>
        <w:rPr>
          <w:rFonts w:ascii="Arial" w:cs="Arial" w:eastAsia="Arial" w:hAnsi="Arial"/>
          <w:sz w:val="17"/>
          <w:szCs w:val="17"/>
          <w:color w:val="auto"/>
        </w:rPr>
      </w:pPr>
      <w:r>
        <w:rPr>
          <w:rFonts w:ascii="Arial" w:cs="Arial" w:eastAsia="Arial" w:hAnsi="Arial"/>
          <w:sz w:val="17"/>
          <w:szCs w:val="17"/>
          <w:b w:val="1"/>
          <w:bCs w:val="1"/>
          <w:i w:val="1"/>
          <w:iCs w:val="1"/>
          <w:color w:val="auto"/>
        </w:rPr>
        <w:t>Compensation At-Risk</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executive compensation program is designed so that a significant portion of compensation is “at risk” based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corporate performance, as well as equity-based to align the interests of our executive officers and stockholders.</w:t>
      </w:r>
    </w:p>
    <w:p>
      <w:pPr>
        <w:spacing w:after="0" w:line="139" w:lineRule="exact"/>
        <w:rPr>
          <w:rFonts w:ascii="Arial" w:cs="Arial" w:eastAsia="Arial" w:hAnsi="Arial"/>
          <w:sz w:val="17"/>
          <w:szCs w:val="17"/>
          <w:color w:val="auto"/>
        </w:rPr>
      </w:pPr>
    </w:p>
    <w:p>
      <w:pPr>
        <w:ind w:left="1300" w:hanging="320"/>
        <w:spacing w:after="0" w:line="282"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b w:val="1"/>
          <w:bCs w:val="1"/>
          <w:color w:val="auto"/>
        </w:rPr>
        <w:t xml:space="preserve">No Defined Benefit Pension Plans. </w:t>
      </w:r>
      <w:r>
        <w:rPr>
          <w:rFonts w:ascii="Arial" w:cs="Arial" w:eastAsia="Arial" w:hAnsi="Arial"/>
          <w:sz w:val="18"/>
          <w:szCs w:val="18"/>
          <w:color w:val="auto"/>
        </w:rPr>
        <w:t>We do not currently offer, nor do we have plans to provide, defined benefit pension arrangements for</w:t>
      </w:r>
      <w:r>
        <w:rPr>
          <w:rFonts w:ascii="Arial" w:cs="Arial" w:eastAsia="Arial" w:hAnsi="Arial"/>
          <w:sz w:val="18"/>
          <w:szCs w:val="18"/>
          <w:b w:val="1"/>
          <w:bCs w:val="1"/>
          <w:color w:val="auto"/>
        </w:rPr>
        <w:t xml:space="preserve"> </w:t>
      </w:r>
      <w:r>
        <w:rPr>
          <w:rFonts w:ascii="Arial" w:cs="Arial" w:eastAsia="Arial" w:hAnsi="Arial"/>
          <w:sz w:val="18"/>
          <w:szCs w:val="18"/>
          <w:color w:val="auto"/>
        </w:rPr>
        <w:t>our executive officers.</w:t>
      </w:r>
    </w:p>
    <w:p>
      <w:pPr>
        <w:spacing w:after="0" w:line="161" w:lineRule="exact"/>
        <w:rPr>
          <w:rFonts w:ascii="Arial" w:cs="Arial" w:eastAsia="Arial" w:hAnsi="Arial"/>
          <w:sz w:val="18"/>
          <w:szCs w:val="18"/>
          <w:color w:val="auto"/>
        </w:rPr>
      </w:pPr>
    </w:p>
    <w:p>
      <w:pPr>
        <w:ind w:left="1300" w:hanging="320"/>
        <w:spacing w:after="0"/>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b w:val="1"/>
          <w:bCs w:val="1"/>
          <w:i w:val="1"/>
          <w:iCs w:val="1"/>
          <w:color w:val="auto"/>
        </w:rPr>
        <w:t>Limited Perquisites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provide minimal perquisites and other personal benefits to our executive officers.</w:t>
      </w:r>
    </w:p>
    <w:p>
      <w:pPr>
        <w:spacing w:after="0" w:line="225" w:lineRule="exact"/>
        <w:rPr>
          <w:rFonts w:ascii="Arial" w:cs="Arial" w:eastAsia="Arial" w:hAnsi="Arial"/>
          <w:sz w:val="18"/>
          <w:szCs w:val="18"/>
          <w:color w:val="auto"/>
        </w:rPr>
      </w:pPr>
    </w:p>
    <w:p>
      <w:pPr>
        <w:jc w:val="both"/>
        <w:ind w:left="1300" w:right="600" w:hanging="320"/>
        <w:spacing w:after="0" w:line="266"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b w:val="1"/>
          <w:bCs w:val="1"/>
          <w:i w:val="1"/>
          <w:iCs w:val="1"/>
          <w:color w:val="auto"/>
        </w:rPr>
        <w:t>No Tax Reimbursements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do not provide any tax or gross-up reimbursement payments on any severance or change in control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payments, perquisites or other personal benefits other than standard relocation benefits and tax equalization agreements related to expatriate assignments.</w:t>
      </w:r>
    </w:p>
    <w:p>
      <w:pPr>
        <w:spacing w:after="0" w:line="175" w:lineRule="exact"/>
        <w:rPr>
          <w:rFonts w:ascii="Arial" w:cs="Arial" w:eastAsia="Arial" w:hAnsi="Arial"/>
          <w:sz w:val="18"/>
          <w:szCs w:val="18"/>
          <w:color w:val="auto"/>
        </w:rPr>
      </w:pPr>
    </w:p>
    <w:p>
      <w:pPr>
        <w:ind w:left="1300" w:right="20" w:hanging="320"/>
        <w:spacing w:after="0" w:line="261"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b w:val="1"/>
          <w:bCs w:val="1"/>
          <w:i w:val="1"/>
          <w:iCs w:val="1"/>
          <w:color w:val="auto"/>
        </w:rPr>
        <w:t>“Double-Trigger</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Change-in-Control Arrangements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All change-in-control payments and benefits are based on a “double-trigger” arrangement (that is, they require both a change-in-control of Cohu plus a qualifying termination of employment before payments and benefits are paid), although the vesting of equity awards will accelerate in full if the awards are not assumed or replaced by an acquiring corporation.</w:t>
      </w:r>
    </w:p>
    <w:p>
      <w:pPr>
        <w:spacing w:after="0" w:line="179" w:lineRule="exact"/>
        <w:rPr>
          <w:rFonts w:ascii="Arial" w:cs="Arial" w:eastAsia="Arial" w:hAnsi="Arial"/>
          <w:sz w:val="18"/>
          <w:szCs w:val="18"/>
          <w:color w:val="auto"/>
        </w:rPr>
      </w:pPr>
    </w:p>
    <w:p>
      <w:pPr>
        <w:ind w:left="1300" w:right="20" w:hanging="320"/>
        <w:spacing w:after="0" w:line="282"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b w:val="1"/>
          <w:bCs w:val="1"/>
          <w:i w:val="1"/>
          <w:iCs w:val="1"/>
          <w:color w:val="auto"/>
        </w:rPr>
        <w:t>Performance-Based Incentives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use performance-based short-term and long-term incentives and do not have common or overlapping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metrics between these programs.</w:t>
      </w:r>
    </w:p>
    <w:p>
      <w:pPr>
        <w:spacing w:after="0" w:line="161" w:lineRule="exact"/>
        <w:rPr>
          <w:rFonts w:ascii="Arial" w:cs="Arial" w:eastAsia="Arial" w:hAnsi="Arial"/>
          <w:sz w:val="18"/>
          <w:szCs w:val="18"/>
          <w:color w:val="auto"/>
        </w:rPr>
      </w:pPr>
    </w:p>
    <w:p>
      <w:pPr>
        <w:ind w:left="1300" w:right="120" w:hanging="320"/>
        <w:spacing w:after="0" w:line="282"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b w:val="1"/>
          <w:bCs w:val="1"/>
          <w:i w:val="1"/>
          <w:iCs w:val="1"/>
          <w:color w:val="auto"/>
        </w:rPr>
        <w:t>Incentive Compensation Recoupment Policy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Incentive compensation awarded to our executive officers is subject to recoupment under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certain circumstances if our financial results are restated.</w:t>
      </w:r>
    </w:p>
    <w:p>
      <w:pPr>
        <w:spacing w:after="0" w:line="161" w:lineRule="exact"/>
        <w:rPr>
          <w:rFonts w:ascii="Arial" w:cs="Arial" w:eastAsia="Arial" w:hAnsi="Arial"/>
          <w:sz w:val="18"/>
          <w:szCs w:val="18"/>
          <w:color w:val="auto"/>
        </w:rPr>
      </w:pPr>
    </w:p>
    <w:p>
      <w:pPr>
        <w:ind w:left="1300" w:right="500" w:hanging="320"/>
        <w:spacing w:after="0" w:line="282"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b w:val="1"/>
          <w:bCs w:val="1"/>
          <w:i w:val="1"/>
          <w:iCs w:val="1"/>
          <w:color w:val="auto"/>
        </w:rPr>
        <w:t>Multi-Year Vesting Requirements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equity awards granted to our executive officer’s vest or are earned over multi-year periods,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consistent with current market practice and our retention objectives.</w:t>
      </w:r>
    </w:p>
    <w:p>
      <w:pPr>
        <w:spacing w:after="0" w:line="161" w:lineRule="exact"/>
        <w:rPr>
          <w:rFonts w:ascii="Arial" w:cs="Arial" w:eastAsia="Arial" w:hAnsi="Arial"/>
          <w:sz w:val="18"/>
          <w:szCs w:val="18"/>
          <w:color w:val="auto"/>
        </w:rPr>
      </w:pPr>
    </w:p>
    <w:p>
      <w:pPr>
        <w:ind w:left="1300" w:right="100" w:hanging="320"/>
        <w:spacing w:after="0" w:line="282"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b w:val="1"/>
          <w:bCs w:val="1"/>
          <w:i w:val="1"/>
          <w:iCs w:val="1"/>
          <w:color w:val="auto"/>
        </w:rPr>
        <w:t>Hedging and Pledging Prohibited</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prohibit our employees, including our executive officers and directors, from hedging or pledging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Company securities.</w:t>
      </w:r>
    </w:p>
    <w:p>
      <w:pPr>
        <w:spacing w:after="0" w:line="161" w:lineRule="exact"/>
        <w:rPr>
          <w:rFonts w:ascii="Arial" w:cs="Arial" w:eastAsia="Arial" w:hAnsi="Arial"/>
          <w:sz w:val="18"/>
          <w:szCs w:val="18"/>
          <w:color w:val="auto"/>
        </w:rPr>
      </w:pPr>
    </w:p>
    <w:p>
      <w:pPr>
        <w:ind w:left="1300" w:right="440" w:hanging="320"/>
        <w:spacing w:after="0" w:line="282"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b w:val="1"/>
          <w:bCs w:val="1"/>
          <w:i w:val="1"/>
          <w:iCs w:val="1"/>
          <w:color w:val="auto"/>
        </w:rPr>
        <w:t>Stock Ownership Policy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maintain a stock ownership policy for our executive officers and directors that require each of them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beneficially own a specified value of shares of our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Stockholder Advisory Vote on Executive Compensation</w:t>
      </w:r>
    </w:p>
    <w:p>
      <w:pPr>
        <w:spacing w:after="0" w:line="225"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At our 2021 Annual Meeting of Stockholders, we conducted a stockholder advisory vote on the 2020 compensation of our NEOs (commonly known as a “Say-on-Pay” vote). Our stockholders approved, in a non-binding vote, the 2020 compensation of our NEOs, as disclosed in our proxy statement for the 2021 Annual Meeting of Stockholders, with approximately 99% of the votes cast in favor of the proposal.</w:t>
      </w:r>
    </w:p>
    <w:p>
      <w:pPr>
        <w:spacing w:after="0" w:line="16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believe that the outcome of the Say-on-Pay vote reflects our stockholders’ strong support of our executive compensation program. We value the opinions of our stockholders and will continue to consider the outcome of future Say-on-Pay votes, as well as feedback received throughout the year, when making compensation decisions for our executive officers, including our NEOs.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30" w:name="page31"/>
    <w:bookmarkEnd w:id="30"/>
    <w:p>
      <w:pPr>
        <w:ind w:right="140"/>
        <w:spacing w:after="0" w:line="263" w:lineRule="auto"/>
        <w:rPr>
          <w:sz w:val="20"/>
          <w:szCs w:val="20"/>
          <w:color w:val="auto"/>
        </w:rPr>
      </w:pPr>
      <w:r>
        <w:rPr>
          <w:rFonts w:ascii="Arial" w:cs="Arial" w:eastAsia="Arial" w:hAnsi="Arial"/>
          <w:sz w:val="18"/>
          <w:szCs w:val="18"/>
          <w:color w:val="auto"/>
        </w:rPr>
        <w:t>Based on the results of a previous stockholder advisory vote on the frequency of future stockholder advisory votes regarding the compensation of our NEOs (commonly known as a “Say-When-on-Pay” vote) conducted at our 2017 Annual Meeting of Stockholders, our Board of Directors determined that we will hold our Say-on-Pay votes on an annual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1607820</wp:posOffset>
            </wp:positionH>
            <wp:positionV relativeFrom="paragraph">
              <wp:posOffset>125730</wp:posOffset>
            </wp:positionV>
            <wp:extent cx="3934460" cy="17741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934460" cy="1774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820" w:right="2600" w:hanging="288"/>
        <w:spacing w:after="0" w:line="342" w:lineRule="auto"/>
        <w:tabs>
          <w:tab w:leader="none" w:pos="28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Percentages shown are percentage of votes cast. Abstentions are treated as votes cast and have the effect of “Against” in respect to the Say-on-Pay proposal.</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2D53A6"/>
        </w:rPr>
        <w:t>Compensation Philosophy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executive compensation program is intended to meet three principal objectives:</w:t>
      </w:r>
    </w:p>
    <w:p>
      <w:pPr>
        <w:spacing w:after="0" w:line="23" w:lineRule="exact"/>
        <w:rPr>
          <w:sz w:val="20"/>
          <w:szCs w:val="20"/>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Attract, reward and retain our executive officers;</w:t>
      </w:r>
    </w:p>
    <w:p>
      <w:pPr>
        <w:spacing w:after="0" w:line="210"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Motivate these individuals to achieve our short-term and long-term corporate goals that enhance stockholder value;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Support our core values and culture by promoting internal equity and external competitiveness.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meet these objectives, we have adopted the following overarching policies:</w:t>
      </w:r>
    </w:p>
    <w:p>
      <w:pPr>
        <w:spacing w:after="0" w:line="23" w:lineRule="exact"/>
        <w:rPr>
          <w:sz w:val="20"/>
          <w:szCs w:val="20"/>
          <w:color w:val="auto"/>
        </w:rPr>
      </w:pPr>
    </w:p>
    <w:p>
      <w:pPr>
        <w:ind w:left="980" w:hanging="324"/>
        <w:spacing w:after="0"/>
        <w:tabs>
          <w:tab w:leader="none" w:pos="9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We pay compensation that is competitive with the practices of other leading semiconductor equipment and similar technology companies; and</w:t>
      </w:r>
    </w:p>
    <w:p>
      <w:pPr>
        <w:spacing w:after="0" w:line="233" w:lineRule="exact"/>
        <w:rPr>
          <w:rFonts w:ascii="Arial" w:cs="Arial" w:eastAsia="Arial" w:hAnsi="Arial"/>
          <w:sz w:val="16"/>
          <w:szCs w:val="16"/>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pay for performance by:</w:t>
      </w:r>
    </w:p>
    <w:p>
      <w:pPr>
        <w:spacing w:after="0" w:line="225" w:lineRule="exact"/>
        <w:rPr>
          <w:rFonts w:ascii="Arial" w:cs="Arial" w:eastAsia="Arial" w:hAnsi="Arial"/>
          <w:sz w:val="18"/>
          <w:szCs w:val="18"/>
          <w:color w:val="auto"/>
        </w:rPr>
      </w:pPr>
    </w:p>
    <w:p>
      <w:pPr>
        <w:ind w:left="1300" w:right="60" w:hanging="320"/>
        <w:spacing w:after="0" w:line="277" w:lineRule="auto"/>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Providing a short-term incentive opportunity paid in cash that is based on challenging financial performance objectives for our executive officers; and</w:t>
      </w:r>
    </w:p>
    <w:p>
      <w:pPr>
        <w:spacing w:after="0" w:line="170"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25"/>
        </w:numPr>
        <w:rPr>
          <w:rFonts w:ascii="Arial" w:cs="Arial" w:eastAsia="Arial" w:hAnsi="Arial"/>
          <w:sz w:val="16"/>
          <w:szCs w:val="16"/>
          <w:color w:val="auto"/>
        </w:rPr>
      </w:pPr>
      <w:r>
        <w:rPr>
          <w:rFonts w:ascii="Arial" w:cs="Arial" w:eastAsia="Arial" w:hAnsi="Arial"/>
          <w:sz w:val="16"/>
          <w:szCs w:val="16"/>
          <w:color w:val="auto"/>
        </w:rPr>
        <w:t>Providing long-term incentive opportunities in the form of a combination of RSU awards and PSU awards, that enable us to motivate and retain those executive officers with the leadership abilities necessary to create sustainable long-term value for our stockholders.</w:t>
      </w:r>
    </w:p>
    <w:p>
      <w:pPr>
        <w:spacing w:after="0" w:line="124"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These policies guide the Compensation Committee in determining the proper allocation between current cash compensation and short-term and long-term incentive compensation. Other considerations include our business objectives, our fiduciary and corporate responsibilities (including internal equity considerations and affordability), competitive practices and trends, and applicable regulatory requirements.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2D53A6"/>
        </w:rPr>
        <w:t>Compensation-Setting Process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Role of the Compensation Committee</w:t>
      </w:r>
    </w:p>
    <w:p>
      <w:pPr>
        <w:spacing w:after="0" w:line="225"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Our executive compensation program is designed and overseen by the Compensation Committee, which is comprised entirely of independent directors, as determined in accordance with the rules of the SEC and the listing standards of the Nasdaq. The Compensation Committee conducts an annual review of our executive compensation strategy to ensure that it is appropriately aligned with our short-term business plan and long-term strategy. The Compensation Committee also reviews market trends and changes in competitive compensation practices, as further described below. Based on its review and assessment, the Compensation Committee from time to time recommends changes in our executive compensation program.</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31" w:name="page32"/>
    <w:bookmarkEnd w:id="31"/>
    <w:p>
      <w:pPr>
        <w:ind w:right="120"/>
        <w:spacing w:after="0" w:line="279" w:lineRule="auto"/>
        <w:rPr>
          <w:sz w:val="20"/>
          <w:szCs w:val="20"/>
          <w:color w:val="auto"/>
        </w:rPr>
      </w:pPr>
      <w:r>
        <w:rPr>
          <w:rFonts w:ascii="Arial" w:cs="Arial" w:eastAsia="Arial" w:hAnsi="Arial"/>
          <w:sz w:val="17"/>
          <w:szCs w:val="17"/>
          <w:color w:val="auto"/>
        </w:rPr>
        <w:t>The Compensation Committee reviews our executive compensation program on an annual basis, including each of the elements of compensation provided under the program (other than deferred compensation and 401(k) benefits, which are reviewed from time to time to ensure that benefit levels remain competitive). In determining the overall compensation arrangements for our executive officers, including our NEOs, as well as the level of each specific element of compensation, the Compensation Committee takes into consideration a number of factors, including the following:</w:t>
      </w:r>
    </w:p>
    <w:p>
      <w:pPr>
        <w:spacing w:after="0" w:line="171" w:lineRule="exact"/>
        <w:rPr>
          <w:sz w:val="20"/>
          <w:szCs w:val="20"/>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recommendations of our CEO (except with respect to his own compensation) as described below.</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corporate growth and other elements of financial performance.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individual performance of each executive officer, including his or her achievement of management objectives.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review of the relevant competitive market data, as described below.</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skill set, prior experience, and tenure of the executive officer.</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role and responsibilities of the executive officer.</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past and expected future contribution of the executive officer.</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Internal pay consistency for similar positions or skill levels within Cohu.</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External factors to attract and retain talent and overall market conditions.</w:t>
      </w:r>
    </w:p>
    <w:p>
      <w:pPr>
        <w:spacing w:after="0" w:line="211"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color w:val="auto"/>
        </w:rPr>
        <w:t>The Compensation Committee does not weigh these factors in any predetermined manner, nor does it apply any formulas in developing its compensation recommendations. The members of the Compensation Committee consider all of this information in light of their individual experience, knowledge of Cohu, knowledge of the competitive market, knowledge of each executive officer, and business judgment in making these recommendations.</w:t>
      </w:r>
    </w:p>
    <w:p>
      <w:pPr>
        <w:spacing w:after="0" w:line="14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 xml:space="preserve">The Compensation Committee’s authority, duties, and responsibilities are described in its charter, which is reviewed annually and revised and updated as warranted. The charter is available at the Corporate Governance section of our website </w:t>
      </w:r>
      <w:r>
        <w:rPr>
          <w:rFonts w:ascii="Arial" w:cs="Arial" w:eastAsia="Arial" w:hAnsi="Arial"/>
          <w:sz w:val="18"/>
          <w:szCs w:val="18"/>
          <w:u w:val="single" w:color="auto"/>
          <w:color w:val="auto"/>
        </w:rPr>
        <w:t>www.cohu.com</w:t>
      </w:r>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Role of Management</w:t>
      </w:r>
    </w:p>
    <w:p>
      <w:pPr>
        <w:spacing w:after="0" w:line="22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On occasion, the Compensation Committee meets with our CEO and/or our other executive officers and our Vice President of Human Resources to obtain information and recommendations with respect to our executive compensation program, policies, and practices, as well as the compensation arrangements of our executive officers. In 2021, the Compensation Committee met with Dr. Müller, our CEO, who made recommendations to the Compensation Committee on the base salary, target annual cash incentive award opportunities, and long-term incentive compensation for our executive officers, including our NEOs (except with respect to his own compensation). In formulating these recommendations, our CEO used, among other things, competitive market data, an internal equity analysis and individual performance factors.</w:t>
      </w:r>
    </w:p>
    <w:p>
      <w:pPr>
        <w:spacing w:after="0" w:line="178"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The Compensation Committee considers, but is not bound by and does not always accept, these recommendations with respect to executive compensation. In recent years, the Compensation Committee has changed several of our CEO’s compensation proposals and regularly seeks input from its compensation consultant or data from other independent sources prior to making its decisions.</w:t>
      </w:r>
    </w:p>
    <w:p>
      <w:pPr>
        <w:spacing w:after="0" w:line="184"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In 2021, our CEO attended some of the Compensation Committee’s meetings, but the Compensation Committee also held executive sessions not attended by any members of management. The Compensation Committee held discussions and made its decisions with respect to our CEO’s compensation without him present.</w:t>
      </w:r>
    </w:p>
    <w:p>
      <w:pPr>
        <w:spacing w:after="0" w:line="184"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Compensation Committee has the ultimate authority to make decisions with respect to the compensation of our executive officers, including our NEOs, but may, if it chooses, delegate any of its responsibilities to subcommittees. The Compensation Committee has authorized our CEO to make base salary adjustments and short-term cash incentive award decisions for all employees other than our executive officers, including our NEOs.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Role of Compensation Consultant</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Compensation Committee has the authority to engage independent advisors to assist in carrying out its responsibilities. The Compensation Committee typically engages Compensia, a national compensation consulting firm, to advise and assist it on various aspects of executive and director compensation, including base salaries, annual and long-term incentive compensation. The Chair of the Compensation Committee reviews and approves all payments to Compensia.</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2" w:name="page33"/>
    <w:bookmarkEnd w:id="32"/>
    <w:p>
      <w:pPr>
        <w:ind w:right="120"/>
        <w:spacing w:after="0" w:line="291" w:lineRule="auto"/>
        <w:rPr>
          <w:sz w:val="20"/>
          <w:szCs w:val="20"/>
          <w:color w:val="auto"/>
        </w:rPr>
      </w:pPr>
      <w:r>
        <w:rPr>
          <w:rFonts w:ascii="Arial" w:cs="Arial" w:eastAsia="Arial" w:hAnsi="Arial"/>
          <w:sz w:val="16"/>
          <w:szCs w:val="16"/>
          <w:color w:val="auto"/>
        </w:rPr>
        <w:t>It has been the Compensation Committee’s practice to have Compensia prepare a comprehensive executive compensation analysis in alternating years and update this analysis in interim years only if warranted by changing conditions. As a result of the Xcerra acquisition and its impact on the scope of director and executive responsibilities, the Compensation Committee engaged Compensia to prepare full director and executive compensation analyses in September 2018 and December 2018, respectively. With the temporary management salary and board of directors fee reductions in place for a majority of 2020, the Compensation Committee deferred the full director and executive compensation assessment until the second half of 2021. Due to growth in the size and complexity of Cohu’s business, effective in 2021 the Compensation Committee determined to have the comprehensive executive compensation analysis performed by Compensia or any subsequent engaged independent advisors on an annual basis.</w:t>
      </w:r>
    </w:p>
    <w:p>
      <w:pPr>
        <w:spacing w:after="0" w:line="16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Compensia reports directly to the Compensation Committee. The Compensation Committee may replace Compensia or hire additional advisors at any time. Compensia does not provide any other services to us and receives compensation only with respect to the services provided to the Compensation Committee.</w:t>
      </w:r>
    </w:p>
    <w:p>
      <w:pPr>
        <w:spacing w:after="0" w:line="184"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The Compensation Committee has considered the independence of Compensia in light of the rules of the SEC and the listing standards of Nasdaq. Based on these rules and standards, the Compensation Committee has concluded that the work performed by Compensia did not raise any conflict of interest.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 Positioning</w:t>
      </w:r>
    </w:p>
    <w:p>
      <w:pPr>
        <w:spacing w:after="0" w:line="22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arriving at its compensation decisions for our executive officers, including our NEOs, for 2021, the Compensation Committee considered competitive market data and an analysis prepared by Compensia. In making its decisions, the Compensation Committee evaluates this data and analysis as an important reference point but does not reach its conclusions on a formulaic basis. This analysis was based on a review of the compensation practices of a select group of peer companies which was approved by the Compensation Committee after reviewing data prepared by Compensia and input from management. In selecting companies for the compensation peer group, the Compensation Committee identified companies headquartered in the U.S. in the semiconductor capital equipment and electronic capital equipment and instrumentation sectors that were comparable to us on the basis of 0.4x – 2.5x revenue, 0.25 – 5.0x our market capitalization, and that had similar scope of operations, and which the Compensation Committee believed may compete with us for executive talent.</w:t>
      </w:r>
    </w:p>
    <w:p>
      <w:pPr>
        <w:spacing w:after="0" w:line="192"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In October 2021, the Compensation Committee revised the compensation peer group due to the acquisition of MTS Systems and two other members, Entegris and Synaptics, no longer meeting the relevant peer financial profile. To increase the compensation peer group size, the Compensation Committee added six new members: Badger Meter, Harmonic, Ichor Holdings, MACOM Technology Solutions, MaxLinear and SMART Global Holding</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For 2022, the compensation peer group now consists of the following 19 companies: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00" w:type="dxa"/>
            <w:vAlign w:val="bottom"/>
            <w:tcBorders>
              <w:top w:val="single" w:sz="8" w:color="auto"/>
            </w:tcBorders>
            <w:shd w:val="clear" w:color="auto" w:fill="E6E6E6"/>
          </w:tcPr>
          <w:p>
            <w:pPr>
              <w:spacing w:after="0"/>
              <w:rPr>
                <w:sz w:val="20"/>
                <w:szCs w:val="20"/>
                <w:color w:val="auto"/>
              </w:rPr>
            </w:pPr>
            <w:r>
              <w:rPr>
                <w:rFonts w:ascii="Arial" w:cs="Arial" w:eastAsia="Arial" w:hAnsi="Arial"/>
                <w:sz w:val="18"/>
                <w:szCs w:val="18"/>
                <w:color w:val="auto"/>
              </w:rPr>
              <w:t>Advanced Energy Industries</w:t>
            </w:r>
          </w:p>
        </w:tc>
        <w:tc>
          <w:tcPr>
            <w:tcW w:w="2400" w:type="dxa"/>
            <w:vAlign w:val="bottom"/>
            <w:tcBorders>
              <w:top w:val="single" w:sz="8" w:color="auto"/>
            </w:tcBorders>
            <w:shd w:val="clear" w:color="auto" w:fill="E6E6E6"/>
          </w:tcPr>
          <w:p>
            <w:pPr>
              <w:ind w:left="560"/>
              <w:spacing w:after="0"/>
              <w:rPr>
                <w:sz w:val="20"/>
                <w:szCs w:val="20"/>
                <w:color w:val="auto"/>
              </w:rPr>
            </w:pPr>
            <w:r>
              <w:rPr>
                <w:rFonts w:ascii="Arial" w:cs="Arial" w:eastAsia="Arial" w:hAnsi="Arial"/>
                <w:sz w:val="18"/>
                <w:szCs w:val="18"/>
                <w:color w:val="auto"/>
              </w:rPr>
              <w:t>CMC Materials</w:t>
            </w:r>
          </w:p>
        </w:tc>
        <w:tc>
          <w:tcPr>
            <w:tcW w:w="3180" w:type="dxa"/>
            <w:vAlign w:val="bottom"/>
            <w:tcBorders>
              <w:top w:val="single" w:sz="8" w:color="auto"/>
            </w:tcBorders>
            <w:shd w:val="clear" w:color="auto" w:fill="E6E6E6"/>
          </w:tcPr>
          <w:p>
            <w:pPr>
              <w:ind w:left="660"/>
              <w:spacing w:after="0"/>
              <w:rPr>
                <w:sz w:val="20"/>
                <w:szCs w:val="20"/>
                <w:color w:val="auto"/>
              </w:rPr>
            </w:pPr>
            <w:r>
              <w:rPr>
                <w:rFonts w:ascii="Arial" w:cs="Arial" w:eastAsia="Arial" w:hAnsi="Arial"/>
                <w:sz w:val="18"/>
                <w:szCs w:val="18"/>
                <w:color w:val="auto"/>
              </w:rPr>
              <w:t>MACOM Technology Solutions</w:t>
            </w:r>
          </w:p>
        </w:tc>
        <w:tc>
          <w:tcPr>
            <w:tcW w:w="3060" w:type="dxa"/>
            <w:vAlign w:val="bottom"/>
            <w:tcBorders>
              <w:top w:val="single" w:sz="8" w:color="auto"/>
            </w:tcBorders>
            <w:shd w:val="clear" w:color="auto" w:fill="E6E6E6"/>
          </w:tcPr>
          <w:p>
            <w:pPr>
              <w:ind w:left="220"/>
              <w:spacing w:after="0"/>
              <w:rPr>
                <w:sz w:val="20"/>
                <w:szCs w:val="20"/>
                <w:color w:val="auto"/>
              </w:rPr>
            </w:pPr>
            <w:r>
              <w:rPr>
                <w:rFonts w:ascii="Arial" w:cs="Arial" w:eastAsia="Arial" w:hAnsi="Arial"/>
                <w:sz w:val="18"/>
                <w:szCs w:val="18"/>
                <w:color w:val="auto"/>
              </w:rPr>
              <w:t>Photronics</w:t>
            </w: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Axcelis Technologies</w:t>
            </w:r>
          </w:p>
        </w:tc>
        <w:tc>
          <w:tcPr>
            <w:tcW w:w="2400" w:type="dxa"/>
            <w:vAlign w:val="bottom"/>
          </w:tcPr>
          <w:p>
            <w:pPr>
              <w:ind w:left="560"/>
              <w:spacing w:after="0"/>
              <w:rPr>
                <w:sz w:val="20"/>
                <w:szCs w:val="20"/>
                <w:color w:val="auto"/>
              </w:rPr>
            </w:pPr>
            <w:r>
              <w:rPr>
                <w:rFonts w:ascii="Arial" w:cs="Arial" w:eastAsia="Arial" w:hAnsi="Arial"/>
                <w:sz w:val="18"/>
                <w:szCs w:val="18"/>
                <w:color w:val="auto"/>
              </w:rPr>
              <w:t>FormFactor</w:t>
            </w:r>
          </w:p>
        </w:tc>
        <w:tc>
          <w:tcPr>
            <w:tcW w:w="3180" w:type="dxa"/>
            <w:vAlign w:val="bottom"/>
          </w:tcPr>
          <w:p>
            <w:pPr>
              <w:ind w:left="660"/>
              <w:spacing w:after="0"/>
              <w:rPr>
                <w:sz w:val="20"/>
                <w:szCs w:val="20"/>
                <w:color w:val="auto"/>
              </w:rPr>
            </w:pPr>
            <w:r>
              <w:rPr>
                <w:rFonts w:ascii="Arial" w:cs="Arial" w:eastAsia="Arial" w:hAnsi="Arial"/>
                <w:sz w:val="18"/>
                <w:szCs w:val="18"/>
                <w:color w:val="auto"/>
              </w:rPr>
              <w:t>MaxLinear</w:t>
            </w:r>
          </w:p>
        </w:tc>
        <w:tc>
          <w:tcPr>
            <w:tcW w:w="3060" w:type="dxa"/>
            <w:vAlign w:val="bottom"/>
          </w:tcPr>
          <w:p>
            <w:pPr>
              <w:ind w:left="220"/>
              <w:spacing w:after="0"/>
              <w:rPr>
                <w:sz w:val="20"/>
                <w:szCs w:val="20"/>
                <w:color w:val="auto"/>
              </w:rPr>
            </w:pPr>
            <w:r>
              <w:rPr>
                <w:rFonts w:ascii="Arial" w:cs="Arial" w:eastAsia="Arial" w:hAnsi="Arial"/>
                <w:sz w:val="18"/>
                <w:szCs w:val="18"/>
                <w:color w:val="auto"/>
              </w:rPr>
              <w:t>SMART Global Holdings</w:t>
            </w:r>
          </w:p>
        </w:tc>
      </w:tr>
      <w:tr>
        <w:trPr>
          <w:trHeight w:val="216"/>
        </w:trPr>
        <w:tc>
          <w:tcPr>
            <w:tcW w:w="2600" w:type="dxa"/>
            <w:vAlign w:val="bottom"/>
            <w:shd w:val="clear" w:color="auto" w:fill="E6E6E6"/>
          </w:tcPr>
          <w:p>
            <w:pPr>
              <w:spacing w:after="0"/>
              <w:rPr>
                <w:sz w:val="20"/>
                <w:szCs w:val="20"/>
                <w:color w:val="auto"/>
              </w:rPr>
            </w:pPr>
            <w:r>
              <w:rPr>
                <w:rFonts w:ascii="Arial" w:cs="Arial" w:eastAsia="Arial" w:hAnsi="Arial"/>
                <w:sz w:val="18"/>
                <w:szCs w:val="18"/>
                <w:color w:val="auto"/>
              </w:rPr>
              <w:t>Azenta</w:t>
            </w:r>
          </w:p>
        </w:tc>
        <w:tc>
          <w:tcPr>
            <w:tcW w:w="2400" w:type="dxa"/>
            <w:vAlign w:val="bottom"/>
            <w:shd w:val="clear" w:color="auto" w:fill="E6E6E6"/>
          </w:tcPr>
          <w:p>
            <w:pPr>
              <w:ind w:left="560"/>
              <w:spacing w:after="0"/>
              <w:rPr>
                <w:sz w:val="20"/>
                <w:szCs w:val="20"/>
                <w:color w:val="auto"/>
              </w:rPr>
            </w:pPr>
            <w:r>
              <w:rPr>
                <w:rFonts w:ascii="Arial" w:cs="Arial" w:eastAsia="Arial" w:hAnsi="Arial"/>
                <w:sz w:val="18"/>
                <w:szCs w:val="18"/>
                <w:color w:val="auto"/>
              </w:rPr>
              <w:t>Harmonic</w:t>
            </w:r>
          </w:p>
        </w:tc>
        <w:tc>
          <w:tcPr>
            <w:tcW w:w="3180" w:type="dxa"/>
            <w:vAlign w:val="bottom"/>
            <w:shd w:val="clear" w:color="auto" w:fill="E6E6E6"/>
          </w:tcPr>
          <w:p>
            <w:pPr>
              <w:ind w:left="660"/>
              <w:spacing w:after="0"/>
              <w:rPr>
                <w:sz w:val="20"/>
                <w:szCs w:val="20"/>
                <w:color w:val="auto"/>
              </w:rPr>
            </w:pPr>
            <w:r>
              <w:rPr>
                <w:rFonts w:ascii="Arial" w:cs="Arial" w:eastAsia="Arial" w:hAnsi="Arial"/>
                <w:sz w:val="18"/>
                <w:szCs w:val="18"/>
                <w:color w:val="auto"/>
              </w:rPr>
              <w:t>Novanta</w:t>
            </w:r>
          </w:p>
        </w:tc>
        <w:tc>
          <w:tcPr>
            <w:tcW w:w="3060" w:type="dxa"/>
            <w:vAlign w:val="bottom"/>
            <w:shd w:val="clear" w:color="auto" w:fill="E6E6E6"/>
          </w:tcPr>
          <w:p>
            <w:pPr>
              <w:ind w:left="220"/>
              <w:spacing w:after="0"/>
              <w:rPr>
                <w:sz w:val="20"/>
                <w:szCs w:val="20"/>
                <w:color w:val="auto"/>
              </w:rPr>
            </w:pPr>
            <w:r>
              <w:rPr>
                <w:rFonts w:ascii="Arial" w:cs="Arial" w:eastAsia="Arial" w:hAnsi="Arial"/>
                <w:sz w:val="18"/>
                <w:szCs w:val="18"/>
                <w:color w:val="auto"/>
              </w:rPr>
              <w:t>Ultra Clean Holdings</w:t>
            </w: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Badger Meter</w:t>
            </w:r>
          </w:p>
        </w:tc>
        <w:tc>
          <w:tcPr>
            <w:tcW w:w="2400" w:type="dxa"/>
            <w:vAlign w:val="bottom"/>
          </w:tcPr>
          <w:p>
            <w:pPr>
              <w:ind w:left="560"/>
              <w:spacing w:after="0"/>
              <w:rPr>
                <w:sz w:val="20"/>
                <w:szCs w:val="20"/>
                <w:color w:val="auto"/>
              </w:rPr>
            </w:pPr>
            <w:r>
              <w:rPr>
                <w:rFonts w:ascii="Arial" w:cs="Arial" w:eastAsia="Arial" w:hAnsi="Arial"/>
                <w:sz w:val="18"/>
                <w:szCs w:val="18"/>
                <w:color w:val="auto"/>
              </w:rPr>
              <w:t>Ichor Holdings</w:t>
            </w:r>
          </w:p>
        </w:tc>
        <w:tc>
          <w:tcPr>
            <w:tcW w:w="3180" w:type="dxa"/>
            <w:vAlign w:val="bottom"/>
          </w:tcPr>
          <w:p>
            <w:pPr>
              <w:ind w:left="660"/>
              <w:spacing w:after="0"/>
              <w:rPr>
                <w:sz w:val="20"/>
                <w:szCs w:val="20"/>
                <w:color w:val="auto"/>
              </w:rPr>
            </w:pPr>
            <w:r>
              <w:rPr>
                <w:rFonts w:ascii="Arial" w:cs="Arial" w:eastAsia="Arial" w:hAnsi="Arial"/>
                <w:sz w:val="18"/>
                <w:szCs w:val="18"/>
                <w:color w:val="auto"/>
              </w:rPr>
              <w:t>Onto Innovation</w:t>
            </w:r>
          </w:p>
        </w:tc>
        <w:tc>
          <w:tcPr>
            <w:tcW w:w="3060" w:type="dxa"/>
            <w:vAlign w:val="bottom"/>
          </w:tcPr>
          <w:p>
            <w:pPr>
              <w:ind w:left="220"/>
              <w:spacing w:after="0"/>
              <w:rPr>
                <w:sz w:val="20"/>
                <w:szCs w:val="20"/>
                <w:color w:val="auto"/>
              </w:rPr>
            </w:pPr>
            <w:r>
              <w:rPr>
                <w:rFonts w:ascii="Arial" w:cs="Arial" w:eastAsia="Arial" w:hAnsi="Arial"/>
                <w:sz w:val="18"/>
                <w:szCs w:val="18"/>
                <w:color w:val="auto"/>
              </w:rPr>
              <w:t>Vecco Instruments</w:t>
            </w:r>
          </w:p>
        </w:tc>
      </w:tr>
      <w:tr>
        <w:trPr>
          <w:trHeight w:val="216"/>
        </w:trPr>
        <w:tc>
          <w:tcPr>
            <w:tcW w:w="2600" w:type="dxa"/>
            <w:vAlign w:val="bottom"/>
            <w:tcBorders>
              <w:bottom w:val="single" w:sz="8" w:color="auto"/>
            </w:tcBorders>
            <w:shd w:val="clear" w:color="auto" w:fill="E6E6E6"/>
          </w:tcPr>
          <w:p>
            <w:pPr>
              <w:spacing w:after="0"/>
              <w:rPr>
                <w:sz w:val="20"/>
                <w:szCs w:val="20"/>
                <w:color w:val="auto"/>
              </w:rPr>
            </w:pPr>
            <w:r>
              <w:rPr>
                <w:rFonts w:ascii="Arial" w:cs="Arial" w:eastAsia="Arial" w:hAnsi="Arial"/>
                <w:sz w:val="18"/>
                <w:szCs w:val="18"/>
                <w:color w:val="auto"/>
              </w:rPr>
              <w:t>Cirrus Logic</w:t>
            </w:r>
          </w:p>
        </w:tc>
        <w:tc>
          <w:tcPr>
            <w:tcW w:w="2400" w:type="dxa"/>
            <w:vAlign w:val="bottom"/>
            <w:tcBorders>
              <w:bottom w:val="single" w:sz="8" w:color="auto"/>
            </w:tcBorders>
            <w:shd w:val="clear" w:color="auto" w:fill="E6E6E6"/>
          </w:tcPr>
          <w:p>
            <w:pPr>
              <w:ind w:left="560"/>
              <w:spacing w:after="0"/>
              <w:rPr>
                <w:sz w:val="20"/>
                <w:szCs w:val="20"/>
                <w:color w:val="auto"/>
              </w:rPr>
            </w:pPr>
            <w:r>
              <w:rPr>
                <w:rFonts w:ascii="Arial" w:cs="Arial" w:eastAsia="Arial" w:hAnsi="Arial"/>
                <w:sz w:val="18"/>
                <w:szCs w:val="18"/>
                <w:color w:val="auto"/>
              </w:rPr>
              <w:t>Kulicke &amp; Soffa</w:t>
            </w:r>
          </w:p>
        </w:tc>
        <w:tc>
          <w:tcPr>
            <w:tcW w:w="3180" w:type="dxa"/>
            <w:vAlign w:val="bottom"/>
            <w:tcBorders>
              <w:bottom w:val="single" w:sz="8" w:color="auto"/>
            </w:tcBorders>
            <w:shd w:val="clear" w:color="auto" w:fill="E6E6E6"/>
          </w:tcPr>
          <w:p>
            <w:pPr>
              <w:ind w:left="660"/>
              <w:spacing w:after="0"/>
              <w:rPr>
                <w:sz w:val="20"/>
                <w:szCs w:val="20"/>
                <w:color w:val="auto"/>
              </w:rPr>
            </w:pPr>
            <w:r>
              <w:rPr>
                <w:rFonts w:ascii="Arial" w:cs="Arial" w:eastAsia="Arial" w:hAnsi="Arial"/>
                <w:sz w:val="18"/>
                <w:szCs w:val="18"/>
                <w:color w:val="auto"/>
              </w:rPr>
              <w:t>OSI Systems</w:t>
            </w:r>
          </w:p>
        </w:tc>
        <w:tc>
          <w:tcPr>
            <w:tcW w:w="3060" w:type="dxa"/>
            <w:vAlign w:val="bottom"/>
            <w:tcBorders>
              <w:bottom w:val="single" w:sz="8" w:color="auto"/>
            </w:tcBorders>
            <w:shd w:val="clear" w:color="auto" w:fill="E6E6E6"/>
          </w:tcPr>
          <w:p>
            <w:pPr>
              <w:spacing w:after="0"/>
              <w:rPr>
                <w:sz w:val="18"/>
                <w:szCs w:val="18"/>
                <w:color w:val="auto"/>
              </w:rPr>
            </w:pPr>
          </w:p>
        </w:tc>
      </w:tr>
    </w:tbl>
    <w:p>
      <w:pPr>
        <w:spacing w:after="0" w:line="202"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Generally, historical data on the compensation practices of the companies in the compensation peer group was gathered by Compensia from publicly available sources, including publicly available databases. Peer company data is gathered with respect to base salary, target annual incentive opportunities, equity awards (including stock options, RSU awards, and PSU awards), and long-term cash-based awards. In addition, similar data was gathered from the Radford High- Technology Executive Compensation survey for purposes of providing additional perspective in the case of executive positions where the compensation peer group offered a limited number of relevant data points.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2D53A6"/>
        </w:rPr>
        <w:t>Compensation Elements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executive compensation program consists of six principal elements:</w:t>
      </w:r>
    </w:p>
    <w:p>
      <w:pPr>
        <w:spacing w:after="0" w:line="225" w:lineRule="exact"/>
        <w:rPr>
          <w:sz w:val="20"/>
          <w:szCs w:val="20"/>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Short-term incentive opportunities paid in cash,</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Long-term incentive compensation in the form of equity awards,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Deferred compensation benefits;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Welfare and health benefits, including a Section 401(k) plan;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Limited perquisites and other personal benefits.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3" w:name="page34"/>
    <w:bookmarkEnd w:id="33"/>
    <w:p>
      <w:pPr>
        <w:ind w:right="300"/>
        <w:spacing w:after="0" w:line="277" w:lineRule="auto"/>
        <w:rPr>
          <w:sz w:val="20"/>
          <w:szCs w:val="20"/>
          <w:color w:val="auto"/>
        </w:rPr>
      </w:pPr>
      <w:r>
        <w:rPr>
          <w:rFonts w:ascii="Arial" w:cs="Arial" w:eastAsia="Arial" w:hAnsi="Arial"/>
          <w:sz w:val="18"/>
          <w:szCs w:val="18"/>
          <w:color w:val="auto"/>
        </w:rPr>
        <w:t>The Compensation Committee has selected these elements because each is considered necessary, appropriate and when combined are effective, and will continue to be effective, in achieving our compensation objectives.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Base Salary</w:t>
      </w:r>
    </w:p>
    <w:p>
      <w:pPr>
        <w:spacing w:after="0" w:line="225"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We believe that a competitive base salary is a necessary element of our executive compensation program, so that we can attract and retain experienced executive officers. Base salaries for our executive officers are also intended to be competitive with those received by other individuals in similar positions at the companies with which we compete for talent, as well as to be equitable across the management team.</w:t>
      </w:r>
    </w:p>
    <w:p>
      <w:pPr>
        <w:spacing w:after="0" w:line="16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Compensation Committee reviews the base salaries of our executive officers, including our NEOs, annually and makes adjustments to base salaries as it determines to be necessary or appropriate.</w:t>
      </w:r>
    </w:p>
    <w:p>
      <w:pPr>
        <w:spacing w:after="0" w:line="170"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On February 3, 2022, the Compensation Committee, based on the recommendations of Dr. Müller, except with respect to his own compensation, and a review of market salary data as well as other factors described above, approved base salary increases for our executive officers including our NEOs effective on February 21, 2022 or the subsequent scheduled pay period.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00" w:type="dxa"/>
            <w:vAlign w:val="bottom"/>
            <w:tcBorders>
              <w:right w:val="single" w:sz="8" w:color="2D53A6"/>
            </w:tcBorders>
            <w:vMerge w:val="restart"/>
            <w:shd w:val="clear" w:color="auto" w:fill="2D53A6"/>
          </w:tcPr>
          <w:p>
            <w:pPr>
              <w:spacing w:after="0"/>
              <w:rPr>
                <w:sz w:val="20"/>
                <w:szCs w:val="20"/>
                <w:color w:val="auto"/>
              </w:rPr>
            </w:pPr>
            <w:r>
              <w:rPr>
                <w:rFonts w:ascii="Arial" w:cs="Arial" w:eastAsia="Arial" w:hAnsi="Arial"/>
                <w:sz w:val="18"/>
                <w:szCs w:val="18"/>
                <w:b w:val="1"/>
                <w:bCs w:val="1"/>
                <w:color w:val="FFFFFF"/>
              </w:rPr>
              <w:t>Named Executive Officer</w:t>
            </w:r>
          </w:p>
        </w:tc>
        <w:tc>
          <w:tcPr>
            <w:tcW w:w="1960" w:type="dxa"/>
            <w:vAlign w:val="bottom"/>
            <w:tcBorders>
              <w:right w:val="single" w:sz="8" w:color="2D53A6"/>
            </w:tcBorders>
            <w:shd w:val="clear" w:color="auto" w:fill="2D53A6"/>
          </w:tcPr>
          <w:p>
            <w:pPr>
              <w:jc w:val="right"/>
              <w:ind w:right="730"/>
              <w:spacing w:after="0"/>
              <w:rPr>
                <w:sz w:val="20"/>
                <w:szCs w:val="20"/>
                <w:color w:val="auto"/>
              </w:rPr>
            </w:pPr>
            <w:r>
              <w:rPr>
                <w:rFonts w:ascii="Arial" w:cs="Arial" w:eastAsia="Arial" w:hAnsi="Arial"/>
                <w:sz w:val="18"/>
                <w:szCs w:val="18"/>
                <w:b w:val="1"/>
                <w:bCs w:val="1"/>
                <w:color w:val="FFFFFF"/>
              </w:rPr>
              <w:t>2021</w:t>
            </w:r>
          </w:p>
        </w:tc>
        <w:tc>
          <w:tcPr>
            <w:tcW w:w="1940" w:type="dxa"/>
            <w:vAlign w:val="bottom"/>
            <w:tcBorders>
              <w:right w:val="single" w:sz="8" w:color="2D53A6"/>
            </w:tcBorders>
            <w:shd w:val="clear" w:color="auto" w:fill="2D53A6"/>
          </w:tcPr>
          <w:p>
            <w:pPr>
              <w:jc w:val="right"/>
              <w:ind w:right="710"/>
              <w:spacing w:after="0"/>
              <w:rPr>
                <w:sz w:val="20"/>
                <w:szCs w:val="20"/>
                <w:color w:val="auto"/>
              </w:rPr>
            </w:pPr>
            <w:r>
              <w:rPr>
                <w:rFonts w:ascii="Arial" w:cs="Arial" w:eastAsia="Arial" w:hAnsi="Arial"/>
                <w:sz w:val="18"/>
                <w:szCs w:val="18"/>
                <w:b w:val="1"/>
                <w:bCs w:val="1"/>
                <w:color w:val="FFFFFF"/>
              </w:rPr>
              <w:t>2022</w:t>
            </w:r>
          </w:p>
        </w:tc>
        <w:tc>
          <w:tcPr>
            <w:tcW w:w="1840" w:type="dxa"/>
            <w:vAlign w:val="bottom"/>
            <w:shd w:val="clear" w:color="auto" w:fill="2D53A6"/>
          </w:tcPr>
          <w:p>
            <w:pPr>
              <w:jc w:val="center"/>
              <w:spacing w:after="0"/>
              <w:rPr>
                <w:sz w:val="20"/>
                <w:szCs w:val="20"/>
                <w:color w:val="auto"/>
              </w:rPr>
            </w:pPr>
            <w:r>
              <w:rPr>
                <w:rFonts w:ascii="Arial" w:cs="Arial" w:eastAsia="Arial" w:hAnsi="Arial"/>
                <w:sz w:val="18"/>
                <w:szCs w:val="18"/>
                <w:b w:val="1"/>
                <w:bCs w:val="1"/>
                <w:color w:val="FFFFFF"/>
                <w:w w:val="86"/>
              </w:rPr>
              <w:t>Percentage</w:t>
            </w:r>
          </w:p>
        </w:tc>
        <w:tc>
          <w:tcPr>
            <w:tcW w:w="0" w:type="dxa"/>
            <w:vAlign w:val="bottom"/>
          </w:tcPr>
          <w:p>
            <w:pPr>
              <w:spacing w:after="0"/>
              <w:rPr>
                <w:sz w:val="1"/>
                <w:szCs w:val="1"/>
                <w:color w:val="auto"/>
              </w:rPr>
            </w:pPr>
          </w:p>
        </w:tc>
      </w:tr>
      <w:tr>
        <w:trPr>
          <w:trHeight w:val="126"/>
        </w:trPr>
        <w:tc>
          <w:tcPr>
            <w:tcW w:w="5500" w:type="dxa"/>
            <w:vAlign w:val="bottom"/>
            <w:tcBorders>
              <w:right w:val="single" w:sz="8" w:color="2D53A6"/>
            </w:tcBorders>
            <w:vMerge w:val="continue"/>
            <w:shd w:val="clear" w:color="auto" w:fill="2D53A6"/>
          </w:tcPr>
          <w:p>
            <w:pPr>
              <w:spacing w:after="0"/>
              <w:rPr>
                <w:sz w:val="10"/>
                <w:szCs w:val="10"/>
                <w:color w:val="auto"/>
              </w:rPr>
            </w:pPr>
          </w:p>
        </w:tc>
        <w:tc>
          <w:tcPr>
            <w:tcW w:w="1960" w:type="dxa"/>
            <w:vAlign w:val="bottom"/>
            <w:tcBorders>
              <w:right w:val="single" w:sz="8" w:color="2D53A6"/>
            </w:tcBorders>
            <w:vMerge w:val="restart"/>
            <w:shd w:val="clear" w:color="auto" w:fill="2D53A6"/>
          </w:tcPr>
          <w:p>
            <w:pPr>
              <w:jc w:val="right"/>
              <w:ind w:right="450"/>
              <w:spacing w:after="0"/>
              <w:rPr>
                <w:sz w:val="20"/>
                <w:szCs w:val="20"/>
                <w:color w:val="auto"/>
              </w:rPr>
            </w:pPr>
            <w:r>
              <w:rPr>
                <w:rFonts w:ascii="Arial" w:cs="Arial" w:eastAsia="Arial" w:hAnsi="Arial"/>
                <w:sz w:val="18"/>
                <w:szCs w:val="18"/>
                <w:b w:val="1"/>
                <w:bCs w:val="1"/>
                <w:color w:val="FFFFFF"/>
              </w:rPr>
              <w:t>Base Salary</w:t>
            </w:r>
          </w:p>
        </w:tc>
        <w:tc>
          <w:tcPr>
            <w:tcW w:w="1940" w:type="dxa"/>
            <w:vAlign w:val="bottom"/>
            <w:tcBorders>
              <w:right w:val="single" w:sz="8" w:color="2D53A6"/>
            </w:tcBorders>
            <w:vMerge w:val="restart"/>
            <w:shd w:val="clear" w:color="auto" w:fill="2D53A6"/>
          </w:tcPr>
          <w:p>
            <w:pPr>
              <w:jc w:val="right"/>
              <w:ind w:right="450"/>
              <w:spacing w:after="0"/>
              <w:rPr>
                <w:sz w:val="20"/>
                <w:szCs w:val="20"/>
                <w:color w:val="auto"/>
              </w:rPr>
            </w:pPr>
            <w:r>
              <w:rPr>
                <w:rFonts w:ascii="Arial" w:cs="Arial" w:eastAsia="Arial" w:hAnsi="Arial"/>
                <w:sz w:val="18"/>
                <w:szCs w:val="18"/>
                <w:b w:val="1"/>
                <w:bCs w:val="1"/>
                <w:color w:val="FFFFFF"/>
              </w:rPr>
              <w:t>Base Salary</w:t>
            </w:r>
          </w:p>
        </w:tc>
        <w:tc>
          <w:tcPr>
            <w:tcW w:w="1840" w:type="dxa"/>
            <w:vAlign w:val="bottom"/>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90"/>
              </w:rPr>
              <w:t>Change</w:t>
            </w:r>
          </w:p>
        </w:tc>
        <w:tc>
          <w:tcPr>
            <w:tcW w:w="0" w:type="dxa"/>
            <w:vAlign w:val="bottom"/>
          </w:tcPr>
          <w:p>
            <w:pPr>
              <w:spacing w:after="0"/>
              <w:rPr>
                <w:sz w:val="1"/>
                <w:szCs w:val="1"/>
                <w:color w:val="auto"/>
              </w:rPr>
            </w:pPr>
          </w:p>
        </w:tc>
      </w:tr>
      <w:tr>
        <w:trPr>
          <w:trHeight w:val="121"/>
        </w:trPr>
        <w:tc>
          <w:tcPr>
            <w:tcW w:w="5500" w:type="dxa"/>
            <w:vAlign w:val="bottom"/>
            <w:tcBorders>
              <w:right w:val="single" w:sz="8" w:color="2D53A6"/>
            </w:tcBorders>
            <w:shd w:val="clear" w:color="auto" w:fill="2D53A6"/>
          </w:tcPr>
          <w:p>
            <w:pPr>
              <w:spacing w:after="0"/>
              <w:rPr>
                <w:sz w:val="10"/>
                <w:szCs w:val="10"/>
                <w:color w:val="auto"/>
              </w:rPr>
            </w:pPr>
          </w:p>
        </w:tc>
        <w:tc>
          <w:tcPr>
            <w:tcW w:w="1960" w:type="dxa"/>
            <w:vAlign w:val="bottom"/>
            <w:tcBorders>
              <w:right w:val="single" w:sz="8" w:color="2D53A6"/>
            </w:tcBorders>
            <w:vMerge w:val="continue"/>
            <w:shd w:val="clear" w:color="auto" w:fill="2D53A6"/>
          </w:tcPr>
          <w:p>
            <w:pPr>
              <w:spacing w:after="0"/>
              <w:rPr>
                <w:sz w:val="10"/>
                <w:szCs w:val="10"/>
                <w:color w:val="auto"/>
              </w:rPr>
            </w:pPr>
          </w:p>
        </w:tc>
        <w:tc>
          <w:tcPr>
            <w:tcW w:w="1940" w:type="dxa"/>
            <w:vAlign w:val="bottom"/>
            <w:tcBorders>
              <w:right w:val="single" w:sz="8" w:color="2D53A6"/>
            </w:tcBorders>
            <w:vMerge w:val="continue"/>
            <w:shd w:val="clear" w:color="auto" w:fill="2D53A6"/>
          </w:tcPr>
          <w:p>
            <w:pPr>
              <w:spacing w:after="0"/>
              <w:rPr>
                <w:sz w:val="10"/>
                <w:szCs w:val="10"/>
                <w:color w:val="auto"/>
              </w:rPr>
            </w:pPr>
          </w:p>
        </w:tc>
        <w:tc>
          <w:tcPr>
            <w:tcW w:w="1840" w:type="dxa"/>
            <w:vAlign w:val="bottom"/>
            <w:vMerge w:val="continue"/>
            <w:shd w:val="clear" w:color="auto" w:fill="2D53A6"/>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5500" w:type="dxa"/>
            <w:vAlign w:val="bottom"/>
            <w:tcBorders>
              <w:bottom w:val="single" w:sz="8" w:color="2D53A6"/>
              <w:right w:val="single" w:sz="8" w:color="2D53A6"/>
            </w:tcBorders>
          </w:tcPr>
          <w:p>
            <w:pPr>
              <w:spacing w:after="0"/>
              <w:rPr>
                <w:sz w:val="20"/>
                <w:szCs w:val="20"/>
                <w:color w:val="auto"/>
              </w:rPr>
            </w:pPr>
            <w:r>
              <w:rPr>
                <w:rFonts w:ascii="Arial" w:cs="Arial" w:eastAsia="Arial" w:hAnsi="Arial"/>
                <w:sz w:val="18"/>
                <w:szCs w:val="18"/>
                <w:color w:val="auto"/>
              </w:rPr>
              <w:t>Luis A. Müller</w:t>
            </w:r>
          </w:p>
        </w:tc>
        <w:tc>
          <w:tcPr>
            <w:tcW w:w="196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$625,000</w:t>
            </w:r>
          </w:p>
        </w:tc>
        <w:tc>
          <w:tcPr>
            <w:tcW w:w="194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$675,000</w:t>
            </w:r>
          </w:p>
        </w:tc>
        <w:tc>
          <w:tcPr>
            <w:tcW w:w="1840" w:type="dxa"/>
            <w:vAlign w:val="bottom"/>
            <w:tcBorders>
              <w:bottom w:val="single" w:sz="8" w:color="2D53A6"/>
            </w:tcBorders>
          </w:tcPr>
          <w:p>
            <w:pPr>
              <w:jc w:val="center"/>
              <w:spacing w:after="0"/>
              <w:rPr>
                <w:sz w:val="20"/>
                <w:szCs w:val="20"/>
                <w:color w:val="auto"/>
              </w:rPr>
            </w:pPr>
            <w:r>
              <w:rPr>
                <w:rFonts w:ascii="Arial" w:cs="Arial" w:eastAsia="Arial" w:hAnsi="Arial"/>
                <w:sz w:val="18"/>
                <w:szCs w:val="18"/>
                <w:color w:val="auto"/>
                <w:w w:val="92"/>
              </w:rPr>
              <w:t>8.0%</w:t>
            </w:r>
          </w:p>
        </w:tc>
        <w:tc>
          <w:tcPr>
            <w:tcW w:w="0" w:type="dxa"/>
            <w:vAlign w:val="bottom"/>
          </w:tcPr>
          <w:p>
            <w:pPr>
              <w:spacing w:after="0"/>
              <w:rPr>
                <w:sz w:val="1"/>
                <w:szCs w:val="1"/>
                <w:color w:val="auto"/>
              </w:rPr>
            </w:pPr>
          </w:p>
        </w:tc>
      </w:tr>
      <w:tr>
        <w:trPr>
          <w:trHeight w:val="209"/>
        </w:trPr>
        <w:tc>
          <w:tcPr>
            <w:tcW w:w="5500" w:type="dxa"/>
            <w:vAlign w:val="bottom"/>
            <w:tcBorders>
              <w:bottom w:val="single" w:sz="8" w:color="2D53A6"/>
              <w:right w:val="single" w:sz="8" w:color="2D53A6"/>
            </w:tcBorders>
            <w:shd w:val="clear" w:color="auto" w:fill="E6E6E6"/>
          </w:tcPr>
          <w:p>
            <w:pPr>
              <w:spacing w:after="0"/>
              <w:rPr>
                <w:sz w:val="20"/>
                <w:szCs w:val="20"/>
                <w:color w:val="auto"/>
              </w:rPr>
            </w:pPr>
            <w:r>
              <w:rPr>
                <w:rFonts w:ascii="Arial" w:cs="Arial" w:eastAsia="Arial" w:hAnsi="Arial"/>
                <w:sz w:val="18"/>
                <w:szCs w:val="18"/>
                <w:color w:val="auto"/>
              </w:rPr>
              <w:t>Jeffrey D. Jones</w:t>
            </w:r>
          </w:p>
        </w:tc>
        <w:tc>
          <w:tcPr>
            <w:tcW w:w="196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$410,000</w:t>
            </w:r>
          </w:p>
        </w:tc>
        <w:tc>
          <w:tcPr>
            <w:tcW w:w="194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$437,000</w:t>
            </w:r>
          </w:p>
        </w:tc>
        <w:tc>
          <w:tcPr>
            <w:tcW w:w="1840" w:type="dxa"/>
            <w:vAlign w:val="bottom"/>
            <w:tcBorders>
              <w:bottom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2"/>
              </w:rPr>
              <w:t>6.6%</w:t>
            </w:r>
          </w:p>
        </w:tc>
        <w:tc>
          <w:tcPr>
            <w:tcW w:w="0" w:type="dxa"/>
            <w:vAlign w:val="bottom"/>
          </w:tcPr>
          <w:p>
            <w:pPr>
              <w:spacing w:after="0"/>
              <w:rPr>
                <w:sz w:val="1"/>
                <w:szCs w:val="1"/>
                <w:color w:val="auto"/>
              </w:rPr>
            </w:pPr>
          </w:p>
        </w:tc>
      </w:tr>
      <w:tr>
        <w:trPr>
          <w:trHeight w:val="209"/>
        </w:trPr>
        <w:tc>
          <w:tcPr>
            <w:tcW w:w="5500" w:type="dxa"/>
            <w:vAlign w:val="bottom"/>
            <w:tcBorders>
              <w:bottom w:val="single" w:sz="8" w:color="2D53A6"/>
              <w:right w:val="single" w:sz="8" w:color="2D53A6"/>
            </w:tcBorders>
          </w:tcPr>
          <w:p>
            <w:pPr>
              <w:spacing w:after="0"/>
              <w:rPr>
                <w:sz w:val="20"/>
                <w:szCs w:val="20"/>
                <w:color w:val="auto"/>
              </w:rPr>
            </w:pPr>
            <w:r>
              <w:rPr>
                <w:rFonts w:ascii="Arial" w:cs="Arial" w:eastAsia="Arial" w:hAnsi="Arial"/>
                <w:sz w:val="18"/>
                <w:szCs w:val="18"/>
                <w:color w:val="auto"/>
              </w:rPr>
              <w:t>Christopher G. Bohrson</w:t>
            </w:r>
          </w:p>
        </w:tc>
        <w:tc>
          <w:tcPr>
            <w:tcW w:w="196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$366,000</w:t>
            </w:r>
          </w:p>
        </w:tc>
        <w:tc>
          <w:tcPr>
            <w:tcW w:w="194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$385,000</w:t>
            </w:r>
          </w:p>
        </w:tc>
        <w:tc>
          <w:tcPr>
            <w:tcW w:w="1840" w:type="dxa"/>
            <w:vAlign w:val="bottom"/>
            <w:tcBorders>
              <w:bottom w:val="single" w:sz="8" w:color="2D53A6"/>
            </w:tcBorders>
          </w:tcPr>
          <w:p>
            <w:pPr>
              <w:jc w:val="center"/>
              <w:spacing w:after="0"/>
              <w:rPr>
                <w:sz w:val="20"/>
                <w:szCs w:val="20"/>
                <w:color w:val="auto"/>
              </w:rPr>
            </w:pPr>
            <w:r>
              <w:rPr>
                <w:rFonts w:ascii="Arial" w:cs="Arial" w:eastAsia="Arial" w:hAnsi="Arial"/>
                <w:sz w:val="18"/>
                <w:szCs w:val="18"/>
                <w:color w:val="auto"/>
                <w:w w:val="92"/>
              </w:rPr>
              <w:t>5.2%</w:t>
            </w:r>
          </w:p>
        </w:tc>
        <w:tc>
          <w:tcPr>
            <w:tcW w:w="0" w:type="dxa"/>
            <w:vAlign w:val="bottom"/>
          </w:tcPr>
          <w:p>
            <w:pPr>
              <w:spacing w:after="0"/>
              <w:rPr>
                <w:sz w:val="1"/>
                <w:szCs w:val="1"/>
                <w:color w:val="auto"/>
              </w:rPr>
            </w:pPr>
          </w:p>
        </w:tc>
      </w:tr>
      <w:tr>
        <w:trPr>
          <w:trHeight w:val="210"/>
        </w:trPr>
        <w:tc>
          <w:tcPr>
            <w:tcW w:w="5500" w:type="dxa"/>
            <w:vAlign w:val="bottom"/>
            <w:tcBorders>
              <w:bottom w:val="single" w:sz="8" w:color="2D53A6"/>
              <w:right w:val="single" w:sz="8" w:color="2D53A6"/>
            </w:tcBorders>
            <w:shd w:val="clear" w:color="auto" w:fill="E6E6E6"/>
          </w:tcPr>
          <w:p>
            <w:pPr>
              <w:spacing w:after="0"/>
              <w:rPr>
                <w:sz w:val="20"/>
                <w:szCs w:val="20"/>
                <w:color w:val="auto"/>
              </w:rPr>
            </w:pPr>
            <w:r>
              <w:rPr>
                <w:rFonts w:ascii="Arial" w:cs="Arial" w:eastAsia="Arial" w:hAnsi="Arial"/>
                <w:sz w:val="18"/>
                <w:szCs w:val="18"/>
                <w:color w:val="auto"/>
              </w:rPr>
              <w:t>Thomas D. Kampfer</w:t>
            </w:r>
          </w:p>
        </w:tc>
        <w:tc>
          <w:tcPr>
            <w:tcW w:w="196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$355,000</w:t>
            </w:r>
          </w:p>
        </w:tc>
        <w:tc>
          <w:tcPr>
            <w:tcW w:w="194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$378,000</w:t>
            </w:r>
          </w:p>
        </w:tc>
        <w:tc>
          <w:tcPr>
            <w:tcW w:w="1840" w:type="dxa"/>
            <w:vAlign w:val="bottom"/>
            <w:tcBorders>
              <w:bottom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2"/>
              </w:rPr>
              <w:t>6.5%</w:t>
            </w:r>
          </w:p>
        </w:tc>
        <w:tc>
          <w:tcPr>
            <w:tcW w:w="0" w:type="dxa"/>
            <w:vAlign w:val="bottom"/>
          </w:tcPr>
          <w:p>
            <w:pPr>
              <w:spacing w:after="0"/>
              <w:rPr>
                <w:sz w:val="1"/>
                <w:szCs w:val="1"/>
                <w:color w:val="auto"/>
              </w:rPr>
            </w:pPr>
          </w:p>
        </w:tc>
      </w:tr>
      <w:tr>
        <w:trPr>
          <w:trHeight w:val="209"/>
        </w:trPr>
        <w:tc>
          <w:tcPr>
            <w:tcW w:w="5500" w:type="dxa"/>
            <w:vAlign w:val="bottom"/>
            <w:tcBorders>
              <w:bottom w:val="single" w:sz="8" w:color="2D53A6"/>
              <w:right w:val="single" w:sz="8" w:color="2D53A6"/>
            </w:tcBorders>
          </w:tcPr>
          <w:p>
            <w:pPr>
              <w:spacing w:after="0"/>
              <w:rPr>
                <w:sz w:val="20"/>
                <w:szCs w:val="20"/>
                <w:color w:val="auto"/>
              </w:rPr>
            </w:pPr>
            <w:r>
              <w:rPr>
                <w:rFonts w:ascii="Arial" w:cs="Arial" w:eastAsia="Arial" w:hAnsi="Arial"/>
                <w:sz w:val="18"/>
                <w:szCs w:val="18"/>
                <w:color w:val="auto"/>
              </w:rPr>
              <w:t>Ian P. Lawee</w:t>
            </w:r>
          </w:p>
        </w:tc>
        <w:tc>
          <w:tcPr>
            <w:tcW w:w="196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$312,000</w:t>
            </w:r>
          </w:p>
        </w:tc>
        <w:tc>
          <w:tcPr>
            <w:tcW w:w="194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$328,000</w:t>
            </w:r>
          </w:p>
        </w:tc>
        <w:tc>
          <w:tcPr>
            <w:tcW w:w="1840" w:type="dxa"/>
            <w:vAlign w:val="bottom"/>
            <w:tcBorders>
              <w:bottom w:val="single" w:sz="8" w:color="2D53A6"/>
            </w:tcBorders>
          </w:tcPr>
          <w:p>
            <w:pPr>
              <w:jc w:val="center"/>
              <w:spacing w:after="0"/>
              <w:rPr>
                <w:sz w:val="20"/>
                <w:szCs w:val="20"/>
                <w:color w:val="auto"/>
              </w:rPr>
            </w:pPr>
            <w:r>
              <w:rPr>
                <w:rFonts w:ascii="Arial" w:cs="Arial" w:eastAsia="Arial" w:hAnsi="Arial"/>
                <w:sz w:val="18"/>
                <w:szCs w:val="18"/>
                <w:color w:val="auto"/>
                <w:w w:val="92"/>
              </w:rPr>
              <w:t>5.1%</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base salaries of our NEOs during 2021 are set forth in the “2021 Summary Compensation Table”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Short-Term Incentives</w:t>
      </w:r>
    </w:p>
    <w:p>
      <w:pPr>
        <w:spacing w:after="0" w:line="225"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Each year, the Compensation Committee approves an annual short-term incentive plan for our executive officers, including our NEOs, to encourage and award their achievement of our financial and operational objectives as set forth in our annual operating plan. Under this short-term incentive plan, the Compensation Committee establishes an incentive formula that is applied to the actual level of achievement for each of the selected performance measures. The incentive formula is based on the anticipated difficulty and relative importance of achieving the target level for each respective performance measure. Accordingly, the actual incentives paid, if any, for any given year will vary depending on our actual performance.</w:t>
      </w:r>
    </w:p>
    <w:p>
      <w:pPr>
        <w:spacing w:after="0" w:line="176"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To support our retention objectives, typically the short-term incentive plan provides that an executive officer must be an employee when the incentives for the year are paid. The short-term incentive plan provides that the Compensation Committee has the discretion to decrease, but not increase, any incentives paid under the plan, even if the applicable performance objectives have been achieved. Historically, incentives have been payable in cash unless an executive officer elects to defer all or part of his or her incentive into the Cohu, Inc. Deferred Compensation Plan.</w:t>
      </w:r>
    </w:p>
    <w:p>
      <w:pPr>
        <w:spacing w:after="0" w:line="17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On February 4, 2021, the Compensation Committee adopted the short-term incentive plan for 2021 (the “2021 STI”). The 2021 STI was adopted pursuant to the Cohu 2005 Equity Incentive Plan (the “2005 Plan”).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auto"/>
        </w:rPr>
        <w:t>Target Short-Term Incentive Opportunities</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For purposes of the 2021 STI, our CEO made recommendations to the Compensation Committee with respect to target short-term incentive opportunities (expressed as a percentage of base salary) for each of our executive officers, including our NEOs (except with respect to his own target short-term incentive opportunity). The target short-term incentive opportunities approved by the Compensation Committee for our NEOs, and the range of the potential incentive, as a percentage of base salary, were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20" w:type="dxa"/>
            <w:vAlign w:val="bottom"/>
            <w:tcBorders>
              <w:right w:val="single" w:sz="8" w:color="2D53A6"/>
            </w:tcBorders>
            <w:shd w:val="clear" w:color="auto" w:fill="2D53A6"/>
          </w:tcPr>
          <w:p>
            <w:pPr>
              <w:spacing w:after="0"/>
              <w:rPr>
                <w:sz w:val="17"/>
                <w:szCs w:val="17"/>
                <w:color w:val="auto"/>
              </w:rPr>
            </w:pPr>
          </w:p>
        </w:tc>
        <w:tc>
          <w:tcPr>
            <w:tcW w:w="346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92"/>
              </w:rPr>
              <w:t>Target Short-Term Incentive</w:t>
            </w:r>
          </w:p>
        </w:tc>
        <w:tc>
          <w:tcPr>
            <w:tcW w:w="3360" w:type="dxa"/>
            <w:vAlign w:val="bottom"/>
            <w:shd w:val="clear" w:color="auto" w:fill="2D53A6"/>
          </w:tcPr>
          <w:p>
            <w:pPr>
              <w:jc w:val="center"/>
              <w:spacing w:after="0"/>
              <w:rPr>
                <w:sz w:val="20"/>
                <w:szCs w:val="20"/>
                <w:color w:val="auto"/>
              </w:rPr>
            </w:pPr>
            <w:r>
              <w:rPr>
                <w:rFonts w:ascii="Arial" w:cs="Arial" w:eastAsia="Arial" w:hAnsi="Arial"/>
                <w:sz w:val="18"/>
                <w:szCs w:val="18"/>
                <w:b w:val="1"/>
                <w:bCs w:val="1"/>
                <w:color w:val="FFFFFF"/>
                <w:w w:val="86"/>
              </w:rPr>
              <w:t>Range of Possible 2021</w:t>
            </w:r>
          </w:p>
        </w:tc>
        <w:tc>
          <w:tcPr>
            <w:tcW w:w="0" w:type="dxa"/>
            <w:vAlign w:val="bottom"/>
          </w:tcPr>
          <w:p>
            <w:pPr>
              <w:spacing w:after="0"/>
              <w:rPr>
                <w:sz w:val="1"/>
                <w:szCs w:val="1"/>
                <w:color w:val="auto"/>
              </w:rPr>
            </w:pPr>
          </w:p>
        </w:tc>
      </w:tr>
      <w:tr>
        <w:trPr>
          <w:trHeight w:val="108"/>
        </w:trPr>
        <w:tc>
          <w:tcPr>
            <w:tcW w:w="4420" w:type="dxa"/>
            <w:vAlign w:val="bottom"/>
            <w:tcBorders>
              <w:right w:val="single" w:sz="8" w:color="2D53A6"/>
            </w:tcBorders>
            <w:vMerge w:val="restart"/>
            <w:shd w:val="clear" w:color="auto" w:fill="2D53A6"/>
          </w:tcPr>
          <w:p>
            <w:pPr>
              <w:spacing w:after="0"/>
              <w:rPr>
                <w:sz w:val="20"/>
                <w:szCs w:val="20"/>
                <w:color w:val="auto"/>
              </w:rPr>
            </w:pPr>
            <w:r>
              <w:rPr>
                <w:rFonts w:ascii="Arial" w:cs="Arial" w:eastAsia="Arial" w:hAnsi="Arial"/>
                <w:sz w:val="18"/>
                <w:szCs w:val="18"/>
                <w:b w:val="1"/>
                <w:bCs w:val="1"/>
                <w:color w:val="FFFFFF"/>
              </w:rPr>
              <w:t>Named Executive Officer</w:t>
            </w:r>
          </w:p>
        </w:tc>
        <w:tc>
          <w:tcPr>
            <w:tcW w:w="3460" w:type="dxa"/>
            <w:vAlign w:val="bottom"/>
            <w:tcBorders>
              <w:right w:val="single" w:sz="8" w:color="2D53A6"/>
            </w:tcBorders>
            <w:vMerge w:val="continue"/>
            <w:shd w:val="clear" w:color="auto" w:fill="2D53A6"/>
          </w:tcPr>
          <w:p>
            <w:pPr>
              <w:spacing w:after="0"/>
              <w:rPr>
                <w:sz w:val="9"/>
                <w:szCs w:val="9"/>
                <w:color w:val="auto"/>
              </w:rPr>
            </w:pPr>
          </w:p>
        </w:tc>
        <w:tc>
          <w:tcPr>
            <w:tcW w:w="3360" w:type="dxa"/>
            <w:vAlign w:val="bottom"/>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90"/>
              </w:rPr>
              <w:t>Short-Term Incentive as</w:t>
            </w:r>
          </w:p>
        </w:tc>
        <w:tc>
          <w:tcPr>
            <w:tcW w:w="0" w:type="dxa"/>
            <w:vAlign w:val="bottom"/>
          </w:tcPr>
          <w:p>
            <w:pPr>
              <w:spacing w:after="0"/>
              <w:rPr>
                <w:sz w:val="1"/>
                <w:szCs w:val="1"/>
                <w:color w:val="auto"/>
              </w:rPr>
            </w:pPr>
          </w:p>
        </w:tc>
      </w:tr>
      <w:tr>
        <w:trPr>
          <w:trHeight w:val="108"/>
        </w:trPr>
        <w:tc>
          <w:tcPr>
            <w:tcW w:w="4420" w:type="dxa"/>
            <w:vAlign w:val="bottom"/>
            <w:tcBorders>
              <w:right w:val="single" w:sz="8" w:color="2D53A6"/>
            </w:tcBorders>
            <w:vMerge w:val="continue"/>
            <w:shd w:val="clear" w:color="auto" w:fill="2D53A6"/>
          </w:tcPr>
          <w:p>
            <w:pPr>
              <w:spacing w:after="0"/>
              <w:rPr>
                <w:sz w:val="9"/>
                <w:szCs w:val="9"/>
                <w:color w:val="auto"/>
              </w:rPr>
            </w:pPr>
          </w:p>
        </w:tc>
        <w:tc>
          <w:tcPr>
            <w:tcW w:w="346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95"/>
              </w:rPr>
              <w:t>Opportunity</w:t>
            </w:r>
          </w:p>
        </w:tc>
        <w:tc>
          <w:tcPr>
            <w:tcW w:w="3360" w:type="dxa"/>
            <w:vAlign w:val="bottom"/>
            <w:vMerge w:val="continue"/>
            <w:shd w:val="clear" w:color="auto" w:fill="2D53A6"/>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4420" w:type="dxa"/>
            <w:vAlign w:val="bottom"/>
            <w:tcBorders>
              <w:right w:val="single" w:sz="8" w:color="2D53A6"/>
            </w:tcBorders>
            <w:shd w:val="clear" w:color="auto" w:fill="2D53A6"/>
          </w:tcPr>
          <w:p>
            <w:pPr>
              <w:spacing w:after="0"/>
              <w:rPr>
                <w:sz w:val="10"/>
                <w:szCs w:val="10"/>
                <w:color w:val="auto"/>
              </w:rPr>
            </w:pPr>
          </w:p>
        </w:tc>
        <w:tc>
          <w:tcPr>
            <w:tcW w:w="3460" w:type="dxa"/>
            <w:vAlign w:val="bottom"/>
            <w:tcBorders>
              <w:right w:val="single" w:sz="8" w:color="2D53A6"/>
            </w:tcBorders>
            <w:vMerge w:val="continue"/>
            <w:shd w:val="clear" w:color="auto" w:fill="2D53A6"/>
          </w:tcPr>
          <w:p>
            <w:pPr>
              <w:spacing w:after="0"/>
              <w:rPr>
                <w:sz w:val="10"/>
                <w:szCs w:val="10"/>
                <w:color w:val="auto"/>
              </w:rPr>
            </w:pPr>
          </w:p>
        </w:tc>
        <w:tc>
          <w:tcPr>
            <w:tcW w:w="3360" w:type="dxa"/>
            <w:vAlign w:val="bottom"/>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87"/>
              </w:rPr>
              <w:t>Percentage of Base Salary</w:t>
            </w:r>
          </w:p>
        </w:tc>
        <w:tc>
          <w:tcPr>
            <w:tcW w:w="0" w:type="dxa"/>
            <w:vAlign w:val="bottom"/>
          </w:tcPr>
          <w:p>
            <w:pPr>
              <w:spacing w:after="0"/>
              <w:rPr>
                <w:sz w:val="1"/>
                <w:szCs w:val="1"/>
                <w:color w:val="auto"/>
              </w:rPr>
            </w:pPr>
          </w:p>
        </w:tc>
      </w:tr>
      <w:tr>
        <w:trPr>
          <w:trHeight w:val="122"/>
        </w:trPr>
        <w:tc>
          <w:tcPr>
            <w:tcW w:w="4420" w:type="dxa"/>
            <w:vAlign w:val="bottom"/>
            <w:tcBorders>
              <w:right w:val="single" w:sz="8" w:color="2D53A6"/>
            </w:tcBorders>
            <w:shd w:val="clear" w:color="auto" w:fill="2D53A6"/>
          </w:tcPr>
          <w:p>
            <w:pPr>
              <w:spacing w:after="0"/>
              <w:rPr>
                <w:sz w:val="10"/>
                <w:szCs w:val="10"/>
                <w:color w:val="auto"/>
              </w:rPr>
            </w:pPr>
          </w:p>
        </w:tc>
        <w:tc>
          <w:tcPr>
            <w:tcW w:w="3460" w:type="dxa"/>
            <w:vAlign w:val="bottom"/>
            <w:tcBorders>
              <w:right w:val="single" w:sz="8" w:color="2D53A6"/>
            </w:tcBorders>
            <w:shd w:val="clear" w:color="auto" w:fill="2D53A6"/>
          </w:tcPr>
          <w:p>
            <w:pPr>
              <w:spacing w:after="0"/>
              <w:rPr>
                <w:sz w:val="10"/>
                <w:szCs w:val="10"/>
                <w:color w:val="auto"/>
              </w:rPr>
            </w:pPr>
          </w:p>
        </w:tc>
        <w:tc>
          <w:tcPr>
            <w:tcW w:w="3360" w:type="dxa"/>
            <w:vAlign w:val="bottom"/>
            <w:vMerge w:val="continue"/>
            <w:shd w:val="clear" w:color="auto" w:fill="2D53A6"/>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4420" w:type="dxa"/>
            <w:vAlign w:val="bottom"/>
            <w:tcBorders>
              <w:bottom w:val="single" w:sz="8" w:color="2D53A6"/>
              <w:right w:val="single" w:sz="8" w:color="2D53A6"/>
            </w:tcBorders>
          </w:tcPr>
          <w:p>
            <w:pPr>
              <w:spacing w:after="0"/>
              <w:rPr>
                <w:sz w:val="20"/>
                <w:szCs w:val="20"/>
                <w:color w:val="auto"/>
              </w:rPr>
            </w:pPr>
            <w:r>
              <w:rPr>
                <w:rFonts w:ascii="Arial" w:cs="Arial" w:eastAsia="Arial" w:hAnsi="Arial"/>
                <w:sz w:val="18"/>
                <w:szCs w:val="18"/>
                <w:color w:val="auto"/>
              </w:rPr>
              <w:t>Luis A. Müller</w:t>
            </w:r>
          </w:p>
        </w:tc>
        <w:tc>
          <w:tcPr>
            <w:tcW w:w="346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1"/>
              </w:rPr>
              <w:t>100%</w:t>
            </w:r>
          </w:p>
        </w:tc>
        <w:tc>
          <w:tcPr>
            <w:tcW w:w="3360" w:type="dxa"/>
            <w:vAlign w:val="bottom"/>
            <w:tcBorders>
              <w:bottom w:val="single" w:sz="8" w:color="2D53A6"/>
            </w:tcBorders>
          </w:tcPr>
          <w:p>
            <w:pPr>
              <w:jc w:val="center"/>
              <w:spacing w:after="0"/>
              <w:rPr>
                <w:sz w:val="20"/>
                <w:szCs w:val="20"/>
                <w:color w:val="auto"/>
              </w:rPr>
            </w:pPr>
            <w:r>
              <w:rPr>
                <w:rFonts w:ascii="Arial" w:cs="Arial" w:eastAsia="Arial" w:hAnsi="Arial"/>
                <w:sz w:val="18"/>
                <w:szCs w:val="18"/>
                <w:color w:val="auto"/>
                <w:w w:val="93"/>
              </w:rPr>
              <w:t>0% - 200%</w:t>
            </w:r>
          </w:p>
        </w:tc>
        <w:tc>
          <w:tcPr>
            <w:tcW w:w="0" w:type="dxa"/>
            <w:vAlign w:val="bottom"/>
          </w:tcPr>
          <w:p>
            <w:pPr>
              <w:spacing w:after="0"/>
              <w:rPr>
                <w:sz w:val="1"/>
                <w:szCs w:val="1"/>
                <w:color w:val="auto"/>
              </w:rPr>
            </w:pPr>
          </w:p>
        </w:tc>
      </w:tr>
      <w:tr>
        <w:trPr>
          <w:trHeight w:val="209"/>
        </w:trPr>
        <w:tc>
          <w:tcPr>
            <w:tcW w:w="4420" w:type="dxa"/>
            <w:vAlign w:val="bottom"/>
            <w:tcBorders>
              <w:bottom w:val="single" w:sz="8" w:color="2D53A6"/>
              <w:right w:val="single" w:sz="8" w:color="2D53A6"/>
            </w:tcBorders>
            <w:shd w:val="clear" w:color="auto" w:fill="E6E6E6"/>
          </w:tcPr>
          <w:p>
            <w:pPr>
              <w:spacing w:after="0"/>
              <w:rPr>
                <w:sz w:val="20"/>
                <w:szCs w:val="20"/>
                <w:color w:val="auto"/>
              </w:rPr>
            </w:pPr>
            <w:r>
              <w:rPr>
                <w:rFonts w:ascii="Arial" w:cs="Arial" w:eastAsia="Arial" w:hAnsi="Arial"/>
                <w:sz w:val="18"/>
                <w:szCs w:val="18"/>
                <w:color w:val="auto"/>
              </w:rPr>
              <w:t>Jeffrey D. Jones</w:t>
            </w:r>
          </w:p>
        </w:tc>
        <w:tc>
          <w:tcPr>
            <w:tcW w:w="346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4"/>
              </w:rPr>
              <w:t>70%</w:t>
            </w:r>
          </w:p>
        </w:tc>
        <w:tc>
          <w:tcPr>
            <w:tcW w:w="3360" w:type="dxa"/>
            <w:vAlign w:val="bottom"/>
            <w:tcBorders>
              <w:bottom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3"/>
              </w:rPr>
              <w:t>0% - 140%</w:t>
            </w:r>
          </w:p>
        </w:tc>
        <w:tc>
          <w:tcPr>
            <w:tcW w:w="0" w:type="dxa"/>
            <w:vAlign w:val="bottom"/>
          </w:tcPr>
          <w:p>
            <w:pPr>
              <w:spacing w:after="0"/>
              <w:rPr>
                <w:sz w:val="1"/>
                <w:szCs w:val="1"/>
                <w:color w:val="auto"/>
              </w:rPr>
            </w:pPr>
          </w:p>
        </w:tc>
      </w:tr>
      <w:tr>
        <w:trPr>
          <w:trHeight w:val="210"/>
        </w:trPr>
        <w:tc>
          <w:tcPr>
            <w:tcW w:w="4420" w:type="dxa"/>
            <w:vAlign w:val="bottom"/>
            <w:tcBorders>
              <w:bottom w:val="single" w:sz="8" w:color="2D53A6"/>
              <w:right w:val="single" w:sz="8" w:color="2D53A6"/>
            </w:tcBorders>
          </w:tcPr>
          <w:p>
            <w:pPr>
              <w:spacing w:after="0"/>
              <w:rPr>
                <w:sz w:val="20"/>
                <w:szCs w:val="20"/>
                <w:color w:val="auto"/>
              </w:rPr>
            </w:pPr>
            <w:r>
              <w:rPr>
                <w:rFonts w:ascii="Arial" w:cs="Arial" w:eastAsia="Arial" w:hAnsi="Arial"/>
                <w:sz w:val="18"/>
                <w:szCs w:val="18"/>
                <w:color w:val="auto"/>
              </w:rPr>
              <w:t>Christopher G. Bohrson</w:t>
            </w:r>
          </w:p>
        </w:tc>
        <w:tc>
          <w:tcPr>
            <w:tcW w:w="346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4"/>
              </w:rPr>
              <w:t>70%</w:t>
            </w:r>
          </w:p>
        </w:tc>
        <w:tc>
          <w:tcPr>
            <w:tcW w:w="3360" w:type="dxa"/>
            <w:vAlign w:val="bottom"/>
            <w:tcBorders>
              <w:bottom w:val="single" w:sz="8" w:color="2D53A6"/>
            </w:tcBorders>
          </w:tcPr>
          <w:p>
            <w:pPr>
              <w:jc w:val="center"/>
              <w:spacing w:after="0"/>
              <w:rPr>
                <w:sz w:val="20"/>
                <w:szCs w:val="20"/>
                <w:color w:val="auto"/>
              </w:rPr>
            </w:pPr>
            <w:r>
              <w:rPr>
                <w:rFonts w:ascii="Arial" w:cs="Arial" w:eastAsia="Arial" w:hAnsi="Arial"/>
                <w:sz w:val="18"/>
                <w:szCs w:val="18"/>
                <w:color w:val="auto"/>
                <w:w w:val="93"/>
              </w:rPr>
              <w:t>0% - 140%</w:t>
            </w:r>
          </w:p>
        </w:tc>
        <w:tc>
          <w:tcPr>
            <w:tcW w:w="0" w:type="dxa"/>
            <w:vAlign w:val="bottom"/>
          </w:tcPr>
          <w:p>
            <w:pPr>
              <w:spacing w:after="0"/>
              <w:rPr>
                <w:sz w:val="1"/>
                <w:szCs w:val="1"/>
                <w:color w:val="auto"/>
              </w:rPr>
            </w:pPr>
          </w:p>
        </w:tc>
      </w:tr>
      <w:tr>
        <w:trPr>
          <w:trHeight w:val="209"/>
        </w:trPr>
        <w:tc>
          <w:tcPr>
            <w:tcW w:w="4420" w:type="dxa"/>
            <w:vAlign w:val="bottom"/>
            <w:tcBorders>
              <w:bottom w:val="single" w:sz="8" w:color="2D53A6"/>
              <w:right w:val="single" w:sz="8" w:color="2D53A6"/>
            </w:tcBorders>
            <w:shd w:val="clear" w:color="auto" w:fill="E6E6E6"/>
          </w:tcPr>
          <w:p>
            <w:pPr>
              <w:spacing w:after="0"/>
              <w:rPr>
                <w:sz w:val="20"/>
                <w:szCs w:val="20"/>
                <w:color w:val="auto"/>
              </w:rPr>
            </w:pPr>
            <w:r>
              <w:rPr>
                <w:rFonts w:ascii="Arial" w:cs="Arial" w:eastAsia="Arial" w:hAnsi="Arial"/>
                <w:sz w:val="18"/>
                <w:szCs w:val="18"/>
                <w:color w:val="auto"/>
              </w:rPr>
              <w:t>Thomas D. Kampfer</w:t>
            </w:r>
          </w:p>
        </w:tc>
        <w:tc>
          <w:tcPr>
            <w:tcW w:w="346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4"/>
              </w:rPr>
              <w:t>50%</w:t>
            </w:r>
          </w:p>
        </w:tc>
        <w:tc>
          <w:tcPr>
            <w:tcW w:w="3360" w:type="dxa"/>
            <w:vAlign w:val="bottom"/>
            <w:tcBorders>
              <w:bottom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3"/>
              </w:rPr>
              <w:t>0% - 100%</w:t>
            </w:r>
          </w:p>
        </w:tc>
        <w:tc>
          <w:tcPr>
            <w:tcW w:w="0" w:type="dxa"/>
            <w:vAlign w:val="bottom"/>
          </w:tcPr>
          <w:p>
            <w:pPr>
              <w:spacing w:after="0"/>
              <w:rPr>
                <w:sz w:val="1"/>
                <w:szCs w:val="1"/>
                <w:color w:val="auto"/>
              </w:rPr>
            </w:pPr>
          </w:p>
        </w:tc>
      </w:tr>
      <w:tr>
        <w:trPr>
          <w:trHeight w:val="210"/>
        </w:trPr>
        <w:tc>
          <w:tcPr>
            <w:tcW w:w="4420" w:type="dxa"/>
            <w:vAlign w:val="bottom"/>
            <w:tcBorders>
              <w:bottom w:val="single" w:sz="8" w:color="2D53A6"/>
              <w:right w:val="single" w:sz="8" w:color="2D53A6"/>
            </w:tcBorders>
          </w:tcPr>
          <w:p>
            <w:pPr>
              <w:spacing w:after="0"/>
              <w:rPr>
                <w:sz w:val="20"/>
                <w:szCs w:val="20"/>
                <w:color w:val="auto"/>
              </w:rPr>
            </w:pPr>
            <w:r>
              <w:rPr>
                <w:rFonts w:ascii="Arial" w:cs="Arial" w:eastAsia="Arial" w:hAnsi="Arial"/>
                <w:sz w:val="18"/>
                <w:szCs w:val="18"/>
                <w:color w:val="auto"/>
              </w:rPr>
              <w:t>Ian P. Lawee</w:t>
            </w:r>
          </w:p>
        </w:tc>
        <w:tc>
          <w:tcPr>
            <w:tcW w:w="346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4"/>
              </w:rPr>
              <w:t>55%</w:t>
            </w:r>
          </w:p>
        </w:tc>
        <w:tc>
          <w:tcPr>
            <w:tcW w:w="3360" w:type="dxa"/>
            <w:vAlign w:val="bottom"/>
            <w:tcBorders>
              <w:bottom w:val="single" w:sz="8" w:color="2D53A6"/>
            </w:tcBorders>
          </w:tcPr>
          <w:p>
            <w:pPr>
              <w:jc w:val="center"/>
              <w:spacing w:after="0"/>
              <w:rPr>
                <w:sz w:val="20"/>
                <w:szCs w:val="20"/>
                <w:color w:val="auto"/>
              </w:rPr>
            </w:pPr>
            <w:r>
              <w:rPr>
                <w:rFonts w:ascii="Arial" w:cs="Arial" w:eastAsia="Arial" w:hAnsi="Arial"/>
                <w:sz w:val="18"/>
                <w:szCs w:val="18"/>
                <w:color w:val="auto"/>
                <w:w w:val="90"/>
              </w:rPr>
              <w:t>0% - 110%</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Performance Measures</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For purposes of the short-term incentive plan, the Compensation Committee may select one or more performance measures from a range of performance measures specified in the 2005 Plan.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the 2021 STI, the Compensation Committee selected two financial performance measures for our executive officers:</w:t>
      </w:r>
    </w:p>
    <w:p>
      <w:pPr>
        <w:spacing w:after="0" w:line="225" w:lineRule="exact"/>
        <w:rPr>
          <w:sz w:val="20"/>
          <w:szCs w:val="20"/>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Sales growth based on a four-year rolling sales growth target; and</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Profitability based on non-GAAP pre-tax income target.</w:t>
      </w:r>
    </w:p>
    <w:p>
      <w:pPr>
        <w:spacing w:after="0" w:line="211"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 xml:space="preserve">The Compensation Committee selected these two performance measures because we believe sales growth reflects the overall acceptance of the market for our products and non-GAAP pre-tax income reflects how effectively management delivered our products to our customers during the year. A reconciliation of GAAP to non-GAAP pre-tax income used for the 2021 STI is included as </w:t>
      </w:r>
      <w:r>
        <w:rPr>
          <w:rFonts w:ascii="Arial" w:cs="Arial" w:eastAsia="Arial" w:hAnsi="Arial"/>
          <w:sz w:val="17"/>
          <w:szCs w:val="17"/>
          <w:b w:val="1"/>
          <w:bCs w:val="1"/>
          <w:u w:val="single" w:color="auto"/>
          <w:color w:val="auto"/>
        </w:rPr>
        <w:t>Appendix A</w:t>
      </w:r>
      <w:r>
        <w:rPr>
          <w:rFonts w:ascii="Arial" w:cs="Arial" w:eastAsia="Arial" w:hAnsi="Arial"/>
          <w:sz w:val="17"/>
          <w:szCs w:val="17"/>
          <w:color w:val="auto"/>
        </w:rPr>
        <w:t xml:space="preserve"> to this proxy statement.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weighting of these corporate performance measures for purposes of the 2021 MIP for each NEO were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20" w:type="dxa"/>
            <w:vAlign w:val="bottom"/>
            <w:tcBorders>
              <w:right w:val="single" w:sz="8" w:color="2D53A6"/>
            </w:tcBorders>
            <w:shd w:val="clear" w:color="auto" w:fill="2D53A6"/>
          </w:tcPr>
          <w:p>
            <w:pPr>
              <w:spacing w:after="0"/>
              <w:rPr>
                <w:sz w:val="20"/>
                <w:szCs w:val="20"/>
                <w:color w:val="auto"/>
              </w:rPr>
            </w:pPr>
            <w:r>
              <w:rPr>
                <w:rFonts w:ascii="Arial" w:cs="Arial" w:eastAsia="Arial" w:hAnsi="Arial"/>
                <w:sz w:val="18"/>
                <w:szCs w:val="18"/>
                <w:b w:val="1"/>
                <w:bCs w:val="1"/>
                <w:color w:val="FFFFFF"/>
              </w:rPr>
              <w:t>Named Executive Officer</w:t>
            </w:r>
          </w:p>
        </w:tc>
        <w:tc>
          <w:tcPr>
            <w:tcW w:w="34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88"/>
              </w:rPr>
              <w:t>Sales Growth</w:t>
            </w:r>
          </w:p>
        </w:tc>
        <w:tc>
          <w:tcPr>
            <w:tcW w:w="3360" w:type="dxa"/>
            <w:vAlign w:val="bottom"/>
            <w:shd w:val="clear" w:color="auto" w:fill="2D53A6"/>
          </w:tcPr>
          <w:p>
            <w:pPr>
              <w:jc w:val="center"/>
              <w:spacing w:after="0"/>
              <w:rPr>
                <w:sz w:val="20"/>
                <w:szCs w:val="20"/>
                <w:color w:val="auto"/>
              </w:rPr>
            </w:pPr>
            <w:r>
              <w:rPr>
                <w:rFonts w:ascii="Arial" w:cs="Arial" w:eastAsia="Arial" w:hAnsi="Arial"/>
                <w:sz w:val="18"/>
                <w:szCs w:val="18"/>
                <w:b w:val="1"/>
                <w:bCs w:val="1"/>
                <w:color w:val="FFFFFF"/>
                <w:w w:val="93"/>
              </w:rPr>
              <w:t>Non-GAAP Pre-tax Income</w:t>
            </w:r>
          </w:p>
        </w:tc>
      </w:tr>
      <w:tr>
        <w:trPr>
          <w:trHeight w:val="216"/>
        </w:trPr>
        <w:tc>
          <w:tcPr>
            <w:tcW w:w="4420" w:type="dxa"/>
            <w:vAlign w:val="bottom"/>
            <w:tcBorders>
              <w:bottom w:val="single" w:sz="8" w:color="2D53A6"/>
              <w:right w:val="single" w:sz="8" w:color="2D53A6"/>
            </w:tcBorders>
          </w:tcPr>
          <w:p>
            <w:pPr>
              <w:spacing w:after="0"/>
              <w:rPr>
                <w:sz w:val="20"/>
                <w:szCs w:val="20"/>
                <w:color w:val="auto"/>
              </w:rPr>
            </w:pPr>
            <w:r>
              <w:rPr>
                <w:rFonts w:ascii="Arial" w:cs="Arial" w:eastAsia="Arial" w:hAnsi="Arial"/>
                <w:sz w:val="18"/>
                <w:szCs w:val="18"/>
                <w:color w:val="auto"/>
              </w:rPr>
              <w:t>Luis A. Müller</w:t>
            </w:r>
          </w:p>
        </w:tc>
        <w:tc>
          <w:tcPr>
            <w:tcW w:w="346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4"/>
              </w:rPr>
              <w:t>20%</w:t>
            </w:r>
          </w:p>
        </w:tc>
        <w:tc>
          <w:tcPr>
            <w:tcW w:w="3360" w:type="dxa"/>
            <w:vAlign w:val="bottom"/>
            <w:tcBorders>
              <w:bottom w:val="single" w:sz="8" w:color="2D53A6"/>
            </w:tcBorders>
          </w:tcPr>
          <w:p>
            <w:pPr>
              <w:jc w:val="center"/>
              <w:spacing w:after="0"/>
              <w:rPr>
                <w:sz w:val="20"/>
                <w:szCs w:val="20"/>
                <w:color w:val="auto"/>
              </w:rPr>
            </w:pPr>
            <w:r>
              <w:rPr>
                <w:rFonts w:ascii="Arial" w:cs="Arial" w:eastAsia="Arial" w:hAnsi="Arial"/>
                <w:sz w:val="18"/>
                <w:szCs w:val="18"/>
                <w:color w:val="auto"/>
                <w:w w:val="94"/>
              </w:rPr>
              <w:t>80%</w:t>
            </w:r>
          </w:p>
        </w:tc>
      </w:tr>
      <w:tr>
        <w:trPr>
          <w:trHeight w:val="210"/>
        </w:trPr>
        <w:tc>
          <w:tcPr>
            <w:tcW w:w="4420" w:type="dxa"/>
            <w:vAlign w:val="bottom"/>
            <w:tcBorders>
              <w:bottom w:val="single" w:sz="8" w:color="2D53A6"/>
              <w:right w:val="single" w:sz="8" w:color="2D53A6"/>
            </w:tcBorders>
            <w:shd w:val="clear" w:color="auto" w:fill="E6E6E6"/>
          </w:tcPr>
          <w:p>
            <w:pPr>
              <w:spacing w:after="0"/>
              <w:rPr>
                <w:sz w:val="20"/>
                <w:szCs w:val="20"/>
                <w:color w:val="auto"/>
              </w:rPr>
            </w:pPr>
            <w:r>
              <w:rPr>
                <w:rFonts w:ascii="Arial" w:cs="Arial" w:eastAsia="Arial" w:hAnsi="Arial"/>
                <w:sz w:val="18"/>
                <w:szCs w:val="18"/>
                <w:color w:val="auto"/>
              </w:rPr>
              <w:t>Jeffrey D. Jones</w:t>
            </w:r>
          </w:p>
        </w:tc>
        <w:tc>
          <w:tcPr>
            <w:tcW w:w="346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4"/>
              </w:rPr>
              <w:t>20%</w:t>
            </w:r>
          </w:p>
        </w:tc>
        <w:tc>
          <w:tcPr>
            <w:tcW w:w="3360" w:type="dxa"/>
            <w:vAlign w:val="bottom"/>
            <w:tcBorders>
              <w:bottom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4"/>
              </w:rPr>
              <w:t>80%</w:t>
            </w:r>
          </w:p>
        </w:tc>
      </w:tr>
      <w:tr>
        <w:trPr>
          <w:trHeight w:val="209"/>
        </w:trPr>
        <w:tc>
          <w:tcPr>
            <w:tcW w:w="4420" w:type="dxa"/>
            <w:vAlign w:val="bottom"/>
            <w:tcBorders>
              <w:bottom w:val="single" w:sz="8" w:color="2D53A6"/>
              <w:right w:val="single" w:sz="8" w:color="2D53A6"/>
            </w:tcBorders>
          </w:tcPr>
          <w:p>
            <w:pPr>
              <w:spacing w:after="0"/>
              <w:rPr>
                <w:sz w:val="20"/>
                <w:szCs w:val="20"/>
                <w:color w:val="auto"/>
              </w:rPr>
            </w:pPr>
            <w:r>
              <w:rPr>
                <w:rFonts w:ascii="Arial" w:cs="Arial" w:eastAsia="Arial" w:hAnsi="Arial"/>
                <w:sz w:val="18"/>
                <w:szCs w:val="18"/>
                <w:color w:val="auto"/>
              </w:rPr>
              <w:t>Christopher G. Bohrson</w:t>
            </w:r>
          </w:p>
        </w:tc>
        <w:tc>
          <w:tcPr>
            <w:tcW w:w="346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4"/>
              </w:rPr>
              <w:t>20%</w:t>
            </w:r>
          </w:p>
        </w:tc>
        <w:tc>
          <w:tcPr>
            <w:tcW w:w="3360" w:type="dxa"/>
            <w:vAlign w:val="bottom"/>
            <w:tcBorders>
              <w:bottom w:val="single" w:sz="8" w:color="2D53A6"/>
            </w:tcBorders>
          </w:tcPr>
          <w:p>
            <w:pPr>
              <w:jc w:val="center"/>
              <w:spacing w:after="0"/>
              <w:rPr>
                <w:sz w:val="20"/>
                <w:szCs w:val="20"/>
                <w:color w:val="auto"/>
              </w:rPr>
            </w:pPr>
            <w:r>
              <w:rPr>
                <w:rFonts w:ascii="Arial" w:cs="Arial" w:eastAsia="Arial" w:hAnsi="Arial"/>
                <w:sz w:val="18"/>
                <w:szCs w:val="18"/>
                <w:color w:val="auto"/>
                <w:w w:val="94"/>
              </w:rPr>
              <w:t>80%</w:t>
            </w:r>
          </w:p>
        </w:tc>
      </w:tr>
      <w:tr>
        <w:trPr>
          <w:trHeight w:val="210"/>
        </w:trPr>
        <w:tc>
          <w:tcPr>
            <w:tcW w:w="4420" w:type="dxa"/>
            <w:vAlign w:val="bottom"/>
            <w:tcBorders>
              <w:bottom w:val="single" w:sz="8" w:color="2D53A6"/>
              <w:right w:val="single" w:sz="8" w:color="2D53A6"/>
            </w:tcBorders>
            <w:shd w:val="clear" w:color="auto" w:fill="E6E6E6"/>
          </w:tcPr>
          <w:p>
            <w:pPr>
              <w:spacing w:after="0"/>
              <w:rPr>
                <w:sz w:val="20"/>
                <w:szCs w:val="20"/>
                <w:color w:val="auto"/>
              </w:rPr>
            </w:pPr>
            <w:r>
              <w:rPr>
                <w:rFonts w:ascii="Arial" w:cs="Arial" w:eastAsia="Arial" w:hAnsi="Arial"/>
                <w:sz w:val="18"/>
                <w:szCs w:val="18"/>
                <w:color w:val="auto"/>
              </w:rPr>
              <w:t>Thomas D. Kampfer</w:t>
            </w:r>
          </w:p>
        </w:tc>
        <w:tc>
          <w:tcPr>
            <w:tcW w:w="346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4"/>
              </w:rPr>
              <w:t>20%</w:t>
            </w:r>
          </w:p>
        </w:tc>
        <w:tc>
          <w:tcPr>
            <w:tcW w:w="3360" w:type="dxa"/>
            <w:vAlign w:val="bottom"/>
            <w:tcBorders>
              <w:bottom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4"/>
              </w:rPr>
              <w:t>80%</w:t>
            </w:r>
          </w:p>
        </w:tc>
      </w:tr>
      <w:tr>
        <w:trPr>
          <w:trHeight w:val="210"/>
        </w:trPr>
        <w:tc>
          <w:tcPr>
            <w:tcW w:w="4420" w:type="dxa"/>
            <w:vAlign w:val="bottom"/>
            <w:tcBorders>
              <w:bottom w:val="single" w:sz="8" w:color="2D53A6"/>
              <w:right w:val="single" w:sz="8" w:color="2D53A6"/>
            </w:tcBorders>
          </w:tcPr>
          <w:p>
            <w:pPr>
              <w:spacing w:after="0"/>
              <w:rPr>
                <w:sz w:val="20"/>
                <w:szCs w:val="20"/>
                <w:color w:val="auto"/>
              </w:rPr>
            </w:pPr>
            <w:r>
              <w:rPr>
                <w:rFonts w:ascii="Arial" w:cs="Arial" w:eastAsia="Arial" w:hAnsi="Arial"/>
                <w:sz w:val="18"/>
                <w:szCs w:val="18"/>
                <w:color w:val="auto"/>
              </w:rPr>
              <w:t>Ian P. Lawee</w:t>
            </w:r>
          </w:p>
        </w:tc>
        <w:tc>
          <w:tcPr>
            <w:tcW w:w="346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4"/>
              </w:rPr>
              <w:t>20%</w:t>
            </w:r>
          </w:p>
        </w:tc>
        <w:tc>
          <w:tcPr>
            <w:tcW w:w="3360" w:type="dxa"/>
            <w:vAlign w:val="bottom"/>
            <w:tcBorders>
              <w:bottom w:val="single" w:sz="8" w:color="2D53A6"/>
            </w:tcBorders>
          </w:tcPr>
          <w:p>
            <w:pPr>
              <w:jc w:val="center"/>
              <w:spacing w:after="0"/>
              <w:rPr>
                <w:sz w:val="20"/>
                <w:szCs w:val="20"/>
                <w:color w:val="auto"/>
              </w:rPr>
            </w:pPr>
            <w:r>
              <w:rPr>
                <w:rFonts w:ascii="Arial" w:cs="Arial" w:eastAsia="Arial" w:hAnsi="Arial"/>
                <w:sz w:val="18"/>
                <w:szCs w:val="18"/>
                <w:color w:val="auto"/>
                <w:w w:val="94"/>
              </w:rPr>
              <w:t>80%</w:t>
            </w:r>
          </w:p>
        </w:tc>
      </w:tr>
      <w:tr>
        <w:trPr>
          <w:trHeight w:val="425"/>
        </w:trPr>
        <w:tc>
          <w:tcPr>
            <w:tcW w:w="4420" w:type="dxa"/>
            <w:vAlign w:val="bottom"/>
          </w:tcPr>
          <w:p>
            <w:pPr>
              <w:spacing w:after="0"/>
              <w:rPr>
                <w:sz w:val="24"/>
                <w:szCs w:val="24"/>
                <w:color w:val="auto"/>
              </w:rPr>
            </w:pPr>
          </w:p>
        </w:tc>
        <w:tc>
          <w:tcPr>
            <w:tcW w:w="3460" w:type="dxa"/>
            <w:vAlign w:val="bottom"/>
          </w:tcPr>
          <w:p>
            <w:pPr>
              <w:jc w:val="right"/>
              <w:ind w:right="2070"/>
              <w:spacing w:after="0"/>
              <w:rPr>
                <w:sz w:val="20"/>
                <w:szCs w:val="20"/>
                <w:color w:val="auto"/>
              </w:rPr>
            </w:pPr>
            <w:r>
              <w:rPr>
                <w:rFonts w:ascii="Arial" w:cs="Arial" w:eastAsia="Arial" w:hAnsi="Arial"/>
                <w:sz w:val="18"/>
                <w:szCs w:val="18"/>
                <w:color w:val="auto"/>
              </w:rPr>
              <w:t>29</w:t>
            </w:r>
          </w:p>
        </w:tc>
        <w:tc>
          <w:tcPr>
            <w:tcW w:w="3360" w:type="dxa"/>
            <w:vAlign w:val="bottom"/>
          </w:tcPr>
          <w:p>
            <w:pPr>
              <w:spacing w:after="0"/>
              <w:rPr>
                <w:sz w:val="24"/>
                <w:szCs w:val="24"/>
                <w:color w:val="auto"/>
              </w:rPr>
            </w:pPr>
          </w:p>
        </w:tc>
      </w:tr>
      <w:tr>
        <w:trPr>
          <w:trHeight w:val="115"/>
        </w:trPr>
        <w:tc>
          <w:tcPr>
            <w:tcW w:w="4420" w:type="dxa"/>
            <w:vAlign w:val="bottom"/>
            <w:tcBorders>
              <w:bottom w:val="single" w:sz="8" w:color="auto"/>
            </w:tcBorders>
          </w:tcPr>
          <w:p>
            <w:pPr>
              <w:spacing w:after="0"/>
              <w:rPr>
                <w:sz w:val="10"/>
                <w:szCs w:val="10"/>
                <w:color w:val="auto"/>
              </w:rPr>
            </w:pPr>
          </w:p>
        </w:tc>
        <w:tc>
          <w:tcPr>
            <w:tcW w:w="3460" w:type="dxa"/>
            <w:vAlign w:val="bottom"/>
            <w:tcBorders>
              <w:bottom w:val="single" w:sz="8" w:color="auto"/>
            </w:tcBorders>
          </w:tcPr>
          <w:p>
            <w:pPr>
              <w:spacing w:after="0"/>
              <w:rPr>
                <w:sz w:val="10"/>
                <w:szCs w:val="10"/>
                <w:color w:val="auto"/>
              </w:rPr>
            </w:pPr>
          </w:p>
        </w:tc>
        <w:tc>
          <w:tcPr>
            <w:tcW w:w="33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4" w:right="339" w:bottom="1440" w:gutter="0" w:footer="0" w:header="0"/>
        </w:sectPr>
      </w:pPr>
    </w:p>
    <w:bookmarkStart w:id="35" w:name="page36"/>
    <w:bookmarkEnd w:id="35"/>
    <w:p>
      <w:pPr>
        <w:ind w:right="160"/>
        <w:spacing w:after="0" w:line="286" w:lineRule="auto"/>
        <w:rPr>
          <w:sz w:val="20"/>
          <w:szCs w:val="20"/>
          <w:color w:val="auto"/>
        </w:rPr>
      </w:pPr>
      <w:r>
        <w:rPr>
          <w:rFonts w:ascii="Arial" w:cs="Arial" w:eastAsia="Arial" w:hAnsi="Arial"/>
          <w:sz w:val="17"/>
          <w:szCs w:val="17"/>
          <w:color w:val="auto"/>
        </w:rPr>
        <w:t>The performance measures and their respective weightings were aligned among the executive officers to reflect their shared responsibilities for delivering the targeted performance. The Compensation Committee determined that using our consolidated results for sales and non-GAAP pre-tax income were appropriate for all executive officers given their responsibilities for the overall success of our business.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240" w:type="dxa"/>
            <w:vAlign w:val="bottom"/>
            <w:shd w:val="clear" w:color="auto" w:fill="2D53A6"/>
          </w:tcPr>
          <w:p>
            <w:pPr>
              <w:spacing w:after="0"/>
              <w:rPr>
                <w:sz w:val="19"/>
                <w:szCs w:val="19"/>
                <w:color w:val="auto"/>
              </w:rPr>
            </w:pPr>
          </w:p>
        </w:tc>
        <w:tc>
          <w:tcPr>
            <w:tcW w:w="3220" w:type="dxa"/>
            <w:vAlign w:val="bottom"/>
            <w:tcBorders>
              <w:right w:val="single" w:sz="8" w:color="2D53A6"/>
            </w:tcBorders>
            <w:gridSpan w:val="2"/>
            <w:shd w:val="clear" w:color="auto" w:fill="2D53A6"/>
          </w:tcPr>
          <w:p>
            <w:pPr>
              <w:ind w:left="820"/>
              <w:spacing w:after="0"/>
              <w:rPr>
                <w:sz w:val="20"/>
                <w:szCs w:val="20"/>
                <w:color w:val="auto"/>
              </w:rPr>
            </w:pPr>
            <w:r>
              <w:rPr>
                <w:rFonts w:ascii="Arial" w:cs="Arial" w:eastAsia="Arial" w:hAnsi="Arial"/>
                <w:sz w:val="18"/>
                <w:szCs w:val="18"/>
                <w:b w:val="1"/>
                <w:bCs w:val="1"/>
                <w:color w:val="FFFFFF"/>
              </w:rPr>
              <w:t>2021 STI Scale</w:t>
            </w:r>
          </w:p>
        </w:tc>
        <w:tc>
          <w:tcPr>
            <w:tcW w:w="1940" w:type="dxa"/>
            <w:vAlign w:val="bottom"/>
            <w:tcBorders>
              <w:right w:val="single" w:sz="8" w:color="2D53A6"/>
            </w:tcBorders>
            <w:shd w:val="clear" w:color="auto" w:fill="2D53A6"/>
          </w:tcPr>
          <w:p>
            <w:pPr>
              <w:spacing w:after="0"/>
              <w:rPr>
                <w:sz w:val="19"/>
                <w:szCs w:val="19"/>
                <w:color w:val="auto"/>
              </w:rPr>
            </w:pPr>
          </w:p>
        </w:tc>
        <w:tc>
          <w:tcPr>
            <w:tcW w:w="1840" w:type="dxa"/>
            <w:vAlign w:val="bottom"/>
            <w:shd w:val="clear" w:color="auto" w:fill="2D53A6"/>
          </w:tcPr>
          <w:p>
            <w:pPr>
              <w:spacing w:after="0"/>
              <w:rPr>
                <w:sz w:val="19"/>
                <w:szCs w:val="19"/>
                <w:color w:val="auto"/>
              </w:rPr>
            </w:pPr>
          </w:p>
        </w:tc>
      </w:tr>
      <w:tr>
        <w:trPr>
          <w:trHeight w:val="216"/>
        </w:trPr>
        <w:tc>
          <w:tcPr>
            <w:tcW w:w="4240" w:type="dxa"/>
            <w:vAlign w:val="bottom"/>
            <w:tcBorders>
              <w:bottom w:val="single" w:sz="8" w:color="2D53A6"/>
            </w:tcBorders>
          </w:tcPr>
          <w:p>
            <w:pPr>
              <w:spacing w:after="0"/>
              <w:rPr>
                <w:sz w:val="20"/>
                <w:szCs w:val="20"/>
                <w:color w:val="auto"/>
              </w:rPr>
            </w:pPr>
            <w:r>
              <w:rPr>
                <w:rFonts w:ascii="Arial" w:cs="Arial" w:eastAsia="Arial" w:hAnsi="Arial"/>
                <w:sz w:val="18"/>
                <w:szCs w:val="18"/>
                <w:b w:val="1"/>
                <w:bCs w:val="1"/>
                <w:color w:val="auto"/>
              </w:rPr>
              <w:t>Performance to 4-Year Rolling Sales Growth</w:t>
            </w:r>
          </w:p>
        </w:tc>
        <w:tc>
          <w:tcPr>
            <w:tcW w:w="1260" w:type="dxa"/>
            <w:vAlign w:val="bottom"/>
            <w:tcBorders>
              <w:bottom w:val="single" w:sz="8" w:color="2D53A6"/>
              <w:right w:val="single" w:sz="8" w:color="2D53A6"/>
            </w:tcBorders>
          </w:tcPr>
          <w:p>
            <w:pPr>
              <w:spacing w:after="0"/>
              <w:rPr>
                <w:sz w:val="18"/>
                <w:szCs w:val="18"/>
                <w:color w:val="auto"/>
              </w:rPr>
            </w:pPr>
          </w:p>
        </w:tc>
        <w:tc>
          <w:tcPr>
            <w:tcW w:w="196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b w:val="1"/>
                <w:bCs w:val="1"/>
                <w:color w:val="auto"/>
              </w:rPr>
              <w:t>0%</w:t>
            </w:r>
          </w:p>
        </w:tc>
        <w:tc>
          <w:tcPr>
            <w:tcW w:w="194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b w:val="1"/>
                <w:bCs w:val="1"/>
                <w:color w:val="auto"/>
                <w:w w:val="99"/>
              </w:rPr>
              <w:t>5%</w:t>
            </w:r>
          </w:p>
        </w:tc>
        <w:tc>
          <w:tcPr>
            <w:tcW w:w="1840" w:type="dxa"/>
            <w:vAlign w:val="bottom"/>
            <w:tcBorders>
              <w:bottom w:val="single" w:sz="8" w:color="2D53A6"/>
            </w:tcBorders>
          </w:tcPr>
          <w:p>
            <w:pPr>
              <w:jc w:val="center"/>
              <w:spacing w:after="0"/>
              <w:rPr>
                <w:sz w:val="20"/>
                <w:szCs w:val="20"/>
                <w:color w:val="auto"/>
              </w:rPr>
            </w:pPr>
            <w:r>
              <w:rPr>
                <w:rFonts w:ascii="Arial" w:cs="Arial" w:eastAsia="Arial" w:hAnsi="Arial"/>
                <w:sz w:val="18"/>
                <w:szCs w:val="18"/>
                <w:b w:val="1"/>
                <w:bCs w:val="1"/>
                <w:color w:val="auto"/>
                <w:w w:val="98"/>
              </w:rPr>
              <w:t>&gt;10%</w:t>
            </w:r>
          </w:p>
        </w:tc>
      </w:tr>
      <w:tr>
        <w:trPr>
          <w:trHeight w:val="210"/>
        </w:trPr>
        <w:tc>
          <w:tcPr>
            <w:tcW w:w="4240" w:type="dxa"/>
            <w:vAlign w:val="bottom"/>
            <w:tcBorders>
              <w:bottom w:val="single" w:sz="8" w:color="2D53A6"/>
            </w:tcBorders>
            <w:shd w:val="clear" w:color="auto" w:fill="E6E6E6"/>
          </w:tcPr>
          <w:p>
            <w:pPr>
              <w:spacing w:after="0"/>
              <w:rPr>
                <w:sz w:val="20"/>
                <w:szCs w:val="20"/>
                <w:color w:val="auto"/>
              </w:rPr>
            </w:pPr>
            <w:r>
              <w:rPr>
                <w:rFonts w:ascii="Arial" w:cs="Arial" w:eastAsia="Arial" w:hAnsi="Arial"/>
                <w:sz w:val="18"/>
                <w:szCs w:val="18"/>
                <w:color w:val="auto"/>
              </w:rPr>
              <w:t>Payout Level Earned</w:t>
            </w:r>
          </w:p>
        </w:tc>
        <w:tc>
          <w:tcPr>
            <w:tcW w:w="1260" w:type="dxa"/>
            <w:vAlign w:val="bottom"/>
            <w:tcBorders>
              <w:bottom w:val="single" w:sz="8" w:color="2D53A6"/>
              <w:right w:val="single" w:sz="8" w:color="2D53A6"/>
            </w:tcBorders>
            <w:shd w:val="clear" w:color="auto" w:fill="E6E6E6"/>
          </w:tcPr>
          <w:p>
            <w:pPr>
              <w:spacing w:after="0"/>
              <w:rPr>
                <w:sz w:val="18"/>
                <w:szCs w:val="18"/>
                <w:color w:val="auto"/>
              </w:rPr>
            </w:pPr>
          </w:p>
        </w:tc>
        <w:tc>
          <w:tcPr>
            <w:tcW w:w="196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2"/>
              </w:rPr>
              <w:t>None</w:t>
            </w:r>
          </w:p>
        </w:tc>
        <w:tc>
          <w:tcPr>
            <w:tcW w:w="194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1"/>
              </w:rPr>
              <w:t>100%</w:t>
            </w:r>
          </w:p>
        </w:tc>
        <w:tc>
          <w:tcPr>
            <w:tcW w:w="1840" w:type="dxa"/>
            <w:vAlign w:val="bottom"/>
            <w:tcBorders>
              <w:bottom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1"/>
              </w:rPr>
              <w:t>200%</w:t>
            </w:r>
          </w:p>
        </w:tc>
      </w:tr>
      <w:tr>
        <w:trPr>
          <w:trHeight w:val="209"/>
        </w:trPr>
        <w:tc>
          <w:tcPr>
            <w:tcW w:w="4240" w:type="dxa"/>
            <w:vAlign w:val="bottom"/>
            <w:tcBorders>
              <w:bottom w:val="single" w:sz="8" w:color="2D53A6"/>
            </w:tcBorders>
          </w:tcPr>
          <w:p>
            <w:pPr>
              <w:spacing w:after="0"/>
              <w:rPr>
                <w:sz w:val="20"/>
                <w:szCs w:val="20"/>
                <w:color w:val="auto"/>
              </w:rPr>
            </w:pPr>
            <w:r>
              <w:rPr>
                <w:rFonts w:ascii="Arial" w:cs="Arial" w:eastAsia="Arial" w:hAnsi="Arial"/>
                <w:sz w:val="18"/>
                <w:szCs w:val="18"/>
                <w:b w:val="1"/>
                <w:bCs w:val="1"/>
                <w:color w:val="auto"/>
              </w:rPr>
              <w:t>Performance to Non-GAAP Pre-tax Income</w:t>
            </w:r>
          </w:p>
        </w:tc>
        <w:tc>
          <w:tcPr>
            <w:tcW w:w="1260" w:type="dxa"/>
            <w:vAlign w:val="bottom"/>
            <w:tcBorders>
              <w:bottom w:val="single" w:sz="8" w:color="2D53A6"/>
              <w:right w:val="single" w:sz="8" w:color="2D53A6"/>
            </w:tcBorders>
          </w:tcPr>
          <w:p>
            <w:pPr>
              <w:spacing w:after="0"/>
              <w:rPr>
                <w:sz w:val="18"/>
                <w:szCs w:val="18"/>
                <w:color w:val="auto"/>
              </w:rPr>
            </w:pPr>
          </w:p>
        </w:tc>
        <w:tc>
          <w:tcPr>
            <w:tcW w:w="196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b w:val="1"/>
                <w:bCs w:val="1"/>
                <w:color w:val="auto"/>
                <w:w w:val="93"/>
              </w:rPr>
              <w:t>&lt;5% Pretax Income</w:t>
            </w:r>
          </w:p>
        </w:tc>
        <w:tc>
          <w:tcPr>
            <w:tcW w:w="194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b w:val="1"/>
                <w:bCs w:val="1"/>
                <w:color w:val="auto"/>
                <w:w w:val="99"/>
              </w:rPr>
              <w:t>15%</w:t>
            </w:r>
          </w:p>
        </w:tc>
        <w:tc>
          <w:tcPr>
            <w:tcW w:w="1840" w:type="dxa"/>
            <w:vAlign w:val="bottom"/>
            <w:tcBorders>
              <w:bottom w:val="single" w:sz="8" w:color="2D53A6"/>
            </w:tcBorders>
          </w:tcPr>
          <w:p>
            <w:pPr>
              <w:jc w:val="center"/>
              <w:spacing w:after="0"/>
              <w:rPr>
                <w:sz w:val="20"/>
                <w:szCs w:val="20"/>
                <w:color w:val="auto"/>
              </w:rPr>
            </w:pPr>
            <w:r>
              <w:rPr>
                <w:rFonts w:ascii="Arial" w:cs="Arial" w:eastAsia="Arial" w:hAnsi="Arial"/>
                <w:sz w:val="18"/>
                <w:szCs w:val="18"/>
                <w:b w:val="1"/>
                <w:bCs w:val="1"/>
                <w:color w:val="auto"/>
                <w:w w:val="97"/>
              </w:rPr>
              <w:t>&gt;22.5%</w:t>
            </w:r>
          </w:p>
        </w:tc>
      </w:tr>
      <w:tr>
        <w:trPr>
          <w:trHeight w:val="209"/>
        </w:trPr>
        <w:tc>
          <w:tcPr>
            <w:tcW w:w="4240" w:type="dxa"/>
            <w:vAlign w:val="bottom"/>
            <w:tcBorders>
              <w:bottom w:val="single" w:sz="8" w:color="2D53A6"/>
            </w:tcBorders>
            <w:shd w:val="clear" w:color="auto" w:fill="E6E6E6"/>
          </w:tcPr>
          <w:p>
            <w:pPr>
              <w:spacing w:after="0"/>
              <w:rPr>
                <w:sz w:val="20"/>
                <w:szCs w:val="20"/>
                <w:color w:val="auto"/>
              </w:rPr>
            </w:pPr>
            <w:r>
              <w:rPr>
                <w:rFonts w:ascii="Arial" w:cs="Arial" w:eastAsia="Arial" w:hAnsi="Arial"/>
                <w:sz w:val="18"/>
                <w:szCs w:val="18"/>
                <w:color w:val="auto"/>
              </w:rPr>
              <w:t>Payout Level Earned</w:t>
            </w:r>
          </w:p>
        </w:tc>
        <w:tc>
          <w:tcPr>
            <w:tcW w:w="1260" w:type="dxa"/>
            <w:vAlign w:val="bottom"/>
            <w:tcBorders>
              <w:bottom w:val="single" w:sz="8" w:color="2D53A6"/>
              <w:right w:val="single" w:sz="8" w:color="2D53A6"/>
            </w:tcBorders>
            <w:shd w:val="clear" w:color="auto" w:fill="E6E6E6"/>
          </w:tcPr>
          <w:p>
            <w:pPr>
              <w:spacing w:after="0"/>
              <w:rPr>
                <w:sz w:val="18"/>
                <w:szCs w:val="18"/>
                <w:color w:val="auto"/>
              </w:rPr>
            </w:pPr>
          </w:p>
        </w:tc>
        <w:tc>
          <w:tcPr>
            <w:tcW w:w="196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2"/>
              </w:rPr>
              <w:t>None</w:t>
            </w:r>
          </w:p>
        </w:tc>
        <w:tc>
          <w:tcPr>
            <w:tcW w:w="194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1"/>
              </w:rPr>
              <w:t>100%</w:t>
            </w:r>
          </w:p>
        </w:tc>
        <w:tc>
          <w:tcPr>
            <w:tcW w:w="1840" w:type="dxa"/>
            <w:vAlign w:val="bottom"/>
            <w:tcBorders>
              <w:bottom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1"/>
              </w:rPr>
              <w:t>200%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Performance Measure Target Levels</w:t>
      </w:r>
    </w:p>
    <w:p>
      <w:pPr>
        <w:spacing w:after="0" w:line="225" w:lineRule="exact"/>
        <w:rPr>
          <w:sz w:val="20"/>
          <w:szCs w:val="20"/>
          <w:color w:val="auto"/>
        </w:rPr>
      </w:pPr>
    </w:p>
    <w:p>
      <w:pPr>
        <w:ind w:right="260"/>
        <w:spacing w:after="0" w:line="296" w:lineRule="auto"/>
        <w:rPr>
          <w:sz w:val="20"/>
          <w:szCs w:val="20"/>
          <w:color w:val="auto"/>
        </w:rPr>
      </w:pPr>
      <w:r>
        <w:rPr>
          <w:rFonts w:ascii="Arial" w:cs="Arial" w:eastAsia="Arial" w:hAnsi="Arial"/>
          <w:sz w:val="16"/>
          <w:szCs w:val="16"/>
          <w:color w:val="auto"/>
        </w:rPr>
        <w:t>With respect to the target levels for sales, the Compensation Committee believed that, at the time, the target level for each performance measure was set, these target levels would be challenging and difficult, but achievable under normal business conditions with significant effort and skill, and strong execution. For 2021, the Compensation Committee expected that these target levels would be difficult to achieve because they would require delivery of results in uncertain market conditions (including the ongoing global COVID pandemic), adroitly executing our business strategy, the development and acceptance by customers of new products, and successful entry into certain new markets in a highly competitive and volatile environment.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Annual Incentive Decisions</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Following the end of 2021, the Compensation Committee compared our actual financial performance to the target performance levels established for the year and applied the incentive formula under the 2021 STI to this actual performance.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Based on these determinations, the annual cash incentives paid to our NEOs for 2021 were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40" w:type="dxa"/>
            <w:vAlign w:val="bottom"/>
            <w:shd w:val="clear" w:color="auto" w:fill="2D53A6"/>
          </w:tcPr>
          <w:p>
            <w:pPr>
              <w:spacing w:after="0"/>
              <w:rPr>
                <w:sz w:val="19"/>
                <w:szCs w:val="19"/>
                <w:color w:val="auto"/>
              </w:rPr>
            </w:pPr>
          </w:p>
        </w:tc>
        <w:tc>
          <w:tcPr>
            <w:tcW w:w="5720" w:type="dxa"/>
            <w:vAlign w:val="bottom"/>
            <w:tcBorders>
              <w:right w:val="single" w:sz="8" w:color="2D53A6"/>
            </w:tcBorders>
            <w:gridSpan w:val="4"/>
            <w:shd w:val="clear" w:color="auto" w:fill="2D53A6"/>
          </w:tcPr>
          <w:p>
            <w:pPr>
              <w:jc w:val="center"/>
              <w:ind w:right="70"/>
              <w:spacing w:after="0"/>
              <w:rPr>
                <w:sz w:val="20"/>
                <w:szCs w:val="20"/>
                <w:color w:val="auto"/>
              </w:rPr>
            </w:pPr>
            <w:r>
              <w:rPr>
                <w:rFonts w:ascii="Arial" w:cs="Arial" w:eastAsia="Arial" w:hAnsi="Arial"/>
                <w:sz w:val="18"/>
                <w:szCs w:val="18"/>
                <w:b w:val="1"/>
                <w:bCs w:val="1"/>
                <w:color w:val="FFFFFF"/>
                <w:w w:val="90"/>
              </w:rPr>
              <w:t>Actual Achievement 2021 STI Performance Measures and Objectives</w:t>
            </w:r>
          </w:p>
        </w:tc>
        <w:tc>
          <w:tcPr>
            <w:tcW w:w="1340" w:type="dxa"/>
            <w:vAlign w:val="bottom"/>
            <w:tcBorders>
              <w:right w:val="single" w:sz="8" w:color="2D53A6"/>
            </w:tcBorders>
            <w:shd w:val="clear" w:color="auto" w:fill="2D53A6"/>
          </w:tcPr>
          <w:p>
            <w:pPr>
              <w:spacing w:after="0"/>
              <w:rPr>
                <w:sz w:val="19"/>
                <w:szCs w:val="19"/>
                <w:color w:val="auto"/>
              </w:rPr>
            </w:pPr>
          </w:p>
        </w:tc>
        <w:tc>
          <w:tcPr>
            <w:tcW w:w="1340" w:type="dxa"/>
            <w:vAlign w:val="bottom"/>
            <w:shd w:val="clear" w:color="auto" w:fill="2D53A6"/>
          </w:tcPr>
          <w:p>
            <w:pPr>
              <w:spacing w:after="0"/>
              <w:rPr>
                <w:sz w:val="19"/>
                <w:szCs w:val="19"/>
                <w:color w:val="auto"/>
              </w:rPr>
            </w:pPr>
          </w:p>
        </w:tc>
      </w:tr>
      <w:tr>
        <w:trPr>
          <w:trHeight w:val="216"/>
        </w:trPr>
        <w:tc>
          <w:tcPr>
            <w:tcW w:w="2840" w:type="dxa"/>
            <w:vAlign w:val="bottom"/>
            <w:tcBorders>
              <w:bottom w:val="single" w:sz="8" w:color="2D53A6"/>
            </w:tcBorders>
          </w:tcPr>
          <w:p>
            <w:pPr>
              <w:spacing w:after="0"/>
              <w:rPr>
                <w:sz w:val="18"/>
                <w:szCs w:val="18"/>
                <w:color w:val="auto"/>
              </w:rPr>
            </w:pPr>
          </w:p>
        </w:tc>
        <w:tc>
          <w:tcPr>
            <w:tcW w:w="1660" w:type="dxa"/>
            <w:vAlign w:val="bottom"/>
            <w:tcBorders>
              <w:bottom w:val="single" w:sz="8" w:color="2D53A6"/>
              <w:right w:val="single" w:sz="8" w:color="2D53A6"/>
            </w:tcBorders>
          </w:tcPr>
          <w:p>
            <w:pPr>
              <w:spacing w:after="0"/>
              <w:rPr>
                <w:sz w:val="18"/>
                <w:szCs w:val="18"/>
                <w:color w:val="auto"/>
              </w:rPr>
            </w:pPr>
          </w:p>
        </w:tc>
        <w:tc>
          <w:tcPr>
            <w:tcW w:w="1360" w:type="dxa"/>
            <w:vAlign w:val="bottom"/>
            <w:tcBorders>
              <w:bottom w:val="single" w:sz="8" w:color="2D53A6"/>
              <w:right w:val="single" w:sz="8" w:color="2D53A6"/>
            </w:tcBorders>
          </w:tcPr>
          <w:p>
            <w:pPr>
              <w:ind w:left="260"/>
              <w:spacing w:after="0"/>
              <w:rPr>
                <w:sz w:val="20"/>
                <w:szCs w:val="20"/>
                <w:color w:val="auto"/>
              </w:rPr>
            </w:pPr>
            <w:r>
              <w:rPr>
                <w:rFonts w:ascii="Arial" w:cs="Arial" w:eastAsia="Arial" w:hAnsi="Arial"/>
                <w:sz w:val="18"/>
                <w:szCs w:val="18"/>
                <w:b w:val="1"/>
                <w:bCs w:val="1"/>
                <w:color w:val="auto"/>
              </w:rPr>
              <w:t>Dr. Müller</w:t>
            </w:r>
          </w:p>
        </w:tc>
        <w:tc>
          <w:tcPr>
            <w:tcW w:w="1340" w:type="dxa"/>
            <w:vAlign w:val="bottom"/>
            <w:tcBorders>
              <w:bottom w:val="single" w:sz="8" w:color="2D53A6"/>
              <w:right w:val="single" w:sz="8" w:color="2D53A6"/>
            </w:tcBorders>
          </w:tcPr>
          <w:p>
            <w:pPr>
              <w:ind w:left="280"/>
              <w:spacing w:after="0"/>
              <w:rPr>
                <w:sz w:val="20"/>
                <w:szCs w:val="20"/>
                <w:color w:val="auto"/>
              </w:rPr>
            </w:pPr>
            <w:r>
              <w:rPr>
                <w:rFonts w:ascii="Arial" w:cs="Arial" w:eastAsia="Arial" w:hAnsi="Arial"/>
                <w:sz w:val="18"/>
                <w:szCs w:val="18"/>
                <w:b w:val="1"/>
                <w:bCs w:val="1"/>
                <w:color w:val="auto"/>
              </w:rPr>
              <w:t>Mr. Jones</w:t>
            </w:r>
          </w:p>
        </w:tc>
        <w:tc>
          <w:tcPr>
            <w:tcW w:w="1360" w:type="dxa"/>
            <w:vAlign w:val="bottom"/>
            <w:tcBorders>
              <w:bottom w:val="single" w:sz="8" w:color="2D53A6"/>
              <w:right w:val="single" w:sz="8" w:color="2D53A6"/>
            </w:tcBorders>
          </w:tcPr>
          <w:p>
            <w:pPr>
              <w:ind w:left="180"/>
              <w:spacing w:after="0"/>
              <w:rPr>
                <w:sz w:val="20"/>
                <w:szCs w:val="20"/>
                <w:color w:val="auto"/>
              </w:rPr>
            </w:pPr>
            <w:r>
              <w:rPr>
                <w:rFonts w:ascii="Arial" w:cs="Arial" w:eastAsia="Arial" w:hAnsi="Arial"/>
                <w:sz w:val="18"/>
                <w:szCs w:val="18"/>
                <w:b w:val="1"/>
                <w:bCs w:val="1"/>
                <w:color w:val="auto"/>
              </w:rPr>
              <w:t>Mr. Bohrson</w:t>
            </w:r>
          </w:p>
        </w:tc>
        <w:tc>
          <w:tcPr>
            <w:tcW w:w="1340" w:type="dxa"/>
            <w:vAlign w:val="bottom"/>
            <w:tcBorders>
              <w:bottom w:val="single" w:sz="8" w:color="2D53A6"/>
              <w:right w:val="single" w:sz="8" w:color="2D53A6"/>
            </w:tcBorders>
          </w:tcPr>
          <w:p>
            <w:pPr>
              <w:ind w:left="160"/>
              <w:spacing w:after="0"/>
              <w:rPr>
                <w:sz w:val="20"/>
                <w:szCs w:val="20"/>
                <w:color w:val="auto"/>
              </w:rPr>
            </w:pPr>
            <w:r>
              <w:rPr>
                <w:rFonts w:ascii="Arial" w:cs="Arial" w:eastAsia="Arial" w:hAnsi="Arial"/>
                <w:sz w:val="18"/>
                <w:szCs w:val="18"/>
                <w:b w:val="1"/>
                <w:bCs w:val="1"/>
                <w:color w:val="auto"/>
              </w:rPr>
              <w:t>Mr. Kampfer</w:t>
            </w:r>
          </w:p>
        </w:tc>
        <w:tc>
          <w:tcPr>
            <w:tcW w:w="1340" w:type="dxa"/>
            <w:vAlign w:val="bottom"/>
            <w:tcBorders>
              <w:bottom w:val="single" w:sz="8" w:color="2D53A6"/>
            </w:tcBorders>
          </w:tcPr>
          <w:p>
            <w:pPr>
              <w:ind w:left="260"/>
              <w:spacing w:after="0"/>
              <w:rPr>
                <w:sz w:val="20"/>
                <w:szCs w:val="20"/>
                <w:color w:val="auto"/>
              </w:rPr>
            </w:pPr>
            <w:r>
              <w:rPr>
                <w:rFonts w:ascii="Arial" w:cs="Arial" w:eastAsia="Arial" w:hAnsi="Arial"/>
                <w:sz w:val="18"/>
                <w:szCs w:val="18"/>
                <w:b w:val="1"/>
                <w:bCs w:val="1"/>
                <w:color w:val="auto"/>
              </w:rPr>
              <w:t>Mr. Lawee</w:t>
            </w:r>
          </w:p>
        </w:tc>
      </w:tr>
      <w:tr>
        <w:trPr>
          <w:trHeight w:val="210"/>
        </w:trPr>
        <w:tc>
          <w:tcPr>
            <w:tcW w:w="2840" w:type="dxa"/>
            <w:vAlign w:val="bottom"/>
            <w:tcBorders>
              <w:bottom w:val="single" w:sz="8" w:color="2D53A6"/>
            </w:tcBorders>
          </w:tcPr>
          <w:p>
            <w:pPr>
              <w:spacing w:after="0"/>
              <w:rPr>
                <w:sz w:val="20"/>
                <w:szCs w:val="20"/>
                <w:color w:val="auto"/>
              </w:rPr>
            </w:pPr>
            <w:r>
              <w:rPr>
                <w:rFonts w:ascii="Arial" w:cs="Arial" w:eastAsia="Arial" w:hAnsi="Arial"/>
                <w:sz w:val="18"/>
                <w:szCs w:val="18"/>
                <w:color w:val="auto"/>
              </w:rPr>
              <w:t>4-year Rolling Sales Growth</w:t>
            </w:r>
          </w:p>
        </w:tc>
        <w:tc>
          <w:tcPr>
            <w:tcW w:w="1660" w:type="dxa"/>
            <w:vAlign w:val="bottom"/>
            <w:tcBorders>
              <w:bottom w:val="single" w:sz="8" w:color="2D53A6"/>
              <w:right w:val="single" w:sz="8" w:color="2D53A6"/>
            </w:tcBorders>
          </w:tcPr>
          <w:p>
            <w:pPr>
              <w:spacing w:after="0"/>
              <w:rPr>
                <w:sz w:val="18"/>
                <w:szCs w:val="18"/>
                <w:color w:val="auto"/>
              </w:rPr>
            </w:pPr>
          </w:p>
        </w:tc>
        <w:tc>
          <w:tcPr>
            <w:tcW w:w="136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0"/>
              </w:rPr>
              <w:t>26.4%</w:t>
            </w:r>
          </w:p>
        </w:tc>
        <w:tc>
          <w:tcPr>
            <w:tcW w:w="134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3"/>
              </w:rPr>
              <w:t>26.4%</w:t>
            </w:r>
          </w:p>
        </w:tc>
        <w:tc>
          <w:tcPr>
            <w:tcW w:w="136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0"/>
              </w:rPr>
              <w:t>26.4%</w:t>
            </w:r>
          </w:p>
        </w:tc>
        <w:tc>
          <w:tcPr>
            <w:tcW w:w="134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3"/>
              </w:rPr>
              <w:t>26.4%</w:t>
            </w:r>
          </w:p>
        </w:tc>
        <w:tc>
          <w:tcPr>
            <w:tcW w:w="1340" w:type="dxa"/>
            <w:vAlign w:val="bottom"/>
            <w:tcBorders>
              <w:bottom w:val="single" w:sz="8" w:color="2D53A6"/>
            </w:tcBorders>
          </w:tcPr>
          <w:p>
            <w:pPr>
              <w:jc w:val="center"/>
              <w:spacing w:after="0"/>
              <w:rPr>
                <w:sz w:val="20"/>
                <w:szCs w:val="20"/>
                <w:color w:val="auto"/>
              </w:rPr>
            </w:pPr>
            <w:r>
              <w:rPr>
                <w:rFonts w:ascii="Arial" w:cs="Arial" w:eastAsia="Arial" w:hAnsi="Arial"/>
                <w:sz w:val="18"/>
                <w:szCs w:val="18"/>
                <w:color w:val="auto"/>
                <w:w w:val="90"/>
              </w:rPr>
              <w:t>26.4%</w:t>
            </w:r>
          </w:p>
        </w:tc>
      </w:tr>
      <w:tr>
        <w:trPr>
          <w:trHeight w:val="210"/>
        </w:trPr>
        <w:tc>
          <w:tcPr>
            <w:tcW w:w="2840" w:type="dxa"/>
            <w:vAlign w:val="bottom"/>
            <w:tcBorders>
              <w:bottom w:val="single" w:sz="8" w:color="2D53A6"/>
            </w:tcBorders>
          </w:tcPr>
          <w:p>
            <w:pPr>
              <w:spacing w:after="0"/>
              <w:rPr>
                <w:sz w:val="20"/>
                <w:szCs w:val="20"/>
                <w:color w:val="auto"/>
              </w:rPr>
            </w:pPr>
            <w:r>
              <w:rPr>
                <w:rFonts w:ascii="Arial" w:cs="Arial" w:eastAsia="Arial" w:hAnsi="Arial"/>
                <w:sz w:val="18"/>
                <w:szCs w:val="18"/>
                <w:color w:val="auto"/>
              </w:rPr>
              <w:t>Goal Payout %</w:t>
            </w:r>
          </w:p>
        </w:tc>
        <w:tc>
          <w:tcPr>
            <w:tcW w:w="1660" w:type="dxa"/>
            <w:vAlign w:val="bottom"/>
            <w:tcBorders>
              <w:bottom w:val="single" w:sz="8" w:color="2D53A6"/>
              <w:right w:val="single" w:sz="8" w:color="2D53A6"/>
            </w:tcBorders>
          </w:tcPr>
          <w:p>
            <w:pPr>
              <w:spacing w:after="0"/>
              <w:rPr>
                <w:sz w:val="18"/>
                <w:szCs w:val="18"/>
                <w:color w:val="auto"/>
              </w:rPr>
            </w:pPr>
          </w:p>
        </w:tc>
        <w:tc>
          <w:tcPr>
            <w:tcW w:w="136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1"/>
              </w:rPr>
              <w:t>200%</w:t>
            </w:r>
          </w:p>
        </w:tc>
        <w:tc>
          <w:tcPr>
            <w:tcW w:w="134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1"/>
              </w:rPr>
              <w:t>200%</w:t>
            </w:r>
          </w:p>
        </w:tc>
        <w:tc>
          <w:tcPr>
            <w:tcW w:w="136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1"/>
              </w:rPr>
              <w:t>200%</w:t>
            </w:r>
          </w:p>
        </w:tc>
        <w:tc>
          <w:tcPr>
            <w:tcW w:w="134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1"/>
              </w:rPr>
              <w:t>200%</w:t>
            </w:r>
          </w:p>
        </w:tc>
        <w:tc>
          <w:tcPr>
            <w:tcW w:w="1340" w:type="dxa"/>
            <w:vAlign w:val="bottom"/>
            <w:tcBorders>
              <w:bottom w:val="single" w:sz="8" w:color="2D53A6"/>
            </w:tcBorders>
          </w:tcPr>
          <w:p>
            <w:pPr>
              <w:jc w:val="center"/>
              <w:spacing w:after="0"/>
              <w:rPr>
                <w:sz w:val="20"/>
                <w:szCs w:val="20"/>
                <w:color w:val="auto"/>
              </w:rPr>
            </w:pPr>
            <w:r>
              <w:rPr>
                <w:rFonts w:ascii="Arial" w:cs="Arial" w:eastAsia="Arial" w:hAnsi="Arial"/>
                <w:sz w:val="18"/>
                <w:szCs w:val="18"/>
                <w:color w:val="auto"/>
                <w:w w:val="91"/>
              </w:rPr>
              <w:t>200%</w:t>
            </w:r>
          </w:p>
        </w:tc>
      </w:tr>
      <w:tr>
        <w:trPr>
          <w:trHeight w:val="209"/>
        </w:trPr>
        <w:tc>
          <w:tcPr>
            <w:tcW w:w="2840" w:type="dxa"/>
            <w:vAlign w:val="bottom"/>
            <w:tcBorders>
              <w:bottom w:val="single" w:sz="8" w:color="2D53A6"/>
            </w:tcBorders>
          </w:tcPr>
          <w:p>
            <w:pPr>
              <w:spacing w:after="0" w:line="210" w:lineRule="exact"/>
              <w:rPr>
                <w:sz w:val="20"/>
                <w:szCs w:val="20"/>
                <w:color w:val="auto"/>
              </w:rPr>
            </w:pPr>
            <w:r>
              <w:rPr>
                <w:rFonts w:ascii="Arial" w:cs="Arial" w:eastAsia="Arial" w:hAnsi="Arial"/>
                <w:sz w:val="15"/>
                <w:szCs w:val="15"/>
                <w:color w:val="auto"/>
              </w:rPr>
              <w:t xml:space="preserve">Non-GAAP Pre-tax Income </w:t>
            </w:r>
            <w:r>
              <w:rPr>
                <w:rFonts w:ascii="Arial" w:cs="Arial" w:eastAsia="Arial" w:hAnsi="Arial"/>
                <w:sz w:val="24"/>
                <w:szCs w:val="24"/>
                <w:color w:val="auto"/>
                <w:vertAlign w:val="superscript"/>
              </w:rPr>
              <w:t>(1)</w:t>
            </w:r>
          </w:p>
        </w:tc>
        <w:tc>
          <w:tcPr>
            <w:tcW w:w="1660" w:type="dxa"/>
            <w:vAlign w:val="bottom"/>
            <w:tcBorders>
              <w:bottom w:val="single" w:sz="8" w:color="2D53A6"/>
              <w:right w:val="single" w:sz="8" w:color="2D53A6"/>
            </w:tcBorders>
          </w:tcPr>
          <w:p>
            <w:pPr>
              <w:spacing w:after="0"/>
              <w:rPr>
                <w:sz w:val="18"/>
                <w:szCs w:val="18"/>
                <w:color w:val="auto"/>
              </w:rPr>
            </w:pPr>
          </w:p>
        </w:tc>
        <w:tc>
          <w:tcPr>
            <w:tcW w:w="136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0"/>
              </w:rPr>
              <w:t>19.5%</w:t>
            </w:r>
          </w:p>
        </w:tc>
        <w:tc>
          <w:tcPr>
            <w:tcW w:w="134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3"/>
              </w:rPr>
              <w:t>19.5%</w:t>
            </w:r>
          </w:p>
        </w:tc>
        <w:tc>
          <w:tcPr>
            <w:tcW w:w="136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0"/>
              </w:rPr>
              <w:t>19.5%</w:t>
            </w:r>
          </w:p>
        </w:tc>
        <w:tc>
          <w:tcPr>
            <w:tcW w:w="134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3"/>
              </w:rPr>
              <w:t>19.5%</w:t>
            </w:r>
          </w:p>
        </w:tc>
        <w:tc>
          <w:tcPr>
            <w:tcW w:w="1340" w:type="dxa"/>
            <w:vAlign w:val="bottom"/>
            <w:tcBorders>
              <w:bottom w:val="single" w:sz="8" w:color="2D53A6"/>
            </w:tcBorders>
          </w:tcPr>
          <w:p>
            <w:pPr>
              <w:jc w:val="center"/>
              <w:spacing w:after="0"/>
              <w:rPr>
                <w:sz w:val="20"/>
                <w:szCs w:val="20"/>
                <w:color w:val="auto"/>
              </w:rPr>
            </w:pPr>
            <w:r>
              <w:rPr>
                <w:rFonts w:ascii="Arial" w:cs="Arial" w:eastAsia="Arial" w:hAnsi="Arial"/>
                <w:sz w:val="18"/>
                <w:szCs w:val="18"/>
                <w:color w:val="auto"/>
                <w:w w:val="90"/>
              </w:rPr>
              <w:t>19.5%</w:t>
            </w:r>
          </w:p>
        </w:tc>
      </w:tr>
      <w:tr>
        <w:trPr>
          <w:trHeight w:val="210"/>
        </w:trPr>
        <w:tc>
          <w:tcPr>
            <w:tcW w:w="2840" w:type="dxa"/>
            <w:vAlign w:val="bottom"/>
            <w:tcBorders>
              <w:bottom w:val="single" w:sz="8" w:color="2D53A6"/>
            </w:tcBorders>
          </w:tcPr>
          <w:p>
            <w:pPr>
              <w:spacing w:after="0"/>
              <w:rPr>
                <w:sz w:val="20"/>
                <w:szCs w:val="20"/>
                <w:color w:val="auto"/>
              </w:rPr>
            </w:pPr>
            <w:r>
              <w:rPr>
                <w:rFonts w:ascii="Arial" w:cs="Arial" w:eastAsia="Arial" w:hAnsi="Arial"/>
                <w:sz w:val="18"/>
                <w:szCs w:val="18"/>
                <w:color w:val="auto"/>
              </w:rPr>
              <w:t>Goal Payout %</w:t>
            </w:r>
          </w:p>
        </w:tc>
        <w:tc>
          <w:tcPr>
            <w:tcW w:w="1660" w:type="dxa"/>
            <w:vAlign w:val="bottom"/>
            <w:tcBorders>
              <w:bottom w:val="single" w:sz="8" w:color="2D53A6"/>
              <w:right w:val="single" w:sz="8" w:color="2D53A6"/>
            </w:tcBorders>
          </w:tcPr>
          <w:p>
            <w:pPr>
              <w:spacing w:after="0"/>
              <w:rPr>
                <w:sz w:val="18"/>
                <w:szCs w:val="18"/>
                <w:color w:val="auto"/>
              </w:rPr>
            </w:pPr>
          </w:p>
        </w:tc>
        <w:tc>
          <w:tcPr>
            <w:tcW w:w="136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1"/>
              </w:rPr>
              <w:t>160%</w:t>
            </w:r>
          </w:p>
        </w:tc>
        <w:tc>
          <w:tcPr>
            <w:tcW w:w="134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1"/>
              </w:rPr>
              <w:t>160%</w:t>
            </w:r>
          </w:p>
        </w:tc>
        <w:tc>
          <w:tcPr>
            <w:tcW w:w="136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1"/>
              </w:rPr>
              <w:t>160%</w:t>
            </w:r>
          </w:p>
        </w:tc>
        <w:tc>
          <w:tcPr>
            <w:tcW w:w="134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1"/>
              </w:rPr>
              <w:t>160%</w:t>
            </w:r>
          </w:p>
        </w:tc>
        <w:tc>
          <w:tcPr>
            <w:tcW w:w="1340" w:type="dxa"/>
            <w:vAlign w:val="bottom"/>
            <w:tcBorders>
              <w:bottom w:val="single" w:sz="8" w:color="2D53A6"/>
            </w:tcBorders>
          </w:tcPr>
          <w:p>
            <w:pPr>
              <w:jc w:val="center"/>
              <w:spacing w:after="0"/>
              <w:rPr>
                <w:sz w:val="20"/>
                <w:szCs w:val="20"/>
                <w:color w:val="auto"/>
              </w:rPr>
            </w:pPr>
            <w:r>
              <w:rPr>
                <w:rFonts w:ascii="Arial" w:cs="Arial" w:eastAsia="Arial" w:hAnsi="Arial"/>
                <w:sz w:val="18"/>
                <w:szCs w:val="18"/>
                <w:color w:val="auto"/>
                <w:w w:val="91"/>
              </w:rPr>
              <w:t>160%</w:t>
            </w:r>
          </w:p>
        </w:tc>
      </w:tr>
      <w:tr>
        <w:trPr>
          <w:trHeight w:val="210"/>
        </w:trPr>
        <w:tc>
          <w:tcPr>
            <w:tcW w:w="2840" w:type="dxa"/>
            <w:vAlign w:val="bottom"/>
            <w:tcBorders>
              <w:bottom w:val="single" w:sz="8" w:color="2D53A6"/>
            </w:tcBorders>
            <w:shd w:val="clear" w:color="auto" w:fill="E6E6E6"/>
          </w:tcPr>
          <w:p>
            <w:pPr>
              <w:spacing w:after="0"/>
              <w:rPr>
                <w:sz w:val="18"/>
                <w:szCs w:val="18"/>
                <w:color w:val="auto"/>
              </w:rPr>
            </w:pPr>
          </w:p>
        </w:tc>
        <w:tc>
          <w:tcPr>
            <w:tcW w:w="5720" w:type="dxa"/>
            <w:vAlign w:val="bottom"/>
            <w:tcBorders>
              <w:bottom w:val="single" w:sz="8" w:color="2D53A6"/>
              <w:right w:val="single" w:sz="8" w:color="E6E6E6"/>
            </w:tcBorders>
            <w:gridSpan w:val="4"/>
            <w:shd w:val="clear" w:color="auto" w:fill="E6E6E6"/>
          </w:tcPr>
          <w:p>
            <w:pPr>
              <w:jc w:val="center"/>
              <w:ind w:right="70"/>
              <w:spacing w:after="0"/>
              <w:rPr>
                <w:sz w:val="20"/>
                <w:szCs w:val="20"/>
                <w:color w:val="auto"/>
              </w:rPr>
            </w:pPr>
            <w:r>
              <w:rPr>
                <w:rFonts w:ascii="Arial" w:cs="Arial" w:eastAsia="Arial" w:hAnsi="Arial"/>
                <w:sz w:val="18"/>
                <w:szCs w:val="18"/>
                <w:b w:val="1"/>
                <w:bCs w:val="1"/>
                <w:color w:val="auto"/>
                <w:w w:val="91"/>
              </w:rPr>
              <w:t>Actual Amount of Fiscal 2021 STI Cash Incentives</w:t>
            </w:r>
          </w:p>
        </w:tc>
        <w:tc>
          <w:tcPr>
            <w:tcW w:w="1340" w:type="dxa"/>
            <w:vAlign w:val="bottom"/>
            <w:tcBorders>
              <w:bottom w:val="single" w:sz="8" w:color="2D53A6"/>
              <w:right w:val="single" w:sz="8" w:color="E6E6E6"/>
            </w:tcBorders>
            <w:shd w:val="clear" w:color="auto" w:fill="E6E6E6"/>
          </w:tcPr>
          <w:p>
            <w:pPr>
              <w:spacing w:after="0"/>
              <w:rPr>
                <w:sz w:val="18"/>
                <w:szCs w:val="18"/>
                <w:color w:val="auto"/>
              </w:rPr>
            </w:pPr>
          </w:p>
        </w:tc>
        <w:tc>
          <w:tcPr>
            <w:tcW w:w="1340" w:type="dxa"/>
            <w:vAlign w:val="bottom"/>
            <w:tcBorders>
              <w:bottom w:val="single" w:sz="8" w:color="2D53A6"/>
            </w:tcBorders>
            <w:shd w:val="clear" w:color="auto" w:fill="E6E6E6"/>
          </w:tcPr>
          <w:p>
            <w:pPr>
              <w:spacing w:after="0"/>
              <w:rPr>
                <w:sz w:val="18"/>
                <w:szCs w:val="18"/>
                <w:color w:val="auto"/>
              </w:rPr>
            </w:pPr>
          </w:p>
        </w:tc>
      </w:tr>
      <w:tr>
        <w:trPr>
          <w:trHeight w:val="210"/>
        </w:trPr>
        <w:tc>
          <w:tcPr>
            <w:tcW w:w="2840" w:type="dxa"/>
            <w:vAlign w:val="bottom"/>
            <w:tcBorders>
              <w:bottom w:val="single" w:sz="8" w:color="2D53A6"/>
            </w:tcBorders>
          </w:tcPr>
          <w:p>
            <w:pPr>
              <w:spacing w:after="0"/>
              <w:rPr>
                <w:sz w:val="20"/>
                <w:szCs w:val="20"/>
                <w:color w:val="auto"/>
              </w:rPr>
            </w:pPr>
            <w:r>
              <w:rPr>
                <w:rFonts w:ascii="Arial" w:cs="Arial" w:eastAsia="Arial" w:hAnsi="Arial"/>
                <w:sz w:val="18"/>
                <w:szCs w:val="18"/>
                <w:color w:val="auto"/>
                <w:w w:val="96"/>
              </w:rPr>
              <w:t>Non-Equity Incentive Award Payable</w:t>
            </w:r>
          </w:p>
        </w:tc>
        <w:tc>
          <w:tcPr>
            <w:tcW w:w="1660" w:type="dxa"/>
            <w:vAlign w:val="bottom"/>
            <w:tcBorders>
              <w:bottom w:val="single" w:sz="8" w:color="2D53A6"/>
              <w:right w:val="single" w:sz="8" w:color="2D53A6"/>
            </w:tcBorders>
          </w:tcPr>
          <w:p>
            <w:pPr>
              <w:spacing w:after="0"/>
              <w:rPr>
                <w:sz w:val="18"/>
                <w:szCs w:val="18"/>
                <w:color w:val="auto"/>
              </w:rPr>
            </w:pPr>
          </w:p>
        </w:tc>
        <w:tc>
          <w:tcPr>
            <w:tcW w:w="136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0"/>
              </w:rPr>
              <w:t>$1,049,282</w:t>
            </w:r>
          </w:p>
        </w:tc>
        <w:tc>
          <w:tcPr>
            <w:tcW w:w="134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0"/>
              </w:rPr>
              <w:t>$481,830</w:t>
            </w:r>
          </w:p>
        </w:tc>
        <w:tc>
          <w:tcPr>
            <w:tcW w:w="136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87"/>
              </w:rPr>
              <w:t>$430,122</w:t>
            </w:r>
          </w:p>
        </w:tc>
        <w:tc>
          <w:tcPr>
            <w:tcW w:w="134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0"/>
              </w:rPr>
              <w:t>$297,996</w:t>
            </w:r>
          </w:p>
        </w:tc>
        <w:tc>
          <w:tcPr>
            <w:tcW w:w="1340" w:type="dxa"/>
            <w:vAlign w:val="bottom"/>
            <w:tcBorders>
              <w:bottom w:val="single" w:sz="8" w:color="2D53A6"/>
            </w:tcBorders>
          </w:tcPr>
          <w:p>
            <w:pPr>
              <w:jc w:val="center"/>
              <w:spacing w:after="0"/>
              <w:rPr>
                <w:sz w:val="20"/>
                <w:szCs w:val="20"/>
                <w:color w:val="auto"/>
              </w:rPr>
            </w:pPr>
            <w:r>
              <w:rPr>
                <w:rFonts w:ascii="Arial" w:cs="Arial" w:eastAsia="Arial" w:hAnsi="Arial"/>
                <w:sz w:val="18"/>
                <w:szCs w:val="18"/>
                <w:color w:val="auto"/>
                <w:w w:val="87"/>
              </w:rPr>
              <w:t>$288,091</w:t>
            </w:r>
          </w:p>
        </w:tc>
      </w:tr>
      <w:tr>
        <w:trPr>
          <w:trHeight w:val="209"/>
        </w:trPr>
        <w:tc>
          <w:tcPr>
            <w:tcW w:w="2840" w:type="dxa"/>
            <w:vAlign w:val="bottom"/>
            <w:tcBorders>
              <w:bottom w:val="single" w:sz="8" w:color="2D53A6"/>
            </w:tcBorders>
          </w:tcPr>
          <w:p>
            <w:pPr>
              <w:spacing w:after="0"/>
              <w:rPr>
                <w:sz w:val="20"/>
                <w:szCs w:val="20"/>
                <w:color w:val="auto"/>
              </w:rPr>
            </w:pPr>
            <w:r>
              <w:rPr>
                <w:rFonts w:ascii="Arial" w:cs="Arial" w:eastAsia="Arial" w:hAnsi="Arial"/>
                <w:sz w:val="18"/>
                <w:szCs w:val="18"/>
                <w:color w:val="auto"/>
              </w:rPr>
              <w:t>% of targeted award amount</w:t>
            </w:r>
          </w:p>
        </w:tc>
        <w:tc>
          <w:tcPr>
            <w:tcW w:w="1660" w:type="dxa"/>
            <w:vAlign w:val="bottom"/>
            <w:tcBorders>
              <w:bottom w:val="single" w:sz="8" w:color="2D53A6"/>
              <w:right w:val="single" w:sz="8" w:color="2D53A6"/>
            </w:tcBorders>
          </w:tcPr>
          <w:p>
            <w:pPr>
              <w:spacing w:after="0"/>
              <w:rPr>
                <w:sz w:val="18"/>
                <w:szCs w:val="18"/>
                <w:color w:val="auto"/>
              </w:rPr>
            </w:pPr>
          </w:p>
        </w:tc>
        <w:tc>
          <w:tcPr>
            <w:tcW w:w="136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1"/>
              </w:rPr>
              <w:t>168%</w:t>
            </w:r>
          </w:p>
        </w:tc>
        <w:tc>
          <w:tcPr>
            <w:tcW w:w="134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1"/>
              </w:rPr>
              <w:t>168%</w:t>
            </w:r>
          </w:p>
        </w:tc>
        <w:tc>
          <w:tcPr>
            <w:tcW w:w="136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1"/>
              </w:rPr>
              <w:t>168%</w:t>
            </w:r>
          </w:p>
        </w:tc>
        <w:tc>
          <w:tcPr>
            <w:tcW w:w="134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1"/>
              </w:rPr>
              <w:t>168%</w:t>
            </w:r>
          </w:p>
        </w:tc>
        <w:tc>
          <w:tcPr>
            <w:tcW w:w="1340" w:type="dxa"/>
            <w:vAlign w:val="bottom"/>
            <w:tcBorders>
              <w:bottom w:val="single" w:sz="8" w:color="2D53A6"/>
            </w:tcBorders>
          </w:tcPr>
          <w:p>
            <w:pPr>
              <w:jc w:val="center"/>
              <w:spacing w:after="0"/>
              <w:rPr>
                <w:sz w:val="20"/>
                <w:szCs w:val="20"/>
                <w:color w:val="auto"/>
              </w:rPr>
            </w:pPr>
            <w:r>
              <w:rPr>
                <w:rFonts w:ascii="Arial" w:cs="Arial" w:eastAsia="Arial" w:hAnsi="Arial"/>
                <w:sz w:val="18"/>
                <w:szCs w:val="18"/>
                <w:color w:val="auto"/>
                <w:w w:val="91"/>
              </w:rPr>
              <w:t>168%</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 A reconciliation of GAAP to non-GAAP pre-tax income is included in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to this proxy.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annual cash incentives paid to our NEOs for 2021 are set forth in the “2021 Summary Compensation Table” below.</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i w:val="1"/>
          <w:iCs w:val="1"/>
          <w:color w:val="auto"/>
        </w:rPr>
        <w:t>Long-Term Incentive Compensation</w:t>
      </w:r>
    </w:p>
    <w:p>
      <w:pPr>
        <w:spacing w:after="0" w:line="225"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We provide long-term incentive compensation in the form of equity awards to our executive officers, including our NEOs. These awards are intended to align the interests of our executive officers with those of our stockholders by creating an incentive for them to maximize long-term stockholder value. They are also designed to encourage our executive officers to remain employed with us in a very competitive labor market. The Compensation Committee regularly monitors the environment in which we operate and revises our long-term incentive compensation arrangements as it determines to be necessary and appropriate to help meet our business objectives, including increasing long-term stockholder value.</w:t>
      </w:r>
    </w:p>
    <w:p>
      <w:pPr>
        <w:spacing w:after="0" w:line="176" w:lineRule="exact"/>
        <w:rPr>
          <w:sz w:val="20"/>
          <w:szCs w:val="20"/>
          <w:color w:val="auto"/>
        </w:rPr>
      </w:pPr>
    </w:p>
    <w:p>
      <w:pPr>
        <w:ind w:right="240"/>
        <w:spacing w:after="0" w:line="272" w:lineRule="auto"/>
        <w:rPr>
          <w:sz w:val="20"/>
          <w:szCs w:val="20"/>
          <w:color w:val="auto"/>
        </w:rPr>
      </w:pPr>
      <w:r>
        <w:rPr>
          <w:rFonts w:ascii="Arial" w:cs="Arial" w:eastAsia="Arial" w:hAnsi="Arial"/>
          <w:sz w:val="17"/>
          <w:szCs w:val="17"/>
          <w:color w:val="auto"/>
        </w:rPr>
        <w:t>Generally, in determining the size of the equity awards granted to our executive officers, including our NEOs, the Compensation Committee takes into consideration the recommendations of our CEO (except with respect to his own equity awards), competitive market data (with particular reference to the median of the competitive market), the potential GAAP accounting expense associated with the proposed awards (as compared to the companies in the compensation peer group), and the other factors described above. The Compensation Committee also considers the dilutive effect of our long-term incentive compensation practices, and the overall impact that these equity awards, as well as awards to other employees, will have on stockholder value. Further, the Compensation Committee has the discretion to determine whether awards in any given year will be made in the form of RSU awards, PSU awards, other awards or a combination thereof.</w:t>
      </w:r>
    </w:p>
    <w:p>
      <w:pPr>
        <w:spacing w:after="0" w:line="17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March 15, 2021, consistent with the grant timing in prior years, the Compensation Committee, based on the factors described above, approved the grant of RSU awards and PSU awards to our executive officers, including our NEOs. The Compensation Committee also determined that, to balance the retention value of the RSU awards with the performance focus of the PSU awards, the total dollar value of the equity awards should be equally weighted between RSU awards and PSU awards.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00" w:type="dxa"/>
            <w:vAlign w:val="bottom"/>
            <w:tcBorders>
              <w:right w:val="single" w:sz="8" w:color="2D53A6"/>
            </w:tcBorders>
            <w:shd w:val="clear" w:color="auto" w:fill="2D53A6"/>
          </w:tcPr>
          <w:p>
            <w:pPr>
              <w:spacing w:after="0"/>
              <w:rPr>
                <w:sz w:val="17"/>
                <w:szCs w:val="17"/>
                <w:color w:val="auto"/>
              </w:rPr>
            </w:pPr>
          </w:p>
        </w:tc>
        <w:tc>
          <w:tcPr>
            <w:tcW w:w="19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3"/>
              </w:rPr>
              <w:t>Number of</w:t>
            </w:r>
          </w:p>
        </w:tc>
        <w:tc>
          <w:tcPr>
            <w:tcW w:w="194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1"/>
              </w:rPr>
              <w:t>Number of</w:t>
            </w:r>
          </w:p>
        </w:tc>
        <w:tc>
          <w:tcPr>
            <w:tcW w:w="1840" w:type="dxa"/>
            <w:vAlign w:val="bottom"/>
            <w:shd w:val="clear" w:color="auto" w:fill="2D53A6"/>
          </w:tcPr>
          <w:p>
            <w:pPr>
              <w:jc w:val="center"/>
              <w:spacing w:after="0"/>
              <w:rPr>
                <w:sz w:val="20"/>
                <w:szCs w:val="20"/>
                <w:color w:val="auto"/>
              </w:rPr>
            </w:pPr>
            <w:r>
              <w:rPr>
                <w:rFonts w:ascii="Arial" w:cs="Arial" w:eastAsia="Arial" w:hAnsi="Arial"/>
                <w:sz w:val="18"/>
                <w:szCs w:val="18"/>
                <w:b w:val="1"/>
                <w:bCs w:val="1"/>
                <w:color w:val="FFFFFF"/>
                <w:w w:val="89"/>
              </w:rPr>
              <w:t>Total Face</w:t>
            </w:r>
          </w:p>
        </w:tc>
        <w:tc>
          <w:tcPr>
            <w:tcW w:w="0" w:type="dxa"/>
            <w:vAlign w:val="bottom"/>
          </w:tcPr>
          <w:p>
            <w:pPr>
              <w:spacing w:after="0"/>
              <w:rPr>
                <w:sz w:val="1"/>
                <w:szCs w:val="1"/>
                <w:color w:val="auto"/>
              </w:rPr>
            </w:pPr>
          </w:p>
        </w:tc>
      </w:tr>
      <w:tr>
        <w:trPr>
          <w:trHeight w:val="216"/>
        </w:trPr>
        <w:tc>
          <w:tcPr>
            <w:tcW w:w="5500" w:type="dxa"/>
            <w:vAlign w:val="bottom"/>
            <w:tcBorders>
              <w:right w:val="single" w:sz="8" w:color="2D53A6"/>
            </w:tcBorders>
            <w:vMerge w:val="restart"/>
            <w:shd w:val="clear" w:color="auto" w:fill="2D53A6"/>
          </w:tcPr>
          <w:p>
            <w:pPr>
              <w:spacing w:after="0"/>
              <w:rPr>
                <w:sz w:val="20"/>
                <w:szCs w:val="20"/>
                <w:color w:val="auto"/>
              </w:rPr>
            </w:pPr>
            <w:r>
              <w:rPr>
                <w:rFonts w:ascii="Arial" w:cs="Arial" w:eastAsia="Arial" w:hAnsi="Arial"/>
                <w:sz w:val="18"/>
                <w:szCs w:val="18"/>
                <w:b w:val="1"/>
                <w:bCs w:val="1"/>
                <w:color w:val="FFFFFF"/>
              </w:rPr>
              <w:t>Named Executive Officer</w:t>
            </w:r>
          </w:p>
        </w:tc>
        <w:tc>
          <w:tcPr>
            <w:tcW w:w="19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0"/>
              </w:rPr>
              <w:t>Restricted</w:t>
            </w:r>
          </w:p>
        </w:tc>
        <w:tc>
          <w:tcPr>
            <w:tcW w:w="194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0"/>
              </w:rPr>
              <w:t>Performance</w:t>
            </w:r>
          </w:p>
        </w:tc>
        <w:tc>
          <w:tcPr>
            <w:tcW w:w="1840" w:type="dxa"/>
            <w:vAlign w:val="bottom"/>
            <w:shd w:val="clear" w:color="auto" w:fill="2D53A6"/>
          </w:tcPr>
          <w:p>
            <w:pPr>
              <w:jc w:val="center"/>
              <w:spacing w:after="0"/>
              <w:rPr>
                <w:sz w:val="20"/>
                <w:szCs w:val="20"/>
                <w:color w:val="auto"/>
              </w:rPr>
            </w:pPr>
            <w:r>
              <w:rPr>
                <w:rFonts w:ascii="Arial" w:cs="Arial" w:eastAsia="Arial" w:hAnsi="Arial"/>
                <w:sz w:val="18"/>
                <w:szCs w:val="18"/>
                <w:b w:val="1"/>
                <w:bCs w:val="1"/>
                <w:color w:val="FFFFFF"/>
                <w:w w:val="88"/>
              </w:rPr>
              <w:t>Value of Stock</w:t>
            </w:r>
          </w:p>
        </w:tc>
        <w:tc>
          <w:tcPr>
            <w:tcW w:w="0" w:type="dxa"/>
            <w:vAlign w:val="bottom"/>
          </w:tcPr>
          <w:p>
            <w:pPr>
              <w:spacing w:after="0"/>
              <w:rPr>
                <w:sz w:val="1"/>
                <w:szCs w:val="1"/>
                <w:color w:val="auto"/>
              </w:rPr>
            </w:pPr>
          </w:p>
        </w:tc>
      </w:tr>
      <w:tr>
        <w:trPr>
          <w:trHeight w:val="126"/>
        </w:trPr>
        <w:tc>
          <w:tcPr>
            <w:tcW w:w="5500" w:type="dxa"/>
            <w:vAlign w:val="bottom"/>
            <w:tcBorders>
              <w:right w:val="single" w:sz="8" w:color="2D53A6"/>
            </w:tcBorders>
            <w:vMerge w:val="continue"/>
            <w:shd w:val="clear" w:color="auto" w:fill="2D53A6"/>
          </w:tcPr>
          <w:p>
            <w:pPr>
              <w:spacing w:after="0"/>
              <w:rPr>
                <w:sz w:val="10"/>
                <w:szCs w:val="10"/>
                <w:color w:val="auto"/>
              </w:rPr>
            </w:pPr>
          </w:p>
        </w:tc>
        <w:tc>
          <w:tcPr>
            <w:tcW w:w="196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88"/>
              </w:rPr>
              <w:t>Stock Units</w:t>
            </w:r>
          </w:p>
        </w:tc>
        <w:tc>
          <w:tcPr>
            <w:tcW w:w="194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90"/>
              </w:rPr>
              <w:t>Stock Units</w:t>
            </w:r>
          </w:p>
        </w:tc>
        <w:tc>
          <w:tcPr>
            <w:tcW w:w="1840" w:type="dxa"/>
            <w:vAlign w:val="bottom"/>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91"/>
              </w:rPr>
              <w:t>Units at Time</w:t>
            </w:r>
          </w:p>
        </w:tc>
        <w:tc>
          <w:tcPr>
            <w:tcW w:w="0" w:type="dxa"/>
            <w:vAlign w:val="bottom"/>
          </w:tcPr>
          <w:p>
            <w:pPr>
              <w:spacing w:after="0"/>
              <w:rPr>
                <w:sz w:val="1"/>
                <w:szCs w:val="1"/>
                <w:color w:val="auto"/>
              </w:rPr>
            </w:pPr>
          </w:p>
        </w:tc>
      </w:tr>
      <w:tr>
        <w:trPr>
          <w:trHeight w:val="90"/>
        </w:trPr>
        <w:tc>
          <w:tcPr>
            <w:tcW w:w="5500" w:type="dxa"/>
            <w:vAlign w:val="bottom"/>
            <w:tcBorders>
              <w:right w:val="single" w:sz="8" w:color="2D53A6"/>
            </w:tcBorders>
            <w:shd w:val="clear" w:color="auto" w:fill="2D53A6"/>
          </w:tcPr>
          <w:p>
            <w:pPr>
              <w:spacing w:after="0"/>
              <w:rPr>
                <w:sz w:val="7"/>
                <w:szCs w:val="7"/>
                <w:color w:val="auto"/>
              </w:rPr>
            </w:pPr>
          </w:p>
        </w:tc>
        <w:tc>
          <w:tcPr>
            <w:tcW w:w="1960" w:type="dxa"/>
            <w:vAlign w:val="bottom"/>
            <w:tcBorders>
              <w:right w:val="single" w:sz="8" w:color="2D53A6"/>
            </w:tcBorders>
            <w:vMerge w:val="continue"/>
            <w:shd w:val="clear" w:color="auto" w:fill="2D53A6"/>
          </w:tcPr>
          <w:p>
            <w:pPr>
              <w:spacing w:after="0"/>
              <w:rPr>
                <w:sz w:val="7"/>
                <w:szCs w:val="7"/>
                <w:color w:val="auto"/>
              </w:rPr>
            </w:pPr>
          </w:p>
        </w:tc>
        <w:tc>
          <w:tcPr>
            <w:tcW w:w="1940" w:type="dxa"/>
            <w:vAlign w:val="bottom"/>
            <w:tcBorders>
              <w:right w:val="single" w:sz="8" w:color="2D53A6"/>
            </w:tcBorders>
            <w:vMerge w:val="continue"/>
            <w:shd w:val="clear" w:color="auto" w:fill="2D53A6"/>
          </w:tcPr>
          <w:p>
            <w:pPr>
              <w:spacing w:after="0"/>
              <w:rPr>
                <w:sz w:val="7"/>
                <w:szCs w:val="7"/>
                <w:color w:val="auto"/>
              </w:rPr>
            </w:pPr>
          </w:p>
        </w:tc>
        <w:tc>
          <w:tcPr>
            <w:tcW w:w="1840" w:type="dxa"/>
            <w:vAlign w:val="bottom"/>
            <w:vMerge w:val="continue"/>
            <w:shd w:val="clear" w:color="auto" w:fill="2D53A6"/>
          </w:tcPr>
          <w:p>
            <w:pPr>
              <w:spacing w:after="0"/>
              <w:rPr>
                <w:sz w:val="7"/>
                <w:szCs w:val="7"/>
                <w:color w:val="auto"/>
              </w:rPr>
            </w:pPr>
          </w:p>
        </w:tc>
        <w:tc>
          <w:tcPr>
            <w:tcW w:w="0" w:type="dxa"/>
            <w:vAlign w:val="bottom"/>
          </w:tcPr>
          <w:p>
            <w:pPr>
              <w:spacing w:after="0"/>
              <w:rPr>
                <w:sz w:val="1"/>
                <w:szCs w:val="1"/>
                <w:color w:val="auto"/>
              </w:rPr>
            </w:pPr>
          </w:p>
        </w:tc>
      </w:tr>
      <w:tr>
        <w:trPr>
          <w:trHeight w:val="248"/>
        </w:trPr>
        <w:tc>
          <w:tcPr>
            <w:tcW w:w="5500" w:type="dxa"/>
            <w:vAlign w:val="bottom"/>
            <w:tcBorders>
              <w:right w:val="single" w:sz="8" w:color="2D53A6"/>
            </w:tcBorders>
            <w:shd w:val="clear" w:color="auto" w:fill="2D53A6"/>
          </w:tcPr>
          <w:p>
            <w:pPr>
              <w:spacing w:after="0"/>
              <w:rPr>
                <w:sz w:val="21"/>
                <w:szCs w:val="21"/>
                <w:color w:val="auto"/>
              </w:rPr>
            </w:pPr>
          </w:p>
        </w:tc>
        <w:tc>
          <w:tcPr>
            <w:tcW w:w="196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2"/>
              </w:rPr>
              <w:t>Granted</w:t>
            </w:r>
          </w:p>
        </w:tc>
        <w:tc>
          <w:tcPr>
            <w:tcW w:w="1940" w:type="dxa"/>
            <w:vAlign w:val="bottom"/>
            <w:tcBorders>
              <w:right w:val="single" w:sz="8" w:color="2D53A6"/>
            </w:tcBorders>
            <w:shd w:val="clear" w:color="auto" w:fill="2D53A6"/>
          </w:tcPr>
          <w:p>
            <w:pPr>
              <w:jc w:val="center"/>
              <w:spacing w:after="0" w:line="235" w:lineRule="exact"/>
              <w:rPr>
                <w:sz w:val="20"/>
                <w:szCs w:val="20"/>
                <w:color w:val="auto"/>
              </w:rPr>
            </w:pPr>
            <w:r>
              <w:rPr>
                <w:rFonts w:ascii="Arial" w:cs="Arial" w:eastAsia="Arial" w:hAnsi="Arial"/>
                <w:sz w:val="17"/>
                <w:szCs w:val="17"/>
                <w:b w:val="1"/>
                <w:bCs w:val="1"/>
                <w:color w:val="FFFFFF"/>
                <w:w w:val="93"/>
              </w:rPr>
              <w:t xml:space="preserve">Granted </w:t>
            </w:r>
            <w:r>
              <w:rPr>
                <w:rFonts w:ascii="Arial" w:cs="Arial" w:eastAsia="Arial" w:hAnsi="Arial"/>
                <w:sz w:val="27"/>
                <w:szCs w:val="27"/>
                <w:b w:val="1"/>
                <w:bCs w:val="1"/>
                <w:color w:val="FFFFFF"/>
                <w:w w:val="93"/>
                <w:vertAlign w:val="superscript"/>
              </w:rPr>
              <w:t>(1)</w:t>
            </w:r>
          </w:p>
        </w:tc>
        <w:tc>
          <w:tcPr>
            <w:tcW w:w="1840" w:type="dxa"/>
            <w:vAlign w:val="bottom"/>
            <w:shd w:val="clear" w:color="auto" w:fill="2D53A6"/>
          </w:tcPr>
          <w:p>
            <w:pPr>
              <w:jc w:val="center"/>
              <w:spacing w:after="0" w:line="235" w:lineRule="exact"/>
              <w:rPr>
                <w:sz w:val="20"/>
                <w:szCs w:val="20"/>
                <w:color w:val="auto"/>
              </w:rPr>
            </w:pPr>
            <w:r>
              <w:rPr>
                <w:rFonts w:ascii="Arial" w:cs="Arial" w:eastAsia="Arial" w:hAnsi="Arial"/>
                <w:sz w:val="17"/>
                <w:szCs w:val="17"/>
                <w:b w:val="1"/>
                <w:bCs w:val="1"/>
                <w:color w:val="FFFFFF"/>
                <w:w w:val="94"/>
              </w:rPr>
              <w:t xml:space="preserve">of Grant </w:t>
            </w:r>
            <w:r>
              <w:rPr>
                <w:rFonts w:ascii="Arial" w:cs="Arial" w:eastAsia="Arial" w:hAnsi="Arial"/>
                <w:sz w:val="27"/>
                <w:szCs w:val="27"/>
                <w:b w:val="1"/>
                <w:bCs w:val="1"/>
                <w:color w:val="FFFFFF"/>
                <w:w w:val="94"/>
                <w:vertAlign w:val="superscript"/>
              </w:rPr>
              <w:t>(2)</w:t>
            </w:r>
          </w:p>
        </w:tc>
        <w:tc>
          <w:tcPr>
            <w:tcW w:w="0" w:type="dxa"/>
            <w:vAlign w:val="bottom"/>
          </w:tcPr>
          <w:p>
            <w:pPr>
              <w:spacing w:after="0"/>
              <w:rPr>
                <w:sz w:val="1"/>
                <w:szCs w:val="1"/>
                <w:color w:val="auto"/>
              </w:rPr>
            </w:pPr>
          </w:p>
        </w:tc>
      </w:tr>
      <w:tr>
        <w:trPr>
          <w:trHeight w:val="216"/>
        </w:trPr>
        <w:tc>
          <w:tcPr>
            <w:tcW w:w="5500" w:type="dxa"/>
            <w:vAlign w:val="bottom"/>
            <w:tcBorders>
              <w:bottom w:val="single" w:sz="8" w:color="2D53A6"/>
              <w:right w:val="single" w:sz="8" w:color="2D53A6"/>
            </w:tcBorders>
          </w:tcPr>
          <w:p>
            <w:pPr>
              <w:spacing w:after="0"/>
              <w:rPr>
                <w:sz w:val="20"/>
                <w:szCs w:val="20"/>
                <w:color w:val="auto"/>
              </w:rPr>
            </w:pPr>
            <w:r>
              <w:rPr>
                <w:rFonts w:ascii="Arial" w:cs="Arial" w:eastAsia="Arial" w:hAnsi="Arial"/>
                <w:sz w:val="18"/>
                <w:szCs w:val="18"/>
                <w:color w:val="auto"/>
              </w:rPr>
              <w:t>Luis A. Müller</w:t>
            </w:r>
          </w:p>
        </w:tc>
        <w:tc>
          <w:tcPr>
            <w:tcW w:w="196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87"/>
              </w:rPr>
              <w:t>28,604</w:t>
            </w:r>
          </w:p>
        </w:tc>
        <w:tc>
          <w:tcPr>
            <w:tcW w:w="194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0"/>
              </w:rPr>
              <w:t>28,604</w:t>
            </w:r>
          </w:p>
        </w:tc>
        <w:tc>
          <w:tcPr>
            <w:tcW w:w="1840" w:type="dxa"/>
            <w:vAlign w:val="bottom"/>
            <w:tcBorders>
              <w:bottom w:val="single" w:sz="8" w:color="2D53A6"/>
            </w:tcBorders>
          </w:tcPr>
          <w:p>
            <w:pPr>
              <w:jc w:val="center"/>
              <w:spacing w:after="0"/>
              <w:rPr>
                <w:sz w:val="20"/>
                <w:szCs w:val="20"/>
                <w:color w:val="auto"/>
              </w:rPr>
            </w:pPr>
            <w:r>
              <w:rPr>
                <w:rFonts w:ascii="Arial" w:cs="Arial" w:eastAsia="Arial" w:hAnsi="Arial"/>
                <w:sz w:val="18"/>
                <w:szCs w:val="18"/>
                <w:color w:val="auto"/>
                <w:w w:val="88"/>
              </w:rPr>
              <w:t>$2,499,990</w:t>
            </w:r>
          </w:p>
        </w:tc>
        <w:tc>
          <w:tcPr>
            <w:tcW w:w="0" w:type="dxa"/>
            <w:vAlign w:val="bottom"/>
          </w:tcPr>
          <w:p>
            <w:pPr>
              <w:spacing w:after="0"/>
              <w:rPr>
                <w:sz w:val="1"/>
                <w:szCs w:val="1"/>
                <w:color w:val="auto"/>
              </w:rPr>
            </w:pPr>
          </w:p>
        </w:tc>
      </w:tr>
      <w:tr>
        <w:trPr>
          <w:trHeight w:val="209"/>
        </w:trPr>
        <w:tc>
          <w:tcPr>
            <w:tcW w:w="5500" w:type="dxa"/>
            <w:vAlign w:val="bottom"/>
            <w:tcBorders>
              <w:bottom w:val="single" w:sz="8" w:color="2D53A6"/>
              <w:right w:val="single" w:sz="8" w:color="2D53A6"/>
            </w:tcBorders>
            <w:shd w:val="clear" w:color="auto" w:fill="E6E6E6"/>
          </w:tcPr>
          <w:p>
            <w:pPr>
              <w:spacing w:after="0"/>
              <w:rPr>
                <w:sz w:val="20"/>
                <w:szCs w:val="20"/>
                <w:color w:val="auto"/>
              </w:rPr>
            </w:pPr>
            <w:r>
              <w:rPr>
                <w:rFonts w:ascii="Arial" w:cs="Arial" w:eastAsia="Arial" w:hAnsi="Arial"/>
                <w:sz w:val="18"/>
                <w:szCs w:val="18"/>
                <w:color w:val="auto"/>
              </w:rPr>
              <w:t>Jeffrey D. Jones</w:t>
            </w:r>
          </w:p>
        </w:tc>
        <w:tc>
          <w:tcPr>
            <w:tcW w:w="196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88"/>
              </w:rPr>
              <w:t>9,382</w:t>
            </w:r>
          </w:p>
        </w:tc>
        <w:tc>
          <w:tcPr>
            <w:tcW w:w="194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3"/>
              </w:rPr>
              <w:t>9,382</w:t>
            </w:r>
          </w:p>
        </w:tc>
        <w:tc>
          <w:tcPr>
            <w:tcW w:w="1840" w:type="dxa"/>
            <w:vAlign w:val="bottom"/>
            <w:tcBorders>
              <w:bottom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0"/>
              </w:rPr>
              <w:t>$819,987</w:t>
            </w:r>
          </w:p>
        </w:tc>
        <w:tc>
          <w:tcPr>
            <w:tcW w:w="0" w:type="dxa"/>
            <w:vAlign w:val="bottom"/>
          </w:tcPr>
          <w:p>
            <w:pPr>
              <w:spacing w:after="0"/>
              <w:rPr>
                <w:sz w:val="1"/>
                <w:szCs w:val="1"/>
                <w:color w:val="auto"/>
              </w:rPr>
            </w:pPr>
          </w:p>
        </w:tc>
      </w:tr>
      <w:tr>
        <w:trPr>
          <w:trHeight w:val="210"/>
        </w:trPr>
        <w:tc>
          <w:tcPr>
            <w:tcW w:w="5500" w:type="dxa"/>
            <w:vAlign w:val="bottom"/>
            <w:tcBorders>
              <w:bottom w:val="single" w:sz="8" w:color="2D53A6"/>
              <w:right w:val="single" w:sz="8" w:color="2D53A6"/>
            </w:tcBorders>
          </w:tcPr>
          <w:p>
            <w:pPr>
              <w:spacing w:after="0"/>
              <w:rPr>
                <w:sz w:val="20"/>
                <w:szCs w:val="20"/>
                <w:color w:val="auto"/>
              </w:rPr>
            </w:pPr>
            <w:r>
              <w:rPr>
                <w:rFonts w:ascii="Arial" w:cs="Arial" w:eastAsia="Arial" w:hAnsi="Arial"/>
                <w:sz w:val="18"/>
                <w:szCs w:val="18"/>
                <w:color w:val="auto"/>
              </w:rPr>
              <w:t>Christopher G. Bohrson</w:t>
            </w:r>
          </w:p>
        </w:tc>
        <w:tc>
          <w:tcPr>
            <w:tcW w:w="196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88"/>
              </w:rPr>
              <w:t>6,178</w:t>
            </w:r>
          </w:p>
        </w:tc>
        <w:tc>
          <w:tcPr>
            <w:tcW w:w="194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3"/>
              </w:rPr>
              <w:t>6,178</w:t>
            </w:r>
          </w:p>
        </w:tc>
        <w:tc>
          <w:tcPr>
            <w:tcW w:w="1840" w:type="dxa"/>
            <w:vAlign w:val="bottom"/>
            <w:tcBorders>
              <w:bottom w:val="single" w:sz="8" w:color="2D53A6"/>
            </w:tcBorders>
          </w:tcPr>
          <w:p>
            <w:pPr>
              <w:jc w:val="center"/>
              <w:spacing w:after="0"/>
              <w:rPr>
                <w:sz w:val="20"/>
                <w:szCs w:val="20"/>
                <w:color w:val="auto"/>
              </w:rPr>
            </w:pPr>
            <w:r>
              <w:rPr>
                <w:rFonts w:ascii="Arial" w:cs="Arial" w:eastAsia="Arial" w:hAnsi="Arial"/>
                <w:sz w:val="18"/>
                <w:szCs w:val="18"/>
                <w:color w:val="auto"/>
                <w:w w:val="90"/>
              </w:rPr>
              <w:t>$539,957</w:t>
            </w:r>
          </w:p>
        </w:tc>
        <w:tc>
          <w:tcPr>
            <w:tcW w:w="0" w:type="dxa"/>
            <w:vAlign w:val="bottom"/>
          </w:tcPr>
          <w:p>
            <w:pPr>
              <w:spacing w:after="0"/>
              <w:rPr>
                <w:sz w:val="1"/>
                <w:szCs w:val="1"/>
                <w:color w:val="auto"/>
              </w:rPr>
            </w:pPr>
          </w:p>
        </w:tc>
      </w:tr>
      <w:tr>
        <w:trPr>
          <w:trHeight w:val="210"/>
        </w:trPr>
        <w:tc>
          <w:tcPr>
            <w:tcW w:w="5500" w:type="dxa"/>
            <w:vAlign w:val="bottom"/>
            <w:tcBorders>
              <w:bottom w:val="single" w:sz="8" w:color="2D53A6"/>
              <w:right w:val="single" w:sz="8" w:color="2D53A6"/>
            </w:tcBorders>
            <w:shd w:val="clear" w:color="auto" w:fill="E6E6E6"/>
          </w:tcPr>
          <w:p>
            <w:pPr>
              <w:spacing w:after="0"/>
              <w:rPr>
                <w:sz w:val="20"/>
                <w:szCs w:val="20"/>
                <w:color w:val="auto"/>
              </w:rPr>
            </w:pPr>
            <w:r>
              <w:rPr>
                <w:rFonts w:ascii="Arial" w:cs="Arial" w:eastAsia="Arial" w:hAnsi="Arial"/>
                <w:sz w:val="18"/>
                <w:szCs w:val="18"/>
                <w:color w:val="auto"/>
              </w:rPr>
              <w:t>Thomas D. Kampfer</w:t>
            </w:r>
          </w:p>
        </w:tc>
        <w:tc>
          <w:tcPr>
            <w:tcW w:w="196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88"/>
              </w:rPr>
              <w:t>4,576</w:t>
            </w:r>
          </w:p>
        </w:tc>
        <w:tc>
          <w:tcPr>
            <w:tcW w:w="194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3"/>
              </w:rPr>
              <w:t>4,576</w:t>
            </w:r>
          </w:p>
        </w:tc>
        <w:tc>
          <w:tcPr>
            <w:tcW w:w="1840" w:type="dxa"/>
            <w:vAlign w:val="bottom"/>
            <w:tcBorders>
              <w:bottom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0"/>
              </w:rPr>
              <w:t>$399,942</w:t>
            </w:r>
          </w:p>
        </w:tc>
        <w:tc>
          <w:tcPr>
            <w:tcW w:w="0" w:type="dxa"/>
            <w:vAlign w:val="bottom"/>
          </w:tcPr>
          <w:p>
            <w:pPr>
              <w:spacing w:after="0"/>
              <w:rPr>
                <w:sz w:val="1"/>
                <w:szCs w:val="1"/>
                <w:color w:val="auto"/>
              </w:rPr>
            </w:pPr>
          </w:p>
        </w:tc>
      </w:tr>
      <w:tr>
        <w:trPr>
          <w:trHeight w:val="210"/>
        </w:trPr>
        <w:tc>
          <w:tcPr>
            <w:tcW w:w="5500" w:type="dxa"/>
            <w:vAlign w:val="bottom"/>
            <w:tcBorders>
              <w:bottom w:val="single" w:sz="8" w:color="2D53A6"/>
              <w:right w:val="single" w:sz="8" w:color="2D53A6"/>
            </w:tcBorders>
          </w:tcPr>
          <w:p>
            <w:pPr>
              <w:spacing w:after="0"/>
              <w:rPr>
                <w:sz w:val="20"/>
                <w:szCs w:val="20"/>
                <w:color w:val="auto"/>
              </w:rPr>
            </w:pPr>
            <w:r>
              <w:rPr>
                <w:rFonts w:ascii="Arial" w:cs="Arial" w:eastAsia="Arial" w:hAnsi="Arial"/>
                <w:sz w:val="18"/>
                <w:szCs w:val="18"/>
                <w:color w:val="auto"/>
              </w:rPr>
              <w:t>Ian P. Lawee</w:t>
            </w:r>
          </w:p>
        </w:tc>
        <w:tc>
          <w:tcPr>
            <w:tcW w:w="196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88"/>
              </w:rPr>
              <w:t>4,004</w:t>
            </w:r>
          </w:p>
        </w:tc>
        <w:tc>
          <w:tcPr>
            <w:tcW w:w="194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3"/>
              </w:rPr>
              <w:t>4,004</w:t>
            </w:r>
          </w:p>
        </w:tc>
        <w:tc>
          <w:tcPr>
            <w:tcW w:w="1840" w:type="dxa"/>
            <w:vAlign w:val="bottom"/>
            <w:tcBorders>
              <w:bottom w:val="single" w:sz="8" w:color="2D53A6"/>
            </w:tcBorders>
          </w:tcPr>
          <w:p>
            <w:pPr>
              <w:jc w:val="center"/>
              <w:spacing w:after="0"/>
              <w:rPr>
                <w:sz w:val="20"/>
                <w:szCs w:val="20"/>
                <w:color w:val="auto"/>
              </w:rPr>
            </w:pPr>
            <w:r>
              <w:rPr>
                <w:rFonts w:ascii="Arial" w:cs="Arial" w:eastAsia="Arial" w:hAnsi="Arial"/>
                <w:sz w:val="18"/>
                <w:szCs w:val="18"/>
                <w:color w:val="auto"/>
                <w:w w:val="90"/>
              </w:rPr>
              <w:t>$349,950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PSUs granted at the target award level.</w:t>
      </w:r>
    </w:p>
    <w:p>
      <w:pPr>
        <w:spacing w:after="0" w:line="23" w:lineRule="exact"/>
        <w:rPr>
          <w:rFonts w:ascii="Arial" w:cs="Arial" w:eastAsia="Arial" w:hAnsi="Arial"/>
          <w:sz w:val="18"/>
          <w:szCs w:val="18"/>
          <w:color w:val="auto"/>
        </w:rPr>
      </w:pPr>
    </w:p>
    <w:p>
      <w:pPr>
        <w:ind w:left="340" w:right="60" w:hanging="332"/>
        <w:spacing w:after="0" w:line="260"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Closing price of COHU on March 15, 2021 was $43.70. The amounts shown above are the grant date face value for stock awards issued in the form of RSUs and PSUs granted in fiscal 2022.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 Awards</w:t>
      </w:r>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Consistent with our other employee equity awards, the RSU awards granted to our executive officers in 2021 vest at the rate of 25% of the shares of our common stock subject to the awards per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Stock Unit Awards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2021 PSU Awards</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2021, the Compensation Committee evaluated the use of custom peer groups as the Comparator Group for the TSR in PSU awards and determined that using a broader-based index of companies would better reflect the performance of Cohu’s TSR. Therefore the PSU awards granted to our executive officers in March 2021 will be earned based on our TSR as compared to the Russell 2000 Index (RUT) measured over a three-year performance period beginning on the first day of fiscal 2021, with earned shares vesting fully at the end of three years from the date of grant. The performance period for the 2021 PSU Awards was set at three years to enhance the long-term focus of the program.</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The methodology on how shares of our common stock that may be earned under the 2021 PSU Awards is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20" w:type="dxa"/>
            <w:vAlign w:val="bottom"/>
            <w:tcBorders>
              <w:right w:val="single" w:sz="8" w:color="2D53A6"/>
            </w:tcBorders>
            <w:shd w:val="clear" w:color="auto" w:fill="2D53A6"/>
          </w:tcPr>
          <w:p>
            <w:pPr>
              <w:spacing w:after="0"/>
              <w:rPr>
                <w:sz w:val="20"/>
                <w:szCs w:val="20"/>
                <w:color w:val="auto"/>
              </w:rPr>
            </w:pPr>
            <w:r>
              <w:rPr>
                <w:rFonts w:ascii="Arial" w:cs="Arial" w:eastAsia="Arial" w:hAnsi="Arial"/>
                <w:sz w:val="18"/>
                <w:szCs w:val="18"/>
                <w:b w:val="1"/>
                <w:bCs w:val="1"/>
                <w:color w:val="FFFFFF"/>
              </w:rPr>
              <w:t>PSU Award Feature</w:t>
            </w:r>
          </w:p>
        </w:tc>
        <w:tc>
          <w:tcPr>
            <w:tcW w:w="7320" w:type="dxa"/>
            <w:vAlign w:val="bottom"/>
            <w:shd w:val="clear" w:color="auto" w:fill="2D53A6"/>
          </w:tcPr>
          <w:p>
            <w:pPr>
              <w:spacing w:after="0"/>
              <w:rPr>
                <w:sz w:val="20"/>
                <w:szCs w:val="20"/>
                <w:color w:val="auto"/>
              </w:rPr>
            </w:pPr>
            <w:r>
              <w:rPr>
                <w:rFonts w:ascii="Arial" w:cs="Arial" w:eastAsia="Arial" w:hAnsi="Arial"/>
                <w:sz w:val="18"/>
                <w:szCs w:val="18"/>
                <w:b w:val="1"/>
                <w:bCs w:val="1"/>
                <w:color w:val="FFFFFF"/>
              </w:rPr>
              <w:t>Description</w:t>
            </w:r>
          </w:p>
        </w:tc>
        <w:tc>
          <w:tcPr>
            <w:tcW w:w="0" w:type="dxa"/>
            <w:vAlign w:val="bottom"/>
          </w:tcPr>
          <w:p>
            <w:pPr>
              <w:spacing w:after="0"/>
              <w:rPr>
                <w:sz w:val="1"/>
                <w:szCs w:val="1"/>
                <w:color w:val="auto"/>
              </w:rPr>
            </w:pPr>
          </w:p>
        </w:tc>
      </w:tr>
      <w:tr>
        <w:trPr>
          <w:trHeight w:val="216"/>
        </w:trPr>
        <w:tc>
          <w:tcPr>
            <w:tcW w:w="3920" w:type="dxa"/>
            <w:vAlign w:val="bottom"/>
            <w:tcBorders>
              <w:bottom w:val="single" w:sz="8" w:color="2D53A6"/>
              <w:right w:val="single" w:sz="8" w:color="2D53A6"/>
            </w:tcBorders>
          </w:tcPr>
          <w:p>
            <w:pPr>
              <w:spacing w:after="0"/>
              <w:rPr>
                <w:sz w:val="20"/>
                <w:szCs w:val="20"/>
                <w:color w:val="auto"/>
              </w:rPr>
            </w:pPr>
            <w:r>
              <w:rPr>
                <w:rFonts w:ascii="Arial" w:cs="Arial" w:eastAsia="Arial" w:hAnsi="Arial"/>
                <w:sz w:val="18"/>
                <w:szCs w:val="18"/>
                <w:color w:val="auto"/>
              </w:rPr>
              <w:t>Performance Period</w:t>
            </w:r>
          </w:p>
        </w:tc>
        <w:tc>
          <w:tcPr>
            <w:tcW w:w="7320" w:type="dxa"/>
            <w:vAlign w:val="bottom"/>
            <w:tcBorders>
              <w:bottom w:val="single" w:sz="8" w:color="2D53A6"/>
            </w:tcBorders>
          </w:tcPr>
          <w:p>
            <w:pPr>
              <w:spacing w:after="0"/>
              <w:rPr>
                <w:sz w:val="20"/>
                <w:szCs w:val="20"/>
                <w:color w:val="auto"/>
              </w:rPr>
            </w:pPr>
            <w:r>
              <w:rPr>
                <w:rFonts w:ascii="Arial" w:cs="Arial" w:eastAsia="Arial" w:hAnsi="Arial"/>
                <w:sz w:val="18"/>
                <w:szCs w:val="18"/>
                <w:color w:val="auto"/>
              </w:rPr>
              <w:t>Three fiscal years beginning on first day of fiscal 2021</w:t>
            </w:r>
          </w:p>
        </w:tc>
        <w:tc>
          <w:tcPr>
            <w:tcW w:w="0" w:type="dxa"/>
            <w:vAlign w:val="bottom"/>
          </w:tcPr>
          <w:p>
            <w:pPr>
              <w:spacing w:after="0"/>
              <w:rPr>
                <w:sz w:val="1"/>
                <w:szCs w:val="1"/>
                <w:color w:val="auto"/>
              </w:rPr>
            </w:pPr>
          </w:p>
        </w:tc>
      </w:tr>
      <w:tr>
        <w:trPr>
          <w:trHeight w:val="209"/>
        </w:trPr>
        <w:tc>
          <w:tcPr>
            <w:tcW w:w="3920" w:type="dxa"/>
            <w:vAlign w:val="bottom"/>
            <w:tcBorders>
              <w:bottom w:val="single" w:sz="8" w:color="2D53A6"/>
              <w:right w:val="single" w:sz="8" w:color="2D53A6"/>
            </w:tcBorders>
            <w:shd w:val="clear" w:color="auto" w:fill="E6E6E6"/>
          </w:tcPr>
          <w:p>
            <w:pPr>
              <w:spacing w:after="0"/>
              <w:rPr>
                <w:sz w:val="20"/>
                <w:szCs w:val="20"/>
                <w:color w:val="auto"/>
              </w:rPr>
            </w:pPr>
            <w:r>
              <w:rPr>
                <w:rFonts w:ascii="Arial" w:cs="Arial" w:eastAsia="Arial" w:hAnsi="Arial"/>
                <w:sz w:val="18"/>
                <w:szCs w:val="18"/>
                <w:color w:val="auto"/>
              </w:rPr>
              <w:t>Performance Measure</w:t>
            </w:r>
          </w:p>
        </w:tc>
        <w:tc>
          <w:tcPr>
            <w:tcW w:w="7320" w:type="dxa"/>
            <w:vAlign w:val="bottom"/>
            <w:tcBorders>
              <w:bottom w:val="single" w:sz="8" w:color="2D53A6"/>
            </w:tcBorders>
            <w:shd w:val="clear" w:color="auto" w:fill="E6E6E6"/>
          </w:tcPr>
          <w:p>
            <w:pPr>
              <w:spacing w:after="0"/>
              <w:rPr>
                <w:sz w:val="20"/>
                <w:szCs w:val="20"/>
                <w:color w:val="auto"/>
              </w:rPr>
            </w:pPr>
            <w:r>
              <w:rPr>
                <w:rFonts w:ascii="Arial" w:cs="Arial" w:eastAsia="Arial" w:hAnsi="Arial"/>
                <w:sz w:val="18"/>
                <w:szCs w:val="18"/>
                <w:color w:val="auto"/>
              </w:rPr>
              <w:t>TSR performance relative to the Russell 2000 Index (“RUT”)</w:t>
            </w:r>
          </w:p>
        </w:tc>
        <w:tc>
          <w:tcPr>
            <w:tcW w:w="0" w:type="dxa"/>
            <w:vAlign w:val="bottom"/>
          </w:tcPr>
          <w:p>
            <w:pPr>
              <w:spacing w:after="0"/>
              <w:rPr>
                <w:sz w:val="1"/>
                <w:szCs w:val="1"/>
                <w:color w:val="auto"/>
              </w:rPr>
            </w:pPr>
          </w:p>
        </w:tc>
      </w:tr>
      <w:tr>
        <w:trPr>
          <w:trHeight w:val="195"/>
        </w:trPr>
        <w:tc>
          <w:tcPr>
            <w:tcW w:w="3920" w:type="dxa"/>
            <w:vAlign w:val="bottom"/>
            <w:tcBorders>
              <w:right w:val="single" w:sz="8" w:color="2D53A6"/>
            </w:tcBorders>
            <w:vMerge w:val="restart"/>
          </w:tcPr>
          <w:p>
            <w:pPr>
              <w:spacing w:after="0"/>
              <w:rPr>
                <w:sz w:val="20"/>
                <w:szCs w:val="20"/>
                <w:color w:val="auto"/>
              </w:rPr>
            </w:pPr>
            <w:r>
              <w:rPr>
                <w:rFonts w:ascii="Arial" w:cs="Arial" w:eastAsia="Arial" w:hAnsi="Arial"/>
                <w:sz w:val="18"/>
                <w:szCs w:val="18"/>
                <w:color w:val="auto"/>
              </w:rPr>
              <w:t>Performance Scale</w:t>
            </w:r>
          </w:p>
        </w:tc>
        <w:tc>
          <w:tcPr>
            <w:tcW w:w="7320" w:type="dxa"/>
            <w:vAlign w:val="bottom"/>
          </w:tcPr>
          <w:p>
            <w:pPr>
              <w:spacing w:after="0" w:line="195" w:lineRule="exact"/>
              <w:rPr>
                <w:sz w:val="20"/>
                <w:szCs w:val="20"/>
                <w:color w:val="auto"/>
              </w:rPr>
            </w:pPr>
            <w:r>
              <w:rPr>
                <w:rFonts w:ascii="Arial" w:cs="Arial" w:eastAsia="Arial" w:hAnsi="Arial"/>
                <w:sz w:val="18"/>
                <w:szCs w:val="18"/>
                <w:color w:val="auto"/>
                <w:w w:val="93"/>
              </w:rPr>
              <w:t>2x spread between COHU and Russell 2000 index measured and added or subtracted from target</w:t>
            </w:r>
          </w:p>
        </w:tc>
        <w:tc>
          <w:tcPr>
            <w:tcW w:w="0" w:type="dxa"/>
            <w:vAlign w:val="bottom"/>
          </w:tcPr>
          <w:p>
            <w:pPr>
              <w:spacing w:after="0"/>
              <w:rPr>
                <w:sz w:val="1"/>
                <w:szCs w:val="1"/>
                <w:color w:val="auto"/>
              </w:rPr>
            </w:pPr>
          </w:p>
        </w:tc>
      </w:tr>
      <w:tr>
        <w:trPr>
          <w:trHeight w:val="122"/>
        </w:trPr>
        <w:tc>
          <w:tcPr>
            <w:tcW w:w="3920" w:type="dxa"/>
            <w:vAlign w:val="bottom"/>
            <w:tcBorders>
              <w:right w:val="single" w:sz="8" w:color="2D53A6"/>
            </w:tcBorders>
            <w:vMerge w:val="continue"/>
          </w:tcPr>
          <w:p>
            <w:pPr>
              <w:spacing w:after="0"/>
              <w:rPr>
                <w:sz w:val="10"/>
                <w:szCs w:val="10"/>
                <w:color w:val="auto"/>
              </w:rPr>
            </w:pPr>
          </w:p>
        </w:tc>
        <w:tc>
          <w:tcPr>
            <w:tcW w:w="7320" w:type="dxa"/>
            <w:vAlign w:val="bottom"/>
            <w:vMerge w:val="restart"/>
          </w:tcPr>
          <w:p>
            <w:pPr>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08"/>
        </w:trPr>
        <w:tc>
          <w:tcPr>
            <w:tcW w:w="3920" w:type="dxa"/>
            <w:vAlign w:val="bottom"/>
            <w:tcBorders>
              <w:bottom w:val="single" w:sz="8" w:color="2D53A6"/>
              <w:right w:val="single" w:sz="8" w:color="2D53A6"/>
            </w:tcBorders>
          </w:tcPr>
          <w:p>
            <w:pPr>
              <w:spacing w:after="0"/>
              <w:rPr>
                <w:sz w:val="9"/>
                <w:szCs w:val="9"/>
                <w:color w:val="auto"/>
              </w:rPr>
            </w:pPr>
          </w:p>
        </w:tc>
        <w:tc>
          <w:tcPr>
            <w:tcW w:w="7320" w:type="dxa"/>
            <w:vAlign w:val="bottom"/>
            <w:tcBorders>
              <w:bottom w:val="single" w:sz="8" w:color="2D53A6"/>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3920" w:type="dxa"/>
            <w:vAlign w:val="bottom"/>
            <w:tcBorders>
              <w:right w:val="single" w:sz="8" w:color="2D53A6"/>
            </w:tcBorders>
            <w:shd w:val="clear" w:color="auto" w:fill="E6E6E6"/>
          </w:tcPr>
          <w:p>
            <w:pPr>
              <w:spacing w:after="0"/>
              <w:rPr>
                <w:sz w:val="16"/>
                <w:szCs w:val="16"/>
                <w:color w:val="auto"/>
              </w:rPr>
            </w:pPr>
          </w:p>
        </w:tc>
        <w:tc>
          <w:tcPr>
            <w:tcW w:w="7320" w:type="dxa"/>
            <w:vAlign w:val="bottom"/>
            <w:shd w:val="clear" w:color="auto" w:fill="E6E6E6"/>
          </w:tcPr>
          <w:p>
            <w:pPr>
              <w:spacing w:after="0" w:line="195" w:lineRule="exact"/>
              <w:rPr>
                <w:sz w:val="20"/>
                <w:szCs w:val="20"/>
                <w:color w:val="auto"/>
              </w:rPr>
            </w:pPr>
            <w:r>
              <w:rPr>
                <w:rFonts w:ascii="Arial" w:cs="Arial" w:eastAsia="Arial" w:hAnsi="Arial"/>
                <w:sz w:val="18"/>
                <w:szCs w:val="18"/>
                <w:color w:val="auto"/>
              </w:rPr>
              <w:t>Net change in average closing price of COHU and RUT over the twenty trading-day period</w:t>
            </w:r>
          </w:p>
        </w:tc>
        <w:tc>
          <w:tcPr>
            <w:tcW w:w="0" w:type="dxa"/>
            <w:vAlign w:val="bottom"/>
          </w:tcPr>
          <w:p>
            <w:pPr>
              <w:spacing w:after="0"/>
              <w:rPr>
                <w:sz w:val="1"/>
                <w:szCs w:val="1"/>
                <w:color w:val="auto"/>
              </w:rPr>
            </w:pPr>
          </w:p>
        </w:tc>
      </w:tr>
      <w:tr>
        <w:trPr>
          <w:trHeight w:val="216"/>
        </w:trPr>
        <w:tc>
          <w:tcPr>
            <w:tcW w:w="3920" w:type="dxa"/>
            <w:vAlign w:val="bottom"/>
            <w:tcBorders>
              <w:right w:val="single" w:sz="8" w:color="2D53A6"/>
            </w:tcBorders>
            <w:vMerge w:val="restart"/>
            <w:shd w:val="clear" w:color="auto" w:fill="E6E6E6"/>
          </w:tcPr>
          <w:p>
            <w:pPr>
              <w:spacing w:after="0"/>
              <w:rPr>
                <w:sz w:val="20"/>
                <w:szCs w:val="20"/>
                <w:color w:val="auto"/>
              </w:rPr>
            </w:pPr>
            <w:r>
              <w:rPr>
                <w:rFonts w:ascii="Arial" w:cs="Arial" w:eastAsia="Arial" w:hAnsi="Arial"/>
                <w:sz w:val="18"/>
                <w:szCs w:val="18"/>
                <w:color w:val="auto"/>
              </w:rPr>
              <w:t>Performance Methodology</w:t>
            </w:r>
          </w:p>
        </w:tc>
        <w:tc>
          <w:tcPr>
            <w:tcW w:w="7320" w:type="dxa"/>
            <w:vAlign w:val="bottom"/>
            <w:shd w:val="clear" w:color="auto" w:fill="E6E6E6"/>
          </w:tcPr>
          <w:p>
            <w:pPr>
              <w:spacing w:after="0"/>
              <w:rPr>
                <w:sz w:val="20"/>
                <w:szCs w:val="20"/>
                <w:color w:val="auto"/>
              </w:rPr>
            </w:pPr>
            <w:r>
              <w:rPr>
                <w:rFonts w:ascii="Arial" w:cs="Arial" w:eastAsia="Arial" w:hAnsi="Arial"/>
                <w:sz w:val="18"/>
                <w:szCs w:val="18"/>
                <w:color w:val="auto"/>
                <w:w w:val="96"/>
              </w:rPr>
              <w:t>immediately preceding the beginning and end of the Performance Period. In the event that both</w:t>
            </w:r>
          </w:p>
        </w:tc>
        <w:tc>
          <w:tcPr>
            <w:tcW w:w="0" w:type="dxa"/>
            <w:vAlign w:val="bottom"/>
          </w:tcPr>
          <w:p>
            <w:pPr>
              <w:spacing w:after="0"/>
              <w:rPr>
                <w:sz w:val="1"/>
                <w:szCs w:val="1"/>
                <w:color w:val="auto"/>
              </w:rPr>
            </w:pPr>
          </w:p>
        </w:tc>
      </w:tr>
      <w:tr>
        <w:trPr>
          <w:trHeight w:val="122"/>
        </w:trPr>
        <w:tc>
          <w:tcPr>
            <w:tcW w:w="3920" w:type="dxa"/>
            <w:vAlign w:val="bottom"/>
            <w:tcBorders>
              <w:right w:val="single" w:sz="8" w:color="2D53A6"/>
            </w:tcBorders>
            <w:vMerge w:val="continue"/>
            <w:shd w:val="clear" w:color="auto" w:fill="E6E6E6"/>
          </w:tcPr>
          <w:p>
            <w:pPr>
              <w:spacing w:after="0"/>
              <w:rPr>
                <w:sz w:val="10"/>
                <w:szCs w:val="10"/>
                <w:color w:val="auto"/>
              </w:rPr>
            </w:pPr>
          </w:p>
        </w:tc>
        <w:tc>
          <w:tcPr>
            <w:tcW w:w="7320" w:type="dxa"/>
            <w:vAlign w:val="bottom"/>
            <w:vMerge w:val="restart"/>
            <w:shd w:val="clear" w:color="auto" w:fill="E6E6E6"/>
          </w:tcPr>
          <w:p>
            <w:pPr>
              <w:spacing w:after="0"/>
              <w:rPr>
                <w:sz w:val="20"/>
                <w:szCs w:val="20"/>
                <w:color w:val="auto"/>
              </w:rPr>
            </w:pPr>
            <w:r>
              <w:rPr>
                <w:rFonts w:ascii="Arial" w:cs="Arial" w:eastAsia="Arial" w:hAnsi="Arial"/>
                <w:sz w:val="18"/>
                <w:szCs w:val="18"/>
                <w:color w:val="auto"/>
                <w:w w:val="95"/>
              </w:rPr>
              <w:t>COHU and RUT TSRs are less than zero, the number of shares earned will not exceed 100% of</w:t>
            </w:r>
          </w:p>
        </w:tc>
        <w:tc>
          <w:tcPr>
            <w:tcW w:w="0" w:type="dxa"/>
            <w:vAlign w:val="bottom"/>
          </w:tcPr>
          <w:p>
            <w:pPr>
              <w:spacing w:after="0"/>
              <w:rPr>
                <w:sz w:val="1"/>
                <w:szCs w:val="1"/>
                <w:color w:val="auto"/>
              </w:rPr>
            </w:pPr>
          </w:p>
        </w:tc>
      </w:tr>
      <w:tr>
        <w:trPr>
          <w:trHeight w:val="94"/>
        </w:trPr>
        <w:tc>
          <w:tcPr>
            <w:tcW w:w="3920" w:type="dxa"/>
            <w:vAlign w:val="bottom"/>
            <w:tcBorders>
              <w:right w:val="single" w:sz="8" w:color="2D53A6"/>
            </w:tcBorders>
            <w:shd w:val="clear" w:color="auto" w:fill="E6E6E6"/>
          </w:tcPr>
          <w:p>
            <w:pPr>
              <w:spacing w:after="0"/>
              <w:rPr>
                <w:sz w:val="8"/>
                <w:szCs w:val="8"/>
                <w:color w:val="auto"/>
              </w:rPr>
            </w:pPr>
          </w:p>
        </w:tc>
        <w:tc>
          <w:tcPr>
            <w:tcW w:w="7320" w:type="dxa"/>
            <w:vAlign w:val="bottom"/>
            <w:vMerge w:val="continue"/>
            <w:shd w:val="clear" w:color="auto" w:fill="E6E6E6"/>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3920" w:type="dxa"/>
            <w:vAlign w:val="bottom"/>
            <w:tcBorders>
              <w:bottom w:val="single" w:sz="8" w:color="2D53A6"/>
              <w:right w:val="single" w:sz="8" w:color="2D53A6"/>
            </w:tcBorders>
            <w:shd w:val="clear" w:color="auto" w:fill="E6E6E6"/>
          </w:tcPr>
          <w:p>
            <w:pPr>
              <w:spacing w:after="0"/>
              <w:rPr>
                <w:sz w:val="20"/>
                <w:szCs w:val="20"/>
                <w:color w:val="auto"/>
              </w:rPr>
            </w:pPr>
          </w:p>
        </w:tc>
        <w:tc>
          <w:tcPr>
            <w:tcW w:w="7320" w:type="dxa"/>
            <w:vAlign w:val="bottom"/>
            <w:tcBorders>
              <w:bottom w:val="single" w:sz="8" w:color="2D53A6"/>
            </w:tcBorders>
            <w:shd w:val="clear" w:color="auto" w:fill="E6E6E6"/>
          </w:tcPr>
          <w:p>
            <w:pPr>
              <w:spacing w:after="0"/>
              <w:rPr>
                <w:sz w:val="20"/>
                <w:szCs w:val="20"/>
                <w:color w:val="auto"/>
              </w:rPr>
            </w:pPr>
            <w:r>
              <w:rPr>
                <w:rFonts w:ascii="Arial" w:cs="Arial" w:eastAsia="Arial" w:hAnsi="Arial"/>
                <w:sz w:val="18"/>
                <w:szCs w:val="18"/>
                <w:color w:val="auto"/>
              </w:rPr>
              <w:t>target.</w:t>
            </w:r>
          </w:p>
        </w:tc>
        <w:tc>
          <w:tcPr>
            <w:tcW w:w="0" w:type="dxa"/>
            <w:vAlign w:val="bottom"/>
          </w:tcPr>
          <w:p>
            <w:pPr>
              <w:spacing w:after="0"/>
              <w:rPr>
                <w:sz w:val="1"/>
                <w:szCs w:val="1"/>
                <w:color w:val="auto"/>
              </w:rPr>
            </w:pPr>
          </w:p>
        </w:tc>
      </w:tr>
      <w:tr>
        <w:trPr>
          <w:trHeight w:val="209"/>
        </w:trPr>
        <w:tc>
          <w:tcPr>
            <w:tcW w:w="3920" w:type="dxa"/>
            <w:vAlign w:val="bottom"/>
            <w:tcBorders>
              <w:bottom w:val="single" w:sz="8" w:color="2D53A6"/>
              <w:right w:val="single" w:sz="8" w:color="2D53A6"/>
            </w:tcBorders>
          </w:tcPr>
          <w:p>
            <w:pPr>
              <w:spacing w:after="0"/>
              <w:rPr>
                <w:sz w:val="20"/>
                <w:szCs w:val="20"/>
                <w:color w:val="auto"/>
              </w:rPr>
            </w:pPr>
            <w:r>
              <w:rPr>
                <w:rFonts w:ascii="Arial" w:cs="Arial" w:eastAsia="Arial" w:hAnsi="Arial"/>
                <w:sz w:val="18"/>
                <w:szCs w:val="18"/>
                <w:color w:val="auto"/>
              </w:rPr>
              <w:t>Range of PSUs Earnable</w:t>
            </w:r>
          </w:p>
        </w:tc>
        <w:tc>
          <w:tcPr>
            <w:tcW w:w="7320" w:type="dxa"/>
            <w:vAlign w:val="bottom"/>
            <w:tcBorders>
              <w:bottom w:val="single" w:sz="8" w:color="2D53A6"/>
            </w:tcBorders>
          </w:tcPr>
          <w:p>
            <w:pPr>
              <w:spacing w:after="0"/>
              <w:rPr>
                <w:sz w:val="20"/>
                <w:szCs w:val="20"/>
                <w:color w:val="auto"/>
              </w:rPr>
            </w:pPr>
            <w:r>
              <w:rPr>
                <w:rFonts w:ascii="Arial" w:cs="Arial" w:eastAsia="Arial" w:hAnsi="Arial"/>
                <w:sz w:val="18"/>
                <w:szCs w:val="18"/>
                <w:color w:val="auto"/>
              </w:rPr>
              <w:t>0-200% of number of shares granted</w:t>
            </w:r>
          </w:p>
        </w:tc>
        <w:tc>
          <w:tcPr>
            <w:tcW w:w="0" w:type="dxa"/>
            <w:vAlign w:val="bottom"/>
          </w:tcPr>
          <w:p>
            <w:pPr>
              <w:spacing w:after="0"/>
              <w:rPr>
                <w:sz w:val="1"/>
                <w:szCs w:val="1"/>
                <w:color w:val="auto"/>
              </w:rPr>
            </w:pPr>
          </w:p>
        </w:tc>
      </w:tr>
      <w:tr>
        <w:trPr>
          <w:trHeight w:val="210"/>
        </w:trPr>
        <w:tc>
          <w:tcPr>
            <w:tcW w:w="3920" w:type="dxa"/>
            <w:vAlign w:val="bottom"/>
            <w:tcBorders>
              <w:bottom w:val="single" w:sz="8" w:color="2D53A6"/>
              <w:right w:val="single" w:sz="8" w:color="2D53A6"/>
            </w:tcBorders>
            <w:shd w:val="clear" w:color="auto" w:fill="E6E6E6"/>
          </w:tcPr>
          <w:p>
            <w:pPr>
              <w:spacing w:after="0"/>
              <w:rPr>
                <w:sz w:val="20"/>
                <w:szCs w:val="20"/>
                <w:color w:val="auto"/>
              </w:rPr>
            </w:pPr>
            <w:r>
              <w:rPr>
                <w:rFonts w:ascii="Arial" w:cs="Arial" w:eastAsia="Arial" w:hAnsi="Arial"/>
                <w:sz w:val="18"/>
                <w:szCs w:val="18"/>
                <w:color w:val="auto"/>
              </w:rPr>
              <w:t>Vesting Period</w:t>
            </w:r>
          </w:p>
        </w:tc>
        <w:tc>
          <w:tcPr>
            <w:tcW w:w="7320" w:type="dxa"/>
            <w:vAlign w:val="bottom"/>
            <w:tcBorders>
              <w:bottom w:val="single" w:sz="8" w:color="2D53A6"/>
            </w:tcBorders>
            <w:shd w:val="clear" w:color="auto" w:fill="E6E6E6"/>
          </w:tcPr>
          <w:p>
            <w:pPr>
              <w:spacing w:after="0"/>
              <w:rPr>
                <w:sz w:val="20"/>
                <w:szCs w:val="20"/>
                <w:color w:val="auto"/>
              </w:rPr>
            </w:pPr>
            <w:r>
              <w:rPr>
                <w:rFonts w:ascii="Arial" w:cs="Arial" w:eastAsia="Arial" w:hAnsi="Arial"/>
                <w:sz w:val="18"/>
                <w:szCs w:val="18"/>
                <w:color w:val="auto"/>
              </w:rPr>
              <w:t>100% on third anniversary of grant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360"/>
        <w:spacing w:after="0" w:line="277" w:lineRule="auto"/>
        <w:rPr>
          <w:sz w:val="20"/>
          <w:szCs w:val="20"/>
          <w:color w:val="auto"/>
        </w:rPr>
      </w:pPr>
      <w:r>
        <w:rPr>
          <w:rFonts w:ascii="Arial" w:cs="Arial" w:eastAsia="Arial" w:hAnsi="Arial"/>
          <w:sz w:val="18"/>
          <w:szCs w:val="18"/>
          <w:color w:val="auto"/>
        </w:rPr>
        <w:t>The equity awards granted to our NEOs in 2021 are set forth in the “2021 Summary Compensation Table” and the “2021 Grants of Plan-Based Awards Table”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2019 PSU Awards</w:t>
      </w:r>
    </w:p>
    <w:p>
      <w:pPr>
        <w:spacing w:after="0" w:line="22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2019 PSU awards had a three-year performance period after which the number of shares of our common stock earned was determined based on the following scale with performance between the percentile rankings calculated on a linear basis with an additional 7% of the target number of shares earned for each 3% increase in our TSR performance above the threshold performance level of 25%.</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060" w:type="dxa"/>
            <w:vAlign w:val="bottom"/>
            <w:shd w:val="clear" w:color="auto" w:fill="2D53A6"/>
          </w:tcPr>
          <w:p>
            <w:pPr>
              <w:jc w:val="center"/>
              <w:ind w:left="490"/>
              <w:spacing w:after="0"/>
              <w:rPr>
                <w:sz w:val="20"/>
                <w:szCs w:val="20"/>
                <w:color w:val="auto"/>
              </w:rPr>
            </w:pPr>
            <w:r>
              <w:rPr>
                <w:rFonts w:ascii="Arial" w:cs="Arial" w:eastAsia="Arial" w:hAnsi="Arial"/>
                <w:sz w:val="18"/>
                <w:szCs w:val="18"/>
                <w:b w:val="1"/>
                <w:bCs w:val="1"/>
                <w:color w:val="FFFFFF"/>
                <w:w w:val="93"/>
              </w:rPr>
              <w:t>TSR Ranking Relative to Comparator Group</w:t>
            </w:r>
          </w:p>
        </w:tc>
        <w:tc>
          <w:tcPr>
            <w:tcW w:w="620" w:type="dxa"/>
            <w:vAlign w:val="bottom"/>
            <w:tcBorders>
              <w:right w:val="single" w:sz="8" w:color="2D53A6"/>
            </w:tcBorders>
            <w:shd w:val="clear" w:color="auto" w:fill="2D53A6"/>
          </w:tcPr>
          <w:p>
            <w:pPr>
              <w:spacing w:after="0"/>
              <w:rPr>
                <w:sz w:val="19"/>
                <w:szCs w:val="19"/>
                <w:color w:val="auto"/>
              </w:rPr>
            </w:pPr>
          </w:p>
        </w:tc>
        <w:tc>
          <w:tcPr>
            <w:tcW w:w="5560" w:type="dxa"/>
            <w:vAlign w:val="bottom"/>
            <w:shd w:val="clear" w:color="auto" w:fill="2D53A6"/>
          </w:tcPr>
          <w:p>
            <w:pPr>
              <w:jc w:val="right"/>
              <w:ind w:right="870"/>
              <w:spacing w:after="0"/>
              <w:rPr>
                <w:sz w:val="20"/>
                <w:szCs w:val="20"/>
                <w:color w:val="auto"/>
              </w:rPr>
            </w:pPr>
            <w:r>
              <w:rPr>
                <w:rFonts w:ascii="Arial" w:cs="Arial" w:eastAsia="Arial" w:hAnsi="Arial"/>
                <w:sz w:val="18"/>
                <w:szCs w:val="18"/>
                <w:b w:val="1"/>
                <w:bCs w:val="1"/>
                <w:color w:val="FFFFFF"/>
              </w:rPr>
              <w:t>Percentage of Target Number of Shares Earned</w:t>
            </w:r>
          </w:p>
        </w:tc>
      </w:tr>
      <w:tr>
        <w:trPr>
          <w:trHeight w:val="216"/>
        </w:trPr>
        <w:tc>
          <w:tcPr>
            <w:tcW w:w="5060" w:type="dxa"/>
            <w:vAlign w:val="bottom"/>
            <w:tcBorders>
              <w:bottom w:val="single" w:sz="8" w:color="2D53A6"/>
            </w:tcBorders>
          </w:tcPr>
          <w:p>
            <w:pPr>
              <w:jc w:val="center"/>
              <w:ind w:left="510"/>
              <w:spacing w:after="0"/>
              <w:rPr>
                <w:sz w:val="20"/>
                <w:szCs w:val="20"/>
                <w:color w:val="auto"/>
              </w:rPr>
            </w:pPr>
            <w:r>
              <w:rPr>
                <w:rFonts w:ascii="Arial" w:cs="Arial" w:eastAsia="Arial" w:hAnsi="Arial"/>
                <w:sz w:val="18"/>
                <w:szCs w:val="18"/>
                <w:color w:val="auto"/>
                <w:w w:val="90"/>
              </w:rPr>
              <w:t>Below 25th Percentile</w:t>
            </w:r>
          </w:p>
        </w:tc>
        <w:tc>
          <w:tcPr>
            <w:tcW w:w="620" w:type="dxa"/>
            <w:vAlign w:val="bottom"/>
            <w:tcBorders>
              <w:bottom w:val="single" w:sz="8" w:color="2D53A6"/>
              <w:right w:val="single" w:sz="8" w:color="2D53A6"/>
            </w:tcBorders>
          </w:tcPr>
          <w:p>
            <w:pPr>
              <w:spacing w:after="0"/>
              <w:rPr>
                <w:sz w:val="18"/>
                <w:szCs w:val="18"/>
                <w:color w:val="auto"/>
              </w:rPr>
            </w:pPr>
          </w:p>
        </w:tc>
        <w:tc>
          <w:tcPr>
            <w:tcW w:w="5560" w:type="dxa"/>
            <w:vAlign w:val="bottom"/>
            <w:tcBorders>
              <w:bottom w:val="single" w:sz="8" w:color="2D53A6"/>
            </w:tcBorders>
          </w:tcPr>
          <w:p>
            <w:pPr>
              <w:jc w:val="center"/>
              <w:spacing w:after="0"/>
              <w:rPr>
                <w:sz w:val="20"/>
                <w:szCs w:val="20"/>
                <w:color w:val="auto"/>
              </w:rPr>
            </w:pPr>
            <w:r>
              <w:rPr>
                <w:rFonts w:ascii="Arial" w:cs="Arial" w:eastAsia="Arial" w:hAnsi="Arial"/>
                <w:sz w:val="18"/>
                <w:szCs w:val="18"/>
                <w:color w:val="auto"/>
                <w:w w:val="94"/>
              </w:rPr>
              <w:t>25%</w:t>
            </w:r>
          </w:p>
        </w:tc>
      </w:tr>
      <w:tr>
        <w:trPr>
          <w:trHeight w:val="210"/>
        </w:trPr>
        <w:tc>
          <w:tcPr>
            <w:tcW w:w="5060" w:type="dxa"/>
            <w:vAlign w:val="bottom"/>
            <w:tcBorders>
              <w:bottom w:val="single" w:sz="8" w:color="2D53A6"/>
            </w:tcBorders>
          </w:tcPr>
          <w:p>
            <w:pPr>
              <w:jc w:val="center"/>
              <w:ind w:left="510"/>
              <w:spacing w:after="0"/>
              <w:rPr>
                <w:sz w:val="20"/>
                <w:szCs w:val="20"/>
                <w:color w:val="auto"/>
              </w:rPr>
            </w:pPr>
            <w:r>
              <w:rPr>
                <w:rFonts w:ascii="Arial" w:cs="Arial" w:eastAsia="Arial" w:hAnsi="Arial"/>
                <w:sz w:val="18"/>
                <w:szCs w:val="18"/>
                <w:color w:val="auto"/>
                <w:w w:val="91"/>
              </w:rPr>
              <w:t>25th Percentile</w:t>
            </w:r>
          </w:p>
        </w:tc>
        <w:tc>
          <w:tcPr>
            <w:tcW w:w="620" w:type="dxa"/>
            <w:vAlign w:val="bottom"/>
            <w:tcBorders>
              <w:bottom w:val="single" w:sz="8" w:color="2D53A6"/>
              <w:right w:val="single" w:sz="8" w:color="2D53A6"/>
            </w:tcBorders>
          </w:tcPr>
          <w:p>
            <w:pPr>
              <w:spacing w:after="0"/>
              <w:rPr>
                <w:sz w:val="18"/>
                <w:szCs w:val="18"/>
                <w:color w:val="auto"/>
              </w:rPr>
            </w:pPr>
          </w:p>
        </w:tc>
        <w:tc>
          <w:tcPr>
            <w:tcW w:w="5560" w:type="dxa"/>
            <w:vAlign w:val="bottom"/>
            <w:tcBorders>
              <w:bottom w:val="single" w:sz="8" w:color="2D53A6"/>
            </w:tcBorders>
          </w:tcPr>
          <w:p>
            <w:pPr>
              <w:jc w:val="center"/>
              <w:spacing w:after="0"/>
              <w:rPr>
                <w:sz w:val="20"/>
                <w:szCs w:val="20"/>
                <w:color w:val="auto"/>
              </w:rPr>
            </w:pPr>
            <w:r>
              <w:rPr>
                <w:rFonts w:ascii="Arial" w:cs="Arial" w:eastAsia="Arial" w:hAnsi="Arial"/>
                <w:sz w:val="18"/>
                <w:szCs w:val="18"/>
                <w:color w:val="auto"/>
                <w:w w:val="94"/>
              </w:rPr>
              <w:t>25%</w:t>
            </w:r>
          </w:p>
        </w:tc>
      </w:tr>
      <w:tr>
        <w:trPr>
          <w:trHeight w:val="209"/>
        </w:trPr>
        <w:tc>
          <w:tcPr>
            <w:tcW w:w="5060" w:type="dxa"/>
            <w:vAlign w:val="bottom"/>
            <w:tcBorders>
              <w:bottom w:val="single" w:sz="8" w:color="2D53A6"/>
            </w:tcBorders>
          </w:tcPr>
          <w:p>
            <w:pPr>
              <w:jc w:val="center"/>
              <w:ind w:left="510"/>
              <w:spacing w:after="0"/>
              <w:rPr>
                <w:sz w:val="20"/>
                <w:szCs w:val="20"/>
                <w:color w:val="auto"/>
              </w:rPr>
            </w:pPr>
            <w:r>
              <w:rPr>
                <w:rFonts w:ascii="Arial" w:cs="Arial" w:eastAsia="Arial" w:hAnsi="Arial"/>
                <w:sz w:val="18"/>
                <w:szCs w:val="18"/>
                <w:color w:val="auto"/>
                <w:w w:val="91"/>
              </w:rPr>
              <w:t>57th Percentile</w:t>
            </w:r>
          </w:p>
        </w:tc>
        <w:tc>
          <w:tcPr>
            <w:tcW w:w="620" w:type="dxa"/>
            <w:vAlign w:val="bottom"/>
            <w:tcBorders>
              <w:bottom w:val="single" w:sz="8" w:color="2D53A6"/>
              <w:right w:val="single" w:sz="8" w:color="2D53A6"/>
            </w:tcBorders>
          </w:tcPr>
          <w:p>
            <w:pPr>
              <w:spacing w:after="0"/>
              <w:rPr>
                <w:sz w:val="18"/>
                <w:szCs w:val="18"/>
                <w:color w:val="auto"/>
              </w:rPr>
            </w:pPr>
          </w:p>
        </w:tc>
        <w:tc>
          <w:tcPr>
            <w:tcW w:w="5560" w:type="dxa"/>
            <w:vAlign w:val="bottom"/>
            <w:tcBorders>
              <w:bottom w:val="single" w:sz="8" w:color="2D53A6"/>
            </w:tcBorders>
          </w:tcPr>
          <w:p>
            <w:pPr>
              <w:jc w:val="center"/>
              <w:spacing w:after="0"/>
              <w:rPr>
                <w:sz w:val="20"/>
                <w:szCs w:val="20"/>
                <w:color w:val="auto"/>
              </w:rPr>
            </w:pPr>
            <w:r>
              <w:rPr>
                <w:rFonts w:ascii="Arial" w:cs="Arial" w:eastAsia="Arial" w:hAnsi="Arial"/>
                <w:sz w:val="18"/>
                <w:szCs w:val="18"/>
                <w:color w:val="auto"/>
                <w:w w:val="91"/>
              </w:rPr>
              <w:t>100%</w:t>
            </w:r>
          </w:p>
        </w:tc>
      </w:tr>
      <w:tr>
        <w:trPr>
          <w:trHeight w:val="210"/>
        </w:trPr>
        <w:tc>
          <w:tcPr>
            <w:tcW w:w="5060" w:type="dxa"/>
            <w:vAlign w:val="bottom"/>
            <w:tcBorders>
              <w:bottom w:val="single" w:sz="8" w:color="2D53A6"/>
            </w:tcBorders>
          </w:tcPr>
          <w:p>
            <w:pPr>
              <w:jc w:val="center"/>
              <w:ind w:left="510"/>
              <w:spacing w:after="0"/>
              <w:rPr>
                <w:sz w:val="20"/>
                <w:szCs w:val="20"/>
                <w:color w:val="auto"/>
              </w:rPr>
            </w:pPr>
            <w:r>
              <w:rPr>
                <w:rFonts w:ascii="Arial" w:cs="Arial" w:eastAsia="Arial" w:hAnsi="Arial"/>
                <w:sz w:val="18"/>
                <w:szCs w:val="18"/>
                <w:color w:val="auto"/>
                <w:w w:val="90"/>
              </w:rPr>
              <w:t>100th Percentile</w:t>
            </w:r>
          </w:p>
        </w:tc>
        <w:tc>
          <w:tcPr>
            <w:tcW w:w="620" w:type="dxa"/>
            <w:vAlign w:val="bottom"/>
            <w:tcBorders>
              <w:bottom w:val="single" w:sz="8" w:color="2D53A6"/>
              <w:right w:val="single" w:sz="8" w:color="2D53A6"/>
            </w:tcBorders>
          </w:tcPr>
          <w:p>
            <w:pPr>
              <w:spacing w:after="0"/>
              <w:rPr>
                <w:sz w:val="18"/>
                <w:szCs w:val="18"/>
                <w:color w:val="auto"/>
              </w:rPr>
            </w:pPr>
          </w:p>
        </w:tc>
        <w:tc>
          <w:tcPr>
            <w:tcW w:w="5560" w:type="dxa"/>
            <w:vAlign w:val="bottom"/>
            <w:tcBorders>
              <w:bottom w:val="single" w:sz="8" w:color="2D53A6"/>
            </w:tcBorders>
          </w:tcPr>
          <w:p>
            <w:pPr>
              <w:jc w:val="center"/>
              <w:spacing w:after="0"/>
              <w:rPr>
                <w:sz w:val="20"/>
                <w:szCs w:val="20"/>
                <w:color w:val="auto"/>
              </w:rPr>
            </w:pPr>
            <w:r>
              <w:rPr>
                <w:rFonts w:ascii="Arial" w:cs="Arial" w:eastAsia="Arial" w:hAnsi="Arial"/>
                <w:sz w:val="18"/>
                <w:szCs w:val="18"/>
                <w:color w:val="auto"/>
                <w:w w:val="91"/>
              </w:rPr>
              <w:t>200%</w:t>
            </w:r>
          </w:p>
        </w:tc>
      </w:tr>
      <w:tr>
        <w:trPr>
          <w:trHeight w:val="453"/>
        </w:trPr>
        <w:tc>
          <w:tcPr>
            <w:tcW w:w="5060" w:type="dxa"/>
            <w:vAlign w:val="bottom"/>
          </w:tcPr>
          <w:p>
            <w:pPr>
              <w:spacing w:after="0"/>
              <w:rPr>
                <w:sz w:val="24"/>
                <w:szCs w:val="24"/>
                <w:color w:val="auto"/>
              </w:rPr>
            </w:pPr>
          </w:p>
        </w:tc>
        <w:tc>
          <w:tcPr>
            <w:tcW w:w="6180" w:type="dxa"/>
            <w:vAlign w:val="bottom"/>
            <w:gridSpan w:val="2"/>
          </w:tcPr>
          <w:p>
            <w:pPr>
              <w:jc w:val="right"/>
              <w:ind w:right="5430"/>
              <w:spacing w:after="0"/>
              <w:rPr>
                <w:sz w:val="20"/>
                <w:szCs w:val="20"/>
                <w:color w:val="auto"/>
              </w:rPr>
            </w:pPr>
            <w:r>
              <w:rPr>
                <w:rFonts w:ascii="Arial" w:cs="Arial" w:eastAsia="Arial" w:hAnsi="Arial"/>
                <w:sz w:val="18"/>
                <w:szCs w:val="18"/>
                <w:color w:val="auto"/>
              </w:rPr>
              <w:t>32</w:t>
            </w:r>
          </w:p>
        </w:tc>
      </w:tr>
      <w:tr>
        <w:trPr>
          <w:trHeight w:val="115"/>
        </w:trPr>
        <w:tc>
          <w:tcPr>
            <w:tcW w:w="50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55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4" w:right="339" w:bottom="1440" w:gutter="0" w:footer="0" w:header="0"/>
        </w:sectPr>
      </w:pPr>
    </w:p>
    <w:bookmarkStart w:id="38" w:name="page39"/>
    <w:bookmarkEnd w:id="38"/>
    <w:p>
      <w:pPr>
        <w:spacing w:after="0" w:line="275" w:lineRule="auto"/>
        <w:rPr>
          <w:sz w:val="20"/>
          <w:szCs w:val="20"/>
          <w:color w:val="auto"/>
        </w:rPr>
      </w:pPr>
      <w:r>
        <w:rPr>
          <w:rFonts w:ascii="Arial" w:cs="Arial" w:eastAsia="Arial" w:hAnsi="Arial"/>
          <w:sz w:val="17"/>
          <w:szCs w:val="17"/>
          <w:color w:val="auto"/>
        </w:rPr>
        <w:t>For purposes of the 2019 PSU awards, the pre-selected peer group consisted of the following companies that we felt represented competition for our stockholders’ investments. This group includes the majority of the peer companies used for executive compensation comparisons at the time of grant plus seven others that provide similar products to our customers but that for various reasons such as revenue size or being located outside the U.S. would not be valid compensation peer members. During the performance period MTS Systems was acquired and Brooks Automation divested its semiconductor business division and therefore were removed from the peer group:</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20" w:type="dxa"/>
            <w:vAlign w:val="bottom"/>
            <w:shd w:val="clear" w:color="auto" w:fill="E6E6E6"/>
          </w:tcPr>
          <w:p>
            <w:pPr>
              <w:spacing w:after="0"/>
              <w:rPr>
                <w:sz w:val="20"/>
                <w:szCs w:val="20"/>
                <w:color w:val="auto"/>
              </w:rPr>
            </w:pPr>
            <w:r>
              <w:rPr>
                <w:rFonts w:ascii="Arial" w:cs="Arial" w:eastAsia="Arial" w:hAnsi="Arial"/>
                <w:sz w:val="18"/>
                <w:szCs w:val="18"/>
                <w:color w:val="auto"/>
              </w:rPr>
              <w:t>Advanced Energy Industries</w:t>
            </w:r>
          </w:p>
        </w:tc>
        <w:tc>
          <w:tcPr>
            <w:tcW w:w="3080" w:type="dxa"/>
            <w:vAlign w:val="bottom"/>
            <w:shd w:val="clear" w:color="auto" w:fill="E6E6E6"/>
          </w:tcPr>
          <w:p>
            <w:pPr>
              <w:ind w:left="640"/>
              <w:spacing w:after="0"/>
              <w:rPr>
                <w:sz w:val="20"/>
                <w:szCs w:val="20"/>
                <w:color w:val="auto"/>
              </w:rPr>
            </w:pPr>
            <w:r>
              <w:rPr>
                <w:rFonts w:ascii="Arial" w:cs="Arial" w:eastAsia="Arial" w:hAnsi="Arial"/>
                <w:sz w:val="18"/>
                <w:szCs w:val="18"/>
                <w:color w:val="auto"/>
              </w:rPr>
              <w:t>Entegris</w:t>
            </w:r>
          </w:p>
        </w:tc>
        <w:tc>
          <w:tcPr>
            <w:tcW w:w="5440" w:type="dxa"/>
            <w:vAlign w:val="bottom"/>
            <w:shd w:val="clear" w:color="auto" w:fill="E6E6E6"/>
          </w:tcPr>
          <w:p>
            <w:pPr>
              <w:ind w:left="900"/>
              <w:spacing w:after="0"/>
              <w:rPr>
                <w:sz w:val="20"/>
                <w:szCs w:val="20"/>
                <w:color w:val="auto"/>
              </w:rPr>
            </w:pPr>
            <w:r>
              <w:rPr>
                <w:rFonts w:ascii="Arial" w:cs="Arial" w:eastAsia="Arial" w:hAnsi="Arial"/>
                <w:sz w:val="18"/>
                <w:szCs w:val="18"/>
                <w:color w:val="auto"/>
              </w:rPr>
              <w:t>Novanta</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Advantest</w:t>
            </w:r>
          </w:p>
        </w:tc>
        <w:tc>
          <w:tcPr>
            <w:tcW w:w="3080" w:type="dxa"/>
            <w:vAlign w:val="bottom"/>
          </w:tcPr>
          <w:p>
            <w:pPr>
              <w:ind w:left="640"/>
              <w:spacing w:after="0"/>
              <w:rPr>
                <w:sz w:val="20"/>
                <w:szCs w:val="20"/>
                <w:color w:val="auto"/>
              </w:rPr>
            </w:pPr>
            <w:r>
              <w:rPr>
                <w:rFonts w:ascii="Arial" w:cs="Arial" w:eastAsia="Arial" w:hAnsi="Arial"/>
                <w:sz w:val="18"/>
                <w:szCs w:val="18"/>
                <w:color w:val="auto"/>
              </w:rPr>
              <w:t>FormFactor</w:t>
            </w:r>
          </w:p>
        </w:tc>
        <w:tc>
          <w:tcPr>
            <w:tcW w:w="5440" w:type="dxa"/>
            <w:vAlign w:val="bottom"/>
          </w:tcPr>
          <w:p>
            <w:pPr>
              <w:ind w:left="900"/>
              <w:spacing w:after="0"/>
              <w:rPr>
                <w:sz w:val="20"/>
                <w:szCs w:val="20"/>
                <w:color w:val="auto"/>
              </w:rPr>
            </w:pPr>
            <w:r>
              <w:rPr>
                <w:rFonts w:ascii="Arial" w:cs="Arial" w:eastAsia="Arial" w:hAnsi="Arial"/>
                <w:sz w:val="18"/>
                <w:szCs w:val="18"/>
                <w:color w:val="auto"/>
              </w:rPr>
              <w:t>Onto Innovation</w:t>
            </w:r>
          </w:p>
        </w:tc>
      </w:tr>
      <w:tr>
        <w:trPr>
          <w:trHeight w:val="216"/>
        </w:trPr>
        <w:tc>
          <w:tcPr>
            <w:tcW w:w="2720" w:type="dxa"/>
            <w:vAlign w:val="bottom"/>
            <w:shd w:val="clear" w:color="auto" w:fill="E6E6E6"/>
          </w:tcPr>
          <w:p>
            <w:pPr>
              <w:spacing w:after="0"/>
              <w:rPr>
                <w:sz w:val="20"/>
                <w:szCs w:val="20"/>
                <w:color w:val="auto"/>
              </w:rPr>
            </w:pPr>
            <w:r>
              <w:rPr>
                <w:rFonts w:ascii="Arial" w:cs="Arial" w:eastAsia="Arial" w:hAnsi="Arial"/>
                <w:sz w:val="18"/>
                <w:szCs w:val="18"/>
                <w:color w:val="auto"/>
              </w:rPr>
              <w:t>ASM Pacific</w:t>
            </w:r>
          </w:p>
        </w:tc>
        <w:tc>
          <w:tcPr>
            <w:tcW w:w="3080" w:type="dxa"/>
            <w:vAlign w:val="bottom"/>
            <w:shd w:val="clear" w:color="auto" w:fill="E6E6E6"/>
          </w:tcPr>
          <w:p>
            <w:pPr>
              <w:ind w:left="640"/>
              <w:spacing w:after="0"/>
              <w:rPr>
                <w:sz w:val="20"/>
                <w:szCs w:val="20"/>
                <w:color w:val="auto"/>
              </w:rPr>
            </w:pPr>
            <w:r>
              <w:rPr>
                <w:rFonts w:ascii="Arial" w:cs="Arial" w:eastAsia="Arial" w:hAnsi="Arial"/>
                <w:sz w:val="18"/>
                <w:szCs w:val="18"/>
                <w:color w:val="auto"/>
              </w:rPr>
              <w:t>Intevac</w:t>
            </w:r>
          </w:p>
        </w:tc>
        <w:tc>
          <w:tcPr>
            <w:tcW w:w="5440" w:type="dxa"/>
            <w:vAlign w:val="bottom"/>
            <w:shd w:val="clear" w:color="auto" w:fill="E6E6E6"/>
          </w:tcPr>
          <w:p>
            <w:pPr>
              <w:ind w:left="900"/>
              <w:spacing w:after="0"/>
              <w:rPr>
                <w:sz w:val="20"/>
                <w:szCs w:val="20"/>
                <w:color w:val="auto"/>
              </w:rPr>
            </w:pPr>
            <w:r>
              <w:rPr>
                <w:rFonts w:ascii="Arial" w:cs="Arial" w:eastAsia="Arial" w:hAnsi="Arial"/>
                <w:sz w:val="18"/>
                <w:szCs w:val="18"/>
                <w:color w:val="auto"/>
              </w:rPr>
              <w:t>OSI Systems</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Axcelis Technologies</w:t>
            </w:r>
          </w:p>
        </w:tc>
        <w:tc>
          <w:tcPr>
            <w:tcW w:w="3080" w:type="dxa"/>
            <w:vAlign w:val="bottom"/>
          </w:tcPr>
          <w:p>
            <w:pPr>
              <w:ind w:left="640"/>
              <w:spacing w:after="0"/>
              <w:rPr>
                <w:sz w:val="20"/>
                <w:szCs w:val="20"/>
                <w:color w:val="auto"/>
              </w:rPr>
            </w:pPr>
            <w:r>
              <w:rPr>
                <w:rFonts w:ascii="Arial" w:cs="Arial" w:eastAsia="Arial" w:hAnsi="Arial"/>
                <w:sz w:val="18"/>
                <w:szCs w:val="18"/>
                <w:color w:val="auto"/>
              </w:rPr>
              <w:t>Kulicke &amp; Soffa</w:t>
            </w:r>
          </w:p>
        </w:tc>
        <w:tc>
          <w:tcPr>
            <w:tcW w:w="5440" w:type="dxa"/>
            <w:vAlign w:val="bottom"/>
          </w:tcPr>
          <w:p>
            <w:pPr>
              <w:ind w:left="900"/>
              <w:spacing w:after="0"/>
              <w:rPr>
                <w:sz w:val="20"/>
                <w:szCs w:val="20"/>
                <w:color w:val="auto"/>
              </w:rPr>
            </w:pPr>
            <w:r>
              <w:rPr>
                <w:rFonts w:ascii="Arial" w:cs="Arial" w:eastAsia="Arial" w:hAnsi="Arial"/>
                <w:sz w:val="18"/>
                <w:szCs w:val="18"/>
                <w:color w:val="auto"/>
              </w:rPr>
              <w:t>Photronics</w:t>
            </w:r>
          </w:p>
        </w:tc>
      </w:tr>
      <w:tr>
        <w:trPr>
          <w:trHeight w:val="216"/>
        </w:trPr>
        <w:tc>
          <w:tcPr>
            <w:tcW w:w="2720" w:type="dxa"/>
            <w:vAlign w:val="bottom"/>
            <w:shd w:val="clear" w:color="auto" w:fill="E6E6E6"/>
          </w:tcPr>
          <w:p>
            <w:pPr>
              <w:spacing w:after="0"/>
              <w:rPr>
                <w:sz w:val="20"/>
                <w:szCs w:val="20"/>
                <w:color w:val="auto"/>
              </w:rPr>
            </w:pPr>
            <w:r>
              <w:rPr>
                <w:rFonts w:ascii="Arial" w:cs="Arial" w:eastAsia="Arial" w:hAnsi="Arial"/>
                <w:sz w:val="18"/>
                <w:szCs w:val="18"/>
                <w:color w:val="auto"/>
              </w:rPr>
              <w:t>Besi</w:t>
            </w:r>
          </w:p>
        </w:tc>
        <w:tc>
          <w:tcPr>
            <w:tcW w:w="3080" w:type="dxa"/>
            <w:vAlign w:val="bottom"/>
            <w:shd w:val="clear" w:color="auto" w:fill="E6E6E6"/>
          </w:tcPr>
          <w:p>
            <w:pPr>
              <w:ind w:left="640"/>
              <w:spacing w:after="0"/>
              <w:rPr>
                <w:sz w:val="20"/>
                <w:szCs w:val="20"/>
                <w:color w:val="auto"/>
              </w:rPr>
            </w:pPr>
            <w:r>
              <w:rPr>
                <w:rFonts w:ascii="Arial" w:cs="Arial" w:eastAsia="Arial" w:hAnsi="Arial"/>
                <w:sz w:val="18"/>
                <w:szCs w:val="18"/>
                <w:color w:val="auto"/>
              </w:rPr>
              <w:t>Micronics</w:t>
            </w:r>
          </w:p>
        </w:tc>
        <w:tc>
          <w:tcPr>
            <w:tcW w:w="5440" w:type="dxa"/>
            <w:vAlign w:val="bottom"/>
            <w:shd w:val="clear" w:color="auto" w:fill="E6E6E6"/>
          </w:tcPr>
          <w:p>
            <w:pPr>
              <w:ind w:left="900"/>
              <w:spacing w:after="0"/>
              <w:rPr>
                <w:sz w:val="20"/>
                <w:szCs w:val="20"/>
                <w:color w:val="auto"/>
              </w:rPr>
            </w:pPr>
            <w:r>
              <w:rPr>
                <w:rFonts w:ascii="Arial" w:cs="Arial" w:eastAsia="Arial" w:hAnsi="Arial"/>
                <w:sz w:val="18"/>
                <w:szCs w:val="18"/>
                <w:color w:val="auto"/>
              </w:rPr>
              <w:t>Teradyne</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Camtek</w:t>
            </w:r>
          </w:p>
        </w:tc>
        <w:tc>
          <w:tcPr>
            <w:tcW w:w="3080" w:type="dxa"/>
            <w:vAlign w:val="bottom"/>
          </w:tcPr>
          <w:p>
            <w:pPr>
              <w:ind w:left="640"/>
              <w:spacing w:after="0"/>
              <w:rPr>
                <w:sz w:val="20"/>
                <w:szCs w:val="20"/>
                <w:color w:val="auto"/>
              </w:rPr>
            </w:pPr>
            <w:r>
              <w:rPr>
                <w:rFonts w:ascii="Arial" w:cs="Arial" w:eastAsia="Arial" w:hAnsi="Arial"/>
                <w:sz w:val="18"/>
                <w:szCs w:val="18"/>
                <w:color w:val="auto"/>
              </w:rPr>
              <w:t>MKS Instruments</w:t>
            </w:r>
          </w:p>
        </w:tc>
        <w:tc>
          <w:tcPr>
            <w:tcW w:w="5440" w:type="dxa"/>
            <w:vAlign w:val="bottom"/>
          </w:tcPr>
          <w:p>
            <w:pPr>
              <w:ind w:left="900"/>
              <w:spacing w:after="0"/>
              <w:rPr>
                <w:sz w:val="20"/>
                <w:szCs w:val="20"/>
                <w:color w:val="auto"/>
              </w:rPr>
            </w:pPr>
            <w:r>
              <w:rPr>
                <w:rFonts w:ascii="Arial" w:cs="Arial" w:eastAsia="Arial" w:hAnsi="Arial"/>
                <w:sz w:val="18"/>
                <w:szCs w:val="18"/>
                <w:color w:val="auto"/>
              </w:rPr>
              <w:t>Ultra Clean Holdings</w:t>
            </w:r>
          </w:p>
        </w:tc>
      </w:tr>
      <w:tr>
        <w:trPr>
          <w:trHeight w:val="216"/>
        </w:trPr>
        <w:tc>
          <w:tcPr>
            <w:tcW w:w="2720" w:type="dxa"/>
            <w:vAlign w:val="bottom"/>
            <w:shd w:val="clear" w:color="auto" w:fill="E6E6E6"/>
          </w:tcPr>
          <w:p>
            <w:pPr>
              <w:spacing w:after="0"/>
              <w:rPr>
                <w:sz w:val="20"/>
                <w:szCs w:val="20"/>
                <w:color w:val="auto"/>
              </w:rPr>
            </w:pPr>
            <w:r>
              <w:rPr>
                <w:rFonts w:ascii="Arial" w:cs="Arial" w:eastAsia="Arial" w:hAnsi="Arial"/>
                <w:sz w:val="18"/>
                <w:szCs w:val="18"/>
                <w:color w:val="auto"/>
              </w:rPr>
              <w:t>CMC Materials</w:t>
            </w:r>
          </w:p>
        </w:tc>
        <w:tc>
          <w:tcPr>
            <w:tcW w:w="3080" w:type="dxa"/>
            <w:vAlign w:val="bottom"/>
            <w:shd w:val="clear" w:color="auto" w:fill="E6E6E6"/>
          </w:tcPr>
          <w:p>
            <w:pPr>
              <w:ind w:left="640"/>
              <w:spacing w:after="0"/>
              <w:rPr>
                <w:sz w:val="20"/>
                <w:szCs w:val="20"/>
                <w:color w:val="auto"/>
              </w:rPr>
            </w:pPr>
            <w:r>
              <w:rPr>
                <w:rFonts w:ascii="Arial" w:cs="Arial" w:eastAsia="Arial" w:hAnsi="Arial"/>
                <w:sz w:val="18"/>
                <w:szCs w:val="18"/>
                <w:color w:val="auto"/>
              </w:rPr>
              <w:t>National Instruments</w:t>
            </w:r>
          </w:p>
        </w:tc>
        <w:tc>
          <w:tcPr>
            <w:tcW w:w="5440" w:type="dxa"/>
            <w:vAlign w:val="bottom"/>
            <w:shd w:val="clear" w:color="auto" w:fill="E6E6E6"/>
          </w:tcPr>
          <w:p>
            <w:pPr>
              <w:ind w:left="900"/>
              <w:spacing w:after="0"/>
              <w:rPr>
                <w:sz w:val="20"/>
                <w:szCs w:val="20"/>
                <w:color w:val="auto"/>
              </w:rPr>
            </w:pPr>
            <w:r>
              <w:rPr>
                <w:rFonts w:ascii="Arial" w:cs="Arial" w:eastAsia="Arial" w:hAnsi="Arial"/>
                <w:sz w:val="18"/>
                <w:szCs w:val="18"/>
                <w:color w:val="auto"/>
              </w:rPr>
              <w:t>Veeco</w:t>
            </w:r>
          </w:p>
        </w:tc>
      </w:tr>
    </w:tbl>
    <w:p>
      <w:pPr>
        <w:spacing w:after="0" w:line="202"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Following the end of 2021, the Compensation Committee compared our actual performance with respect to the TSR peer group. The TSR result for the fiscal year 2019 through 2021 period as calculated by an outside firm, Research Data Group, Inc., was at the 33rd percentile of the comparator group and, therefore, the number of shares of our common stock earned under the 2019 PSU awards was 44.4% of the target award number of shares.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The number of shares of our common stock earned by our NEOs with respect to their 2019 PSU awards was: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60" w:type="dxa"/>
            <w:vAlign w:val="bottom"/>
            <w:tcBorders>
              <w:right w:val="single" w:sz="8" w:color="2D53A6"/>
            </w:tcBorders>
            <w:shd w:val="clear" w:color="auto" w:fill="2D53A6"/>
          </w:tcPr>
          <w:p>
            <w:pPr>
              <w:spacing w:after="0"/>
              <w:rPr>
                <w:sz w:val="17"/>
                <w:szCs w:val="17"/>
                <w:color w:val="auto"/>
              </w:rPr>
            </w:pPr>
          </w:p>
        </w:tc>
        <w:tc>
          <w:tcPr>
            <w:tcW w:w="206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90"/>
              </w:rPr>
              <w:t>Performance</w:t>
            </w:r>
          </w:p>
        </w:tc>
        <w:tc>
          <w:tcPr>
            <w:tcW w:w="2040" w:type="dxa"/>
            <w:vAlign w:val="bottom"/>
            <w:tcBorders>
              <w:right w:val="single" w:sz="8" w:color="2D53A6"/>
            </w:tcBorders>
            <w:shd w:val="clear" w:color="auto" w:fill="2D53A6"/>
          </w:tcPr>
          <w:p>
            <w:pPr>
              <w:spacing w:after="0"/>
              <w:rPr>
                <w:sz w:val="17"/>
                <w:szCs w:val="17"/>
                <w:color w:val="auto"/>
              </w:rPr>
            </w:pPr>
          </w:p>
        </w:tc>
        <w:tc>
          <w:tcPr>
            <w:tcW w:w="2020" w:type="dxa"/>
            <w:vAlign w:val="bottom"/>
            <w:tcBorders>
              <w:right w:val="single" w:sz="8" w:color="2D53A6"/>
            </w:tcBorders>
            <w:shd w:val="clear" w:color="auto" w:fill="2D53A6"/>
          </w:tcPr>
          <w:p>
            <w:pPr>
              <w:spacing w:after="0"/>
              <w:rPr>
                <w:sz w:val="17"/>
                <w:szCs w:val="17"/>
                <w:color w:val="auto"/>
              </w:rPr>
            </w:pPr>
          </w:p>
        </w:tc>
        <w:tc>
          <w:tcPr>
            <w:tcW w:w="1960" w:type="dxa"/>
            <w:vAlign w:val="bottom"/>
            <w:shd w:val="clear" w:color="auto" w:fill="2D53A6"/>
          </w:tcPr>
          <w:p>
            <w:pPr>
              <w:jc w:val="center"/>
              <w:spacing w:after="0"/>
              <w:rPr>
                <w:sz w:val="20"/>
                <w:szCs w:val="20"/>
                <w:color w:val="auto"/>
              </w:rPr>
            </w:pPr>
            <w:r>
              <w:rPr>
                <w:rFonts w:ascii="Arial" w:cs="Arial" w:eastAsia="Arial" w:hAnsi="Arial"/>
                <w:sz w:val="18"/>
                <w:szCs w:val="18"/>
                <w:b w:val="1"/>
                <w:bCs w:val="1"/>
                <w:color w:val="FFFFFF"/>
                <w:w w:val="89"/>
              </w:rPr>
              <w:t>Final Shares</w:t>
            </w:r>
          </w:p>
        </w:tc>
        <w:tc>
          <w:tcPr>
            <w:tcW w:w="0" w:type="dxa"/>
            <w:vAlign w:val="bottom"/>
          </w:tcPr>
          <w:p>
            <w:pPr>
              <w:spacing w:after="0"/>
              <w:rPr>
                <w:sz w:val="1"/>
                <w:szCs w:val="1"/>
                <w:color w:val="auto"/>
              </w:rPr>
            </w:pPr>
          </w:p>
        </w:tc>
      </w:tr>
      <w:tr>
        <w:trPr>
          <w:trHeight w:val="108"/>
        </w:trPr>
        <w:tc>
          <w:tcPr>
            <w:tcW w:w="3160" w:type="dxa"/>
            <w:vAlign w:val="bottom"/>
            <w:tcBorders>
              <w:right w:val="single" w:sz="8" w:color="2D53A6"/>
            </w:tcBorders>
            <w:shd w:val="clear" w:color="auto" w:fill="2D53A6"/>
          </w:tcPr>
          <w:p>
            <w:pPr>
              <w:spacing w:after="0"/>
              <w:rPr>
                <w:sz w:val="9"/>
                <w:szCs w:val="9"/>
                <w:color w:val="auto"/>
              </w:rPr>
            </w:pPr>
          </w:p>
        </w:tc>
        <w:tc>
          <w:tcPr>
            <w:tcW w:w="2060" w:type="dxa"/>
            <w:vAlign w:val="bottom"/>
            <w:tcBorders>
              <w:right w:val="single" w:sz="8" w:color="2D53A6"/>
            </w:tcBorders>
            <w:vMerge w:val="continue"/>
            <w:shd w:val="clear" w:color="auto" w:fill="2D53A6"/>
          </w:tcPr>
          <w:p>
            <w:pPr>
              <w:spacing w:after="0"/>
              <w:rPr>
                <w:sz w:val="9"/>
                <w:szCs w:val="9"/>
                <w:color w:val="auto"/>
              </w:rPr>
            </w:pPr>
          </w:p>
        </w:tc>
        <w:tc>
          <w:tcPr>
            <w:tcW w:w="204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93"/>
              </w:rPr>
              <w:t>2019-21 TSR</w:t>
            </w:r>
          </w:p>
        </w:tc>
        <w:tc>
          <w:tcPr>
            <w:tcW w:w="2020" w:type="dxa"/>
            <w:vAlign w:val="bottom"/>
            <w:tcBorders>
              <w:right w:val="single" w:sz="8" w:color="2D53A6"/>
            </w:tcBorders>
            <w:shd w:val="clear" w:color="auto" w:fill="2D53A6"/>
          </w:tcPr>
          <w:p>
            <w:pPr>
              <w:spacing w:after="0"/>
              <w:rPr>
                <w:sz w:val="9"/>
                <w:szCs w:val="9"/>
                <w:color w:val="auto"/>
              </w:rPr>
            </w:pPr>
          </w:p>
        </w:tc>
        <w:tc>
          <w:tcPr>
            <w:tcW w:w="1960" w:type="dxa"/>
            <w:vAlign w:val="bottom"/>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90"/>
              </w:rPr>
              <w:t>Earned as a</w:t>
            </w:r>
          </w:p>
        </w:tc>
        <w:tc>
          <w:tcPr>
            <w:tcW w:w="0" w:type="dxa"/>
            <w:vAlign w:val="bottom"/>
          </w:tcPr>
          <w:p>
            <w:pPr>
              <w:spacing w:after="0"/>
              <w:rPr>
                <w:sz w:val="1"/>
                <w:szCs w:val="1"/>
                <w:color w:val="auto"/>
              </w:rPr>
            </w:pPr>
          </w:p>
        </w:tc>
      </w:tr>
      <w:tr>
        <w:trPr>
          <w:trHeight w:val="108"/>
        </w:trPr>
        <w:tc>
          <w:tcPr>
            <w:tcW w:w="3160" w:type="dxa"/>
            <w:vAlign w:val="bottom"/>
            <w:tcBorders>
              <w:right w:val="single" w:sz="8" w:color="2D53A6"/>
            </w:tcBorders>
            <w:shd w:val="clear" w:color="auto" w:fill="2D53A6"/>
          </w:tcPr>
          <w:p>
            <w:pPr>
              <w:spacing w:after="0"/>
              <w:rPr>
                <w:sz w:val="9"/>
                <w:szCs w:val="9"/>
                <w:color w:val="auto"/>
              </w:rPr>
            </w:pPr>
          </w:p>
        </w:tc>
        <w:tc>
          <w:tcPr>
            <w:tcW w:w="206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92"/>
              </w:rPr>
              <w:t>Stock Unit Award</w:t>
            </w:r>
          </w:p>
        </w:tc>
        <w:tc>
          <w:tcPr>
            <w:tcW w:w="2040" w:type="dxa"/>
            <w:vAlign w:val="bottom"/>
            <w:tcBorders>
              <w:right w:val="single" w:sz="8" w:color="2D53A6"/>
            </w:tcBorders>
            <w:vMerge w:val="continue"/>
            <w:shd w:val="clear" w:color="auto" w:fill="2D53A6"/>
          </w:tcPr>
          <w:p>
            <w:pPr>
              <w:spacing w:after="0"/>
              <w:rPr>
                <w:sz w:val="9"/>
                <w:szCs w:val="9"/>
                <w:color w:val="auto"/>
              </w:rPr>
            </w:pPr>
          </w:p>
        </w:tc>
        <w:tc>
          <w:tcPr>
            <w:tcW w:w="202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89"/>
              </w:rPr>
              <w:t>Final Shares</w:t>
            </w:r>
          </w:p>
        </w:tc>
        <w:tc>
          <w:tcPr>
            <w:tcW w:w="1960" w:type="dxa"/>
            <w:vAlign w:val="bottom"/>
            <w:vMerge w:val="continue"/>
            <w:shd w:val="clear" w:color="auto" w:fill="2D53A6"/>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160" w:type="dxa"/>
            <w:vAlign w:val="bottom"/>
            <w:tcBorders>
              <w:right w:val="single" w:sz="8" w:color="2D53A6"/>
            </w:tcBorders>
            <w:vMerge w:val="restart"/>
            <w:shd w:val="clear" w:color="auto" w:fill="2D53A6"/>
          </w:tcPr>
          <w:p>
            <w:pPr>
              <w:spacing w:after="0"/>
              <w:rPr>
                <w:sz w:val="20"/>
                <w:szCs w:val="20"/>
                <w:color w:val="auto"/>
              </w:rPr>
            </w:pPr>
            <w:r>
              <w:rPr>
                <w:rFonts w:ascii="Arial" w:cs="Arial" w:eastAsia="Arial" w:hAnsi="Arial"/>
                <w:sz w:val="18"/>
                <w:szCs w:val="18"/>
                <w:b w:val="1"/>
                <w:bCs w:val="1"/>
                <w:color w:val="FFFFFF"/>
              </w:rPr>
              <w:t>Named Executive Officer</w:t>
            </w:r>
          </w:p>
        </w:tc>
        <w:tc>
          <w:tcPr>
            <w:tcW w:w="2060" w:type="dxa"/>
            <w:vAlign w:val="bottom"/>
            <w:tcBorders>
              <w:right w:val="single" w:sz="8" w:color="2D53A6"/>
            </w:tcBorders>
            <w:vMerge w:val="continue"/>
            <w:shd w:val="clear" w:color="auto" w:fill="2D53A6"/>
          </w:tcPr>
          <w:p>
            <w:pPr>
              <w:spacing w:after="0"/>
              <w:rPr>
                <w:sz w:val="9"/>
                <w:szCs w:val="9"/>
                <w:color w:val="auto"/>
              </w:rPr>
            </w:pPr>
          </w:p>
        </w:tc>
        <w:tc>
          <w:tcPr>
            <w:tcW w:w="204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88"/>
              </w:rPr>
              <w:t>Percentile</w:t>
            </w:r>
          </w:p>
        </w:tc>
        <w:tc>
          <w:tcPr>
            <w:tcW w:w="2020" w:type="dxa"/>
            <w:vAlign w:val="bottom"/>
            <w:tcBorders>
              <w:right w:val="single" w:sz="8" w:color="2D53A6"/>
            </w:tcBorders>
            <w:vMerge w:val="continue"/>
            <w:shd w:val="clear" w:color="auto" w:fill="2D53A6"/>
          </w:tcPr>
          <w:p>
            <w:pPr>
              <w:spacing w:after="0"/>
              <w:rPr>
                <w:sz w:val="9"/>
                <w:szCs w:val="9"/>
                <w:color w:val="auto"/>
              </w:rPr>
            </w:pPr>
          </w:p>
        </w:tc>
        <w:tc>
          <w:tcPr>
            <w:tcW w:w="1960" w:type="dxa"/>
            <w:vAlign w:val="bottom"/>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87"/>
              </w:rPr>
              <w:t>Percentage of</w:t>
            </w:r>
          </w:p>
        </w:tc>
        <w:tc>
          <w:tcPr>
            <w:tcW w:w="0" w:type="dxa"/>
            <w:vAlign w:val="bottom"/>
          </w:tcPr>
          <w:p>
            <w:pPr>
              <w:spacing w:after="0"/>
              <w:rPr>
                <w:sz w:val="1"/>
                <w:szCs w:val="1"/>
                <w:color w:val="auto"/>
              </w:rPr>
            </w:pPr>
          </w:p>
        </w:tc>
      </w:tr>
      <w:tr>
        <w:trPr>
          <w:trHeight w:val="108"/>
        </w:trPr>
        <w:tc>
          <w:tcPr>
            <w:tcW w:w="3160" w:type="dxa"/>
            <w:vAlign w:val="bottom"/>
            <w:tcBorders>
              <w:right w:val="single" w:sz="8" w:color="2D53A6"/>
            </w:tcBorders>
            <w:vMerge w:val="continue"/>
            <w:shd w:val="clear" w:color="auto" w:fill="2D53A6"/>
          </w:tcPr>
          <w:p>
            <w:pPr>
              <w:spacing w:after="0"/>
              <w:rPr>
                <w:sz w:val="9"/>
                <w:szCs w:val="9"/>
                <w:color w:val="auto"/>
              </w:rPr>
            </w:pPr>
          </w:p>
        </w:tc>
        <w:tc>
          <w:tcPr>
            <w:tcW w:w="206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93"/>
              </w:rPr>
              <w:t>(Target Number</w:t>
            </w:r>
          </w:p>
        </w:tc>
        <w:tc>
          <w:tcPr>
            <w:tcW w:w="2040" w:type="dxa"/>
            <w:vAlign w:val="bottom"/>
            <w:tcBorders>
              <w:right w:val="single" w:sz="8" w:color="2D53A6"/>
            </w:tcBorders>
            <w:vMerge w:val="continue"/>
            <w:shd w:val="clear" w:color="auto" w:fill="2D53A6"/>
          </w:tcPr>
          <w:p>
            <w:pPr>
              <w:spacing w:after="0"/>
              <w:rPr>
                <w:sz w:val="9"/>
                <w:szCs w:val="9"/>
                <w:color w:val="auto"/>
              </w:rPr>
            </w:pPr>
          </w:p>
        </w:tc>
        <w:tc>
          <w:tcPr>
            <w:tcW w:w="202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91"/>
              </w:rPr>
              <w:t>Earned</w:t>
            </w:r>
          </w:p>
        </w:tc>
        <w:tc>
          <w:tcPr>
            <w:tcW w:w="1960" w:type="dxa"/>
            <w:vAlign w:val="bottom"/>
            <w:vMerge w:val="continue"/>
            <w:shd w:val="clear" w:color="auto" w:fill="2D53A6"/>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160" w:type="dxa"/>
            <w:vAlign w:val="bottom"/>
            <w:tcBorders>
              <w:right w:val="single" w:sz="8" w:color="2D53A6"/>
            </w:tcBorders>
            <w:shd w:val="clear" w:color="auto" w:fill="2D53A6"/>
          </w:tcPr>
          <w:p>
            <w:pPr>
              <w:spacing w:after="0"/>
              <w:rPr>
                <w:sz w:val="9"/>
                <w:szCs w:val="9"/>
                <w:color w:val="auto"/>
              </w:rPr>
            </w:pPr>
          </w:p>
        </w:tc>
        <w:tc>
          <w:tcPr>
            <w:tcW w:w="2060" w:type="dxa"/>
            <w:vAlign w:val="bottom"/>
            <w:tcBorders>
              <w:right w:val="single" w:sz="8" w:color="2D53A6"/>
            </w:tcBorders>
            <w:vMerge w:val="continue"/>
            <w:shd w:val="clear" w:color="auto" w:fill="2D53A6"/>
          </w:tcPr>
          <w:p>
            <w:pPr>
              <w:spacing w:after="0"/>
              <w:rPr>
                <w:sz w:val="9"/>
                <w:szCs w:val="9"/>
                <w:color w:val="auto"/>
              </w:rPr>
            </w:pPr>
          </w:p>
        </w:tc>
        <w:tc>
          <w:tcPr>
            <w:tcW w:w="204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87"/>
              </w:rPr>
              <w:t>Result</w:t>
            </w:r>
          </w:p>
        </w:tc>
        <w:tc>
          <w:tcPr>
            <w:tcW w:w="2020" w:type="dxa"/>
            <w:vAlign w:val="bottom"/>
            <w:tcBorders>
              <w:right w:val="single" w:sz="8" w:color="2D53A6"/>
            </w:tcBorders>
            <w:vMerge w:val="continue"/>
            <w:shd w:val="clear" w:color="auto" w:fill="2D53A6"/>
          </w:tcPr>
          <w:p>
            <w:pPr>
              <w:spacing w:after="0"/>
              <w:rPr>
                <w:sz w:val="9"/>
                <w:szCs w:val="9"/>
                <w:color w:val="auto"/>
              </w:rPr>
            </w:pPr>
          </w:p>
        </w:tc>
        <w:tc>
          <w:tcPr>
            <w:tcW w:w="1960" w:type="dxa"/>
            <w:vAlign w:val="bottom"/>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91"/>
              </w:rPr>
              <w:t>Target Number of</w:t>
            </w:r>
          </w:p>
        </w:tc>
        <w:tc>
          <w:tcPr>
            <w:tcW w:w="0" w:type="dxa"/>
            <w:vAlign w:val="bottom"/>
          </w:tcPr>
          <w:p>
            <w:pPr>
              <w:spacing w:after="0"/>
              <w:rPr>
                <w:sz w:val="1"/>
                <w:szCs w:val="1"/>
                <w:color w:val="auto"/>
              </w:rPr>
            </w:pPr>
          </w:p>
        </w:tc>
      </w:tr>
      <w:tr>
        <w:trPr>
          <w:trHeight w:val="108"/>
        </w:trPr>
        <w:tc>
          <w:tcPr>
            <w:tcW w:w="3160" w:type="dxa"/>
            <w:vAlign w:val="bottom"/>
            <w:tcBorders>
              <w:right w:val="single" w:sz="8" w:color="2D53A6"/>
            </w:tcBorders>
            <w:shd w:val="clear" w:color="auto" w:fill="2D53A6"/>
          </w:tcPr>
          <w:p>
            <w:pPr>
              <w:spacing w:after="0"/>
              <w:rPr>
                <w:sz w:val="9"/>
                <w:szCs w:val="9"/>
                <w:color w:val="auto"/>
              </w:rPr>
            </w:pPr>
          </w:p>
        </w:tc>
        <w:tc>
          <w:tcPr>
            <w:tcW w:w="206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88"/>
              </w:rPr>
              <w:t>of Shares)</w:t>
            </w:r>
          </w:p>
        </w:tc>
        <w:tc>
          <w:tcPr>
            <w:tcW w:w="2040" w:type="dxa"/>
            <w:vAlign w:val="bottom"/>
            <w:tcBorders>
              <w:right w:val="single" w:sz="8" w:color="2D53A6"/>
            </w:tcBorders>
            <w:vMerge w:val="continue"/>
            <w:shd w:val="clear" w:color="auto" w:fill="2D53A6"/>
          </w:tcPr>
          <w:p>
            <w:pPr>
              <w:spacing w:after="0"/>
              <w:rPr>
                <w:sz w:val="9"/>
                <w:szCs w:val="9"/>
                <w:color w:val="auto"/>
              </w:rPr>
            </w:pPr>
          </w:p>
        </w:tc>
        <w:tc>
          <w:tcPr>
            <w:tcW w:w="2020" w:type="dxa"/>
            <w:vAlign w:val="bottom"/>
            <w:tcBorders>
              <w:right w:val="single" w:sz="8" w:color="2D53A6"/>
            </w:tcBorders>
            <w:shd w:val="clear" w:color="auto" w:fill="2D53A6"/>
          </w:tcPr>
          <w:p>
            <w:pPr>
              <w:spacing w:after="0"/>
              <w:rPr>
                <w:sz w:val="9"/>
                <w:szCs w:val="9"/>
                <w:color w:val="auto"/>
              </w:rPr>
            </w:pPr>
          </w:p>
        </w:tc>
        <w:tc>
          <w:tcPr>
            <w:tcW w:w="1960" w:type="dxa"/>
            <w:vAlign w:val="bottom"/>
            <w:vMerge w:val="continue"/>
            <w:shd w:val="clear" w:color="auto" w:fill="2D53A6"/>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160" w:type="dxa"/>
            <w:vAlign w:val="bottom"/>
            <w:tcBorders>
              <w:right w:val="single" w:sz="8" w:color="2D53A6"/>
            </w:tcBorders>
            <w:shd w:val="clear" w:color="auto" w:fill="2D53A6"/>
          </w:tcPr>
          <w:p>
            <w:pPr>
              <w:spacing w:after="0"/>
              <w:rPr>
                <w:sz w:val="10"/>
                <w:szCs w:val="10"/>
                <w:color w:val="auto"/>
              </w:rPr>
            </w:pPr>
          </w:p>
        </w:tc>
        <w:tc>
          <w:tcPr>
            <w:tcW w:w="2060" w:type="dxa"/>
            <w:vAlign w:val="bottom"/>
            <w:tcBorders>
              <w:right w:val="single" w:sz="8" w:color="2D53A6"/>
            </w:tcBorders>
            <w:vMerge w:val="continue"/>
            <w:shd w:val="clear" w:color="auto" w:fill="2D53A6"/>
          </w:tcPr>
          <w:p>
            <w:pPr>
              <w:spacing w:after="0"/>
              <w:rPr>
                <w:sz w:val="10"/>
                <w:szCs w:val="10"/>
                <w:color w:val="auto"/>
              </w:rPr>
            </w:pPr>
          </w:p>
        </w:tc>
        <w:tc>
          <w:tcPr>
            <w:tcW w:w="2040" w:type="dxa"/>
            <w:vAlign w:val="bottom"/>
            <w:tcBorders>
              <w:right w:val="single" w:sz="8" w:color="2D53A6"/>
            </w:tcBorders>
            <w:shd w:val="clear" w:color="auto" w:fill="2D53A6"/>
          </w:tcPr>
          <w:p>
            <w:pPr>
              <w:spacing w:after="0"/>
              <w:rPr>
                <w:sz w:val="10"/>
                <w:szCs w:val="10"/>
                <w:color w:val="auto"/>
              </w:rPr>
            </w:pPr>
          </w:p>
        </w:tc>
        <w:tc>
          <w:tcPr>
            <w:tcW w:w="2020" w:type="dxa"/>
            <w:vAlign w:val="bottom"/>
            <w:tcBorders>
              <w:right w:val="single" w:sz="8" w:color="2D53A6"/>
            </w:tcBorders>
            <w:shd w:val="clear" w:color="auto" w:fill="2D53A6"/>
          </w:tcPr>
          <w:p>
            <w:pPr>
              <w:spacing w:after="0"/>
              <w:rPr>
                <w:sz w:val="10"/>
                <w:szCs w:val="10"/>
                <w:color w:val="auto"/>
              </w:rPr>
            </w:pPr>
          </w:p>
        </w:tc>
        <w:tc>
          <w:tcPr>
            <w:tcW w:w="1960" w:type="dxa"/>
            <w:vAlign w:val="bottom"/>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86"/>
              </w:rPr>
              <w:t>Shares</w:t>
            </w:r>
          </w:p>
        </w:tc>
        <w:tc>
          <w:tcPr>
            <w:tcW w:w="0" w:type="dxa"/>
            <w:vAlign w:val="bottom"/>
          </w:tcPr>
          <w:p>
            <w:pPr>
              <w:spacing w:after="0"/>
              <w:rPr>
                <w:sz w:val="1"/>
                <w:szCs w:val="1"/>
                <w:color w:val="auto"/>
              </w:rPr>
            </w:pPr>
          </w:p>
        </w:tc>
      </w:tr>
      <w:tr>
        <w:trPr>
          <w:trHeight w:val="122"/>
        </w:trPr>
        <w:tc>
          <w:tcPr>
            <w:tcW w:w="3160" w:type="dxa"/>
            <w:vAlign w:val="bottom"/>
            <w:tcBorders>
              <w:right w:val="single" w:sz="8" w:color="2D53A6"/>
            </w:tcBorders>
            <w:shd w:val="clear" w:color="auto" w:fill="2D53A6"/>
          </w:tcPr>
          <w:p>
            <w:pPr>
              <w:spacing w:after="0"/>
              <w:rPr>
                <w:sz w:val="10"/>
                <w:szCs w:val="10"/>
                <w:color w:val="auto"/>
              </w:rPr>
            </w:pPr>
          </w:p>
        </w:tc>
        <w:tc>
          <w:tcPr>
            <w:tcW w:w="2060" w:type="dxa"/>
            <w:vAlign w:val="bottom"/>
            <w:tcBorders>
              <w:right w:val="single" w:sz="8" w:color="2D53A6"/>
            </w:tcBorders>
            <w:shd w:val="clear" w:color="auto" w:fill="2D53A6"/>
          </w:tcPr>
          <w:p>
            <w:pPr>
              <w:spacing w:after="0"/>
              <w:rPr>
                <w:sz w:val="10"/>
                <w:szCs w:val="10"/>
                <w:color w:val="auto"/>
              </w:rPr>
            </w:pPr>
          </w:p>
        </w:tc>
        <w:tc>
          <w:tcPr>
            <w:tcW w:w="2040" w:type="dxa"/>
            <w:vAlign w:val="bottom"/>
            <w:tcBorders>
              <w:right w:val="single" w:sz="8" w:color="2D53A6"/>
            </w:tcBorders>
            <w:shd w:val="clear" w:color="auto" w:fill="2D53A6"/>
          </w:tcPr>
          <w:p>
            <w:pPr>
              <w:spacing w:after="0"/>
              <w:rPr>
                <w:sz w:val="10"/>
                <w:szCs w:val="10"/>
                <w:color w:val="auto"/>
              </w:rPr>
            </w:pPr>
          </w:p>
        </w:tc>
        <w:tc>
          <w:tcPr>
            <w:tcW w:w="2020" w:type="dxa"/>
            <w:vAlign w:val="bottom"/>
            <w:tcBorders>
              <w:right w:val="single" w:sz="8" w:color="2D53A6"/>
            </w:tcBorders>
            <w:shd w:val="clear" w:color="auto" w:fill="2D53A6"/>
          </w:tcPr>
          <w:p>
            <w:pPr>
              <w:spacing w:after="0"/>
              <w:rPr>
                <w:sz w:val="10"/>
                <w:szCs w:val="10"/>
                <w:color w:val="auto"/>
              </w:rPr>
            </w:pPr>
          </w:p>
        </w:tc>
        <w:tc>
          <w:tcPr>
            <w:tcW w:w="1960" w:type="dxa"/>
            <w:vAlign w:val="bottom"/>
            <w:vMerge w:val="continue"/>
            <w:shd w:val="clear" w:color="auto" w:fill="2D53A6"/>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160" w:type="dxa"/>
            <w:vAlign w:val="bottom"/>
            <w:tcBorders>
              <w:bottom w:val="single" w:sz="8" w:color="2D53A6"/>
              <w:right w:val="single" w:sz="8" w:color="2D53A6"/>
            </w:tcBorders>
          </w:tcPr>
          <w:p>
            <w:pPr>
              <w:spacing w:after="0"/>
              <w:rPr>
                <w:sz w:val="20"/>
                <w:szCs w:val="20"/>
                <w:color w:val="auto"/>
              </w:rPr>
            </w:pPr>
            <w:r>
              <w:rPr>
                <w:rFonts w:ascii="Arial" w:cs="Arial" w:eastAsia="Arial" w:hAnsi="Arial"/>
                <w:sz w:val="18"/>
                <w:szCs w:val="18"/>
                <w:color w:val="auto"/>
              </w:rPr>
              <w:t>Luis A. Müller</w:t>
            </w:r>
          </w:p>
        </w:tc>
        <w:tc>
          <w:tcPr>
            <w:tcW w:w="206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0"/>
              </w:rPr>
              <w:t>59,121</w:t>
            </w:r>
          </w:p>
        </w:tc>
        <w:tc>
          <w:tcPr>
            <w:tcW w:w="204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3"/>
              </w:rPr>
              <w:t>33.3%</w:t>
            </w:r>
          </w:p>
        </w:tc>
        <w:tc>
          <w:tcPr>
            <w:tcW w:w="202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0"/>
              </w:rPr>
              <w:t>26,230</w:t>
            </w:r>
          </w:p>
        </w:tc>
        <w:tc>
          <w:tcPr>
            <w:tcW w:w="1960" w:type="dxa"/>
            <w:vAlign w:val="bottom"/>
            <w:tcBorders>
              <w:bottom w:val="single" w:sz="8" w:color="2D53A6"/>
            </w:tcBorders>
          </w:tcPr>
          <w:p>
            <w:pPr>
              <w:jc w:val="center"/>
              <w:spacing w:after="0"/>
              <w:rPr>
                <w:sz w:val="20"/>
                <w:szCs w:val="20"/>
                <w:color w:val="auto"/>
              </w:rPr>
            </w:pPr>
            <w:r>
              <w:rPr>
                <w:rFonts w:ascii="Arial" w:cs="Arial" w:eastAsia="Arial" w:hAnsi="Arial"/>
                <w:sz w:val="18"/>
                <w:szCs w:val="18"/>
                <w:color w:val="auto"/>
                <w:w w:val="93"/>
              </w:rPr>
              <w:t>44.4%</w:t>
            </w:r>
          </w:p>
        </w:tc>
        <w:tc>
          <w:tcPr>
            <w:tcW w:w="0" w:type="dxa"/>
            <w:vAlign w:val="bottom"/>
          </w:tcPr>
          <w:p>
            <w:pPr>
              <w:spacing w:after="0"/>
              <w:rPr>
                <w:sz w:val="1"/>
                <w:szCs w:val="1"/>
                <w:color w:val="auto"/>
              </w:rPr>
            </w:pPr>
          </w:p>
        </w:tc>
      </w:tr>
      <w:tr>
        <w:trPr>
          <w:trHeight w:val="209"/>
        </w:trPr>
        <w:tc>
          <w:tcPr>
            <w:tcW w:w="3160" w:type="dxa"/>
            <w:vAlign w:val="bottom"/>
            <w:tcBorders>
              <w:bottom w:val="single" w:sz="8" w:color="2D53A6"/>
              <w:right w:val="single" w:sz="8" w:color="2D53A6"/>
            </w:tcBorders>
            <w:shd w:val="clear" w:color="auto" w:fill="E6E6E6"/>
          </w:tcPr>
          <w:p>
            <w:pPr>
              <w:spacing w:after="0"/>
              <w:rPr>
                <w:sz w:val="20"/>
                <w:szCs w:val="20"/>
                <w:color w:val="auto"/>
              </w:rPr>
            </w:pPr>
            <w:r>
              <w:rPr>
                <w:rFonts w:ascii="Arial" w:cs="Arial" w:eastAsia="Arial" w:hAnsi="Arial"/>
                <w:sz w:val="18"/>
                <w:szCs w:val="18"/>
                <w:color w:val="auto"/>
              </w:rPr>
              <w:t>Jeffrey D. Jones</w:t>
            </w:r>
          </w:p>
        </w:tc>
        <w:tc>
          <w:tcPr>
            <w:tcW w:w="206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0"/>
              </w:rPr>
              <w:t>22,297</w:t>
            </w:r>
          </w:p>
        </w:tc>
        <w:tc>
          <w:tcPr>
            <w:tcW w:w="204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3"/>
              </w:rPr>
              <w:t>33.3%</w:t>
            </w:r>
          </w:p>
        </w:tc>
        <w:tc>
          <w:tcPr>
            <w:tcW w:w="202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88"/>
              </w:rPr>
              <w:t>8,982</w:t>
            </w:r>
          </w:p>
        </w:tc>
        <w:tc>
          <w:tcPr>
            <w:tcW w:w="1960" w:type="dxa"/>
            <w:vAlign w:val="bottom"/>
            <w:tcBorders>
              <w:bottom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3"/>
              </w:rPr>
              <w:t>44.4%</w:t>
            </w:r>
          </w:p>
        </w:tc>
        <w:tc>
          <w:tcPr>
            <w:tcW w:w="0" w:type="dxa"/>
            <w:vAlign w:val="bottom"/>
          </w:tcPr>
          <w:p>
            <w:pPr>
              <w:spacing w:after="0"/>
              <w:rPr>
                <w:sz w:val="1"/>
                <w:szCs w:val="1"/>
                <w:color w:val="auto"/>
              </w:rPr>
            </w:pPr>
          </w:p>
        </w:tc>
      </w:tr>
      <w:tr>
        <w:trPr>
          <w:trHeight w:val="210"/>
        </w:trPr>
        <w:tc>
          <w:tcPr>
            <w:tcW w:w="3160" w:type="dxa"/>
            <w:vAlign w:val="bottom"/>
            <w:tcBorders>
              <w:bottom w:val="single" w:sz="8" w:color="2D53A6"/>
              <w:right w:val="single" w:sz="8" w:color="2D53A6"/>
            </w:tcBorders>
          </w:tcPr>
          <w:p>
            <w:pPr>
              <w:spacing w:after="0"/>
              <w:rPr>
                <w:sz w:val="20"/>
                <w:szCs w:val="20"/>
                <w:color w:val="auto"/>
              </w:rPr>
            </w:pPr>
            <w:r>
              <w:rPr>
                <w:rFonts w:ascii="Arial" w:cs="Arial" w:eastAsia="Arial" w:hAnsi="Arial"/>
                <w:sz w:val="18"/>
                <w:szCs w:val="18"/>
                <w:color w:val="auto"/>
              </w:rPr>
              <w:t>Christopher G. Bohrson</w:t>
            </w:r>
          </w:p>
        </w:tc>
        <w:tc>
          <w:tcPr>
            <w:tcW w:w="206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0"/>
              </w:rPr>
              <w:t>14,864</w:t>
            </w:r>
          </w:p>
        </w:tc>
        <w:tc>
          <w:tcPr>
            <w:tcW w:w="204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3"/>
              </w:rPr>
              <w:t>33.3%</w:t>
            </w:r>
          </w:p>
        </w:tc>
        <w:tc>
          <w:tcPr>
            <w:tcW w:w="202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88"/>
              </w:rPr>
              <w:t>6,594</w:t>
            </w:r>
          </w:p>
        </w:tc>
        <w:tc>
          <w:tcPr>
            <w:tcW w:w="1960" w:type="dxa"/>
            <w:vAlign w:val="bottom"/>
            <w:tcBorders>
              <w:bottom w:val="single" w:sz="8" w:color="2D53A6"/>
            </w:tcBorders>
          </w:tcPr>
          <w:p>
            <w:pPr>
              <w:jc w:val="center"/>
              <w:spacing w:after="0"/>
              <w:rPr>
                <w:sz w:val="20"/>
                <w:szCs w:val="20"/>
                <w:color w:val="auto"/>
              </w:rPr>
            </w:pPr>
            <w:r>
              <w:rPr>
                <w:rFonts w:ascii="Arial" w:cs="Arial" w:eastAsia="Arial" w:hAnsi="Arial"/>
                <w:sz w:val="18"/>
                <w:szCs w:val="18"/>
                <w:color w:val="auto"/>
                <w:w w:val="93"/>
              </w:rPr>
              <w:t>44.4%</w:t>
            </w:r>
          </w:p>
        </w:tc>
        <w:tc>
          <w:tcPr>
            <w:tcW w:w="0" w:type="dxa"/>
            <w:vAlign w:val="bottom"/>
          </w:tcPr>
          <w:p>
            <w:pPr>
              <w:spacing w:after="0"/>
              <w:rPr>
                <w:sz w:val="1"/>
                <w:szCs w:val="1"/>
                <w:color w:val="auto"/>
              </w:rPr>
            </w:pPr>
          </w:p>
        </w:tc>
      </w:tr>
      <w:tr>
        <w:trPr>
          <w:trHeight w:val="210"/>
        </w:trPr>
        <w:tc>
          <w:tcPr>
            <w:tcW w:w="3160" w:type="dxa"/>
            <w:vAlign w:val="bottom"/>
            <w:tcBorders>
              <w:bottom w:val="single" w:sz="8" w:color="2D53A6"/>
              <w:right w:val="single" w:sz="8" w:color="2D53A6"/>
            </w:tcBorders>
            <w:shd w:val="clear" w:color="auto" w:fill="E6E6E6"/>
          </w:tcPr>
          <w:p>
            <w:pPr>
              <w:spacing w:after="0"/>
              <w:rPr>
                <w:sz w:val="20"/>
                <w:szCs w:val="20"/>
                <w:color w:val="auto"/>
              </w:rPr>
            </w:pPr>
            <w:r>
              <w:rPr>
                <w:rFonts w:ascii="Arial" w:cs="Arial" w:eastAsia="Arial" w:hAnsi="Arial"/>
                <w:sz w:val="18"/>
                <w:szCs w:val="18"/>
                <w:color w:val="auto"/>
              </w:rPr>
              <w:t>Thomas D. Kampfer</w:t>
            </w:r>
          </w:p>
        </w:tc>
        <w:tc>
          <w:tcPr>
            <w:tcW w:w="206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0"/>
              </w:rPr>
              <w:t>12,500</w:t>
            </w:r>
          </w:p>
        </w:tc>
        <w:tc>
          <w:tcPr>
            <w:tcW w:w="204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3"/>
              </w:rPr>
              <w:t>33.3%</w:t>
            </w:r>
          </w:p>
        </w:tc>
        <w:tc>
          <w:tcPr>
            <w:tcW w:w="202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88"/>
              </w:rPr>
              <w:t>5,545</w:t>
            </w:r>
          </w:p>
        </w:tc>
        <w:tc>
          <w:tcPr>
            <w:tcW w:w="1960" w:type="dxa"/>
            <w:vAlign w:val="bottom"/>
            <w:tcBorders>
              <w:bottom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3"/>
              </w:rPr>
              <w:t>44.4%</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Compensation Benefits and 401(k) Plan</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maintain a nonqualified deferred compensation plan, the Cohu, Inc. Deferred Compensation Plan (the “Deferred Compensation Plan”), for our U.S. based executive officers and other employees designated by the Compensation Committee. Under the Deferred Compensation Plan, participants may elect to voluntarily defer receipt of up to 25% of their base salary and/or up to 100% of their annual cash incentive payment, thereby allowing them to defer taxation on such amounts.</w:t>
      </w:r>
    </w:p>
    <w:p>
      <w:pPr>
        <w:spacing w:after="0" w:line="187"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Although we have not matched any participant contributions to the Deferred Compensation Plan since 2008, we may in the future match participant contributions to the Deferred Compensation Plan up to 4% of the participant’s annual base salary in excess of the specified annual compensation limit allowed under the Code for contributions under the Section 401(k) plan. The annual limit, which is indexed, was $290,000 for 2021. Our matching contributions and any deemed investment earnings attributable to these contributions, if any are actually made, will be 100% vested when the participant has two years of service with us. Prior to that time, such amounts are unvested. Participant contributions and deemed investment earnings are 100% vested at all times. For additional information on the Deferred Compensation Plan, see “2021 Nonqualified Deferred Compensation” below.</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9" w:name="page40"/>
    <w:bookmarkEnd w:id="39"/>
    <w:p>
      <w:pPr>
        <w:spacing w:after="0" w:line="272" w:lineRule="auto"/>
        <w:rPr>
          <w:sz w:val="20"/>
          <w:szCs w:val="20"/>
          <w:color w:val="auto"/>
        </w:rPr>
      </w:pPr>
      <w:r>
        <w:rPr>
          <w:rFonts w:ascii="Arial" w:cs="Arial" w:eastAsia="Arial" w:hAnsi="Arial"/>
          <w:sz w:val="17"/>
          <w:szCs w:val="17"/>
          <w:color w:val="auto"/>
        </w:rPr>
        <w:t>We maintain a tax-qualified defined contribution plan, the Cohu Employees’ Retirement Plan (the “401(k) Plan”), for our U.S. based executive officers and other employees. The majority of our U.S. based employees, including all of the U.S. based NEOs, who are at least 21 years of age, are eligible to enroll in the 401(k) Plan. Under the 401(k) Plan, participants may contribute a percentage of their annual compensation subject to maximum annual contribution limitations. We may match participant contributions not to exceed specified annual limits. Our matching contributions in 2021 are immediately vested and our matching contribution was at the rate of 50% of the first 8% of employee pre-tax contributions to the plan. Generally, during 2021 the maximum annual amount that any participant could contribute to the 401(k) Plan was $19,500 unless aged 50 or more which allows participants to make an additional $6,500 in “catch-up” contributions and our maximum matching contribution was $11,600.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Welfare and Health Benefits</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2021, our executive officers, including our NEOs, were eligible to receive health care insurance coverage and additional benefits that are generally available to our other employees located in the same country. These benefit programs include the employee stock purchase plan, medical, dental and vision insurance, long-term and short-term disability insurance, life and accidental death and dismemberment insurance, health and dependent care flexible spending accounts, business travel insurance, relocation/expatriate programs and services, educational assistance, employee assistance, and certain other benefits.</w:t>
      </w:r>
    </w:p>
    <w:p>
      <w:pPr>
        <w:spacing w:after="0" w:line="188"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The 401(k) Plan and other generally available benefit programs allow us to be competitive for employee talent and we believe that the availability of these programs generally enhances employee productivity and loyalty. The principal objectives of our benefit programs are to give our employees access to quality healthcare, financial protection from unforeseen events, assistance in achieving retirement financial goals, enhanced health and productivity, and to provide support for global workforce mobility, in full compliance with applicable legal requirements. Typically, these generally- available benefits do not specifically factor into decisions regarding an individual executive officer’s total compensation or equity awards.</w:t>
      </w:r>
    </w:p>
    <w:p>
      <w:pPr>
        <w:spacing w:after="0" w:line="17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Each year, we informally review our U.S. based benefit programs against our peers with data provided by Aon, our health and welfare benefits broker of record, and by Retirement Benefits Group, our independent 401(k) Plan consultant. This review includes an analysis of the dollar value to an employee and the dollar cost to us for the benefits under the applicable plan using a standard population of employees. Similar evaluations are made in other regions with local benefit consultants.</w:t>
      </w:r>
    </w:p>
    <w:p>
      <w:pPr>
        <w:spacing w:after="0" w:line="18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analyze changes to our benefit programs in light of the overall objectives of the programs, including the effectiveness of their incentive and retention features.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Perquisites and Other Personal Benefits</w:t>
      </w:r>
    </w:p>
    <w:p>
      <w:pPr>
        <w:spacing w:after="0" w:line="225"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Currently, we do not view perquisites or other personal benefits as a significant component of our executive compensation program. Accordingly, we do not provide perquisites to our executive officers, except in situations where we believe it is appropriate to assist an individual in the performance of his or her duties, to make our executive officers more efficient and effective, and for recruitment and retention purposes.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00" w:type="dxa"/>
            <w:vAlign w:val="bottom"/>
          </w:tcPr>
          <w:p>
            <w:pPr>
              <w:spacing w:after="0"/>
              <w:rPr>
                <w:sz w:val="20"/>
                <w:szCs w:val="20"/>
                <w:color w:val="auto"/>
              </w:rPr>
            </w:pPr>
            <w:r>
              <w:rPr>
                <w:rFonts w:ascii="Arial" w:cs="Arial" w:eastAsia="Arial" w:hAnsi="Arial"/>
                <w:sz w:val="18"/>
                <w:szCs w:val="18"/>
                <w:color w:val="auto"/>
                <w:w w:val="99"/>
              </w:rPr>
              <w:t>During 2021, we provided our NEOs with automobile expense reimbursement or allowances as follows:</w:t>
            </w:r>
          </w:p>
        </w:tc>
        <w:tc>
          <w:tcPr>
            <w:tcW w:w="3040" w:type="dxa"/>
            <w:vAlign w:val="bottom"/>
          </w:tcPr>
          <w:p>
            <w:pPr>
              <w:spacing w:after="0"/>
              <w:rPr>
                <w:sz w:val="20"/>
                <w:szCs w:val="20"/>
                <w:color w:val="auto"/>
              </w:rPr>
            </w:pPr>
          </w:p>
        </w:tc>
      </w:tr>
      <w:tr>
        <w:trPr>
          <w:trHeight w:val="216"/>
        </w:trPr>
        <w:tc>
          <w:tcPr>
            <w:tcW w:w="8200" w:type="dxa"/>
            <w:vAlign w:val="bottom"/>
          </w:tcPr>
          <w:p>
            <w:pPr>
              <w:spacing w:after="0"/>
              <w:rPr>
                <w:sz w:val="18"/>
                <w:szCs w:val="18"/>
                <w:color w:val="auto"/>
              </w:rPr>
            </w:pPr>
          </w:p>
        </w:tc>
        <w:tc>
          <w:tcPr>
            <w:tcW w:w="3040" w:type="dxa"/>
            <w:vAlign w:val="bottom"/>
          </w:tcPr>
          <w:p>
            <w:pPr>
              <w:spacing w:after="0"/>
              <w:rPr>
                <w:sz w:val="18"/>
                <w:szCs w:val="18"/>
                <w:color w:val="auto"/>
              </w:rPr>
            </w:pPr>
          </w:p>
        </w:tc>
      </w:tr>
      <w:tr>
        <w:trPr>
          <w:trHeight w:val="230"/>
        </w:trPr>
        <w:tc>
          <w:tcPr>
            <w:tcW w:w="8200" w:type="dxa"/>
            <w:vAlign w:val="bottom"/>
            <w:tcBorders>
              <w:right w:val="single" w:sz="8" w:color="2D53A6"/>
            </w:tcBorders>
            <w:shd w:val="clear" w:color="auto" w:fill="2D53A6"/>
          </w:tcPr>
          <w:p>
            <w:pPr>
              <w:spacing w:after="0"/>
              <w:rPr>
                <w:sz w:val="20"/>
                <w:szCs w:val="20"/>
                <w:color w:val="auto"/>
              </w:rPr>
            </w:pPr>
            <w:r>
              <w:rPr>
                <w:rFonts w:ascii="Arial" w:cs="Arial" w:eastAsia="Arial" w:hAnsi="Arial"/>
                <w:sz w:val="18"/>
                <w:szCs w:val="18"/>
                <w:b w:val="1"/>
                <w:bCs w:val="1"/>
                <w:color w:val="FFFFFF"/>
              </w:rPr>
              <w:t>Named Executive Officer</w:t>
            </w:r>
          </w:p>
        </w:tc>
        <w:tc>
          <w:tcPr>
            <w:tcW w:w="3040" w:type="dxa"/>
            <w:vAlign w:val="bottom"/>
            <w:shd w:val="clear" w:color="auto" w:fill="2D53A6"/>
          </w:tcPr>
          <w:p>
            <w:pPr>
              <w:jc w:val="center"/>
              <w:spacing w:after="0"/>
              <w:rPr>
                <w:sz w:val="20"/>
                <w:szCs w:val="20"/>
                <w:color w:val="auto"/>
              </w:rPr>
            </w:pPr>
            <w:r>
              <w:rPr>
                <w:rFonts w:ascii="Arial" w:cs="Arial" w:eastAsia="Arial" w:hAnsi="Arial"/>
                <w:sz w:val="18"/>
                <w:szCs w:val="18"/>
                <w:b w:val="1"/>
                <w:bCs w:val="1"/>
                <w:color w:val="FFFFFF"/>
                <w:w w:val="91"/>
              </w:rPr>
              <w:t>Annual Auto Allowance</w:t>
            </w:r>
          </w:p>
        </w:tc>
      </w:tr>
      <w:tr>
        <w:trPr>
          <w:trHeight w:val="216"/>
        </w:trPr>
        <w:tc>
          <w:tcPr>
            <w:tcW w:w="8200" w:type="dxa"/>
            <w:vAlign w:val="bottom"/>
            <w:tcBorders>
              <w:bottom w:val="single" w:sz="8" w:color="2D53A6"/>
              <w:right w:val="single" w:sz="8" w:color="2D53A6"/>
            </w:tcBorders>
          </w:tcPr>
          <w:p>
            <w:pPr>
              <w:spacing w:after="0"/>
              <w:rPr>
                <w:sz w:val="20"/>
                <w:szCs w:val="20"/>
                <w:color w:val="auto"/>
              </w:rPr>
            </w:pPr>
            <w:r>
              <w:rPr>
                <w:rFonts w:ascii="Arial" w:cs="Arial" w:eastAsia="Arial" w:hAnsi="Arial"/>
                <w:sz w:val="18"/>
                <w:szCs w:val="18"/>
                <w:color w:val="auto"/>
              </w:rPr>
              <w:t>Luis A. Müller</w:t>
            </w:r>
          </w:p>
        </w:tc>
        <w:tc>
          <w:tcPr>
            <w:tcW w:w="3040" w:type="dxa"/>
            <w:vAlign w:val="bottom"/>
            <w:tcBorders>
              <w:bottom w:val="single" w:sz="8" w:color="2D53A6"/>
            </w:tcBorders>
          </w:tcPr>
          <w:p>
            <w:pPr>
              <w:jc w:val="center"/>
              <w:spacing w:after="0"/>
              <w:rPr>
                <w:sz w:val="20"/>
                <w:szCs w:val="20"/>
                <w:color w:val="auto"/>
              </w:rPr>
            </w:pPr>
            <w:r>
              <w:rPr>
                <w:rFonts w:ascii="Arial" w:cs="Arial" w:eastAsia="Arial" w:hAnsi="Arial"/>
                <w:sz w:val="18"/>
                <w:szCs w:val="18"/>
                <w:color w:val="auto"/>
                <w:w w:val="90"/>
              </w:rPr>
              <w:t>$9,000</w:t>
            </w:r>
          </w:p>
        </w:tc>
      </w:tr>
      <w:tr>
        <w:trPr>
          <w:trHeight w:val="210"/>
        </w:trPr>
        <w:tc>
          <w:tcPr>
            <w:tcW w:w="8200" w:type="dxa"/>
            <w:vAlign w:val="bottom"/>
            <w:tcBorders>
              <w:bottom w:val="single" w:sz="8" w:color="2D53A6"/>
              <w:right w:val="single" w:sz="8" w:color="2D53A6"/>
            </w:tcBorders>
            <w:shd w:val="clear" w:color="auto" w:fill="E6E6E6"/>
          </w:tcPr>
          <w:p>
            <w:pPr>
              <w:spacing w:after="0"/>
              <w:rPr>
                <w:sz w:val="20"/>
                <w:szCs w:val="20"/>
                <w:color w:val="auto"/>
              </w:rPr>
            </w:pPr>
            <w:r>
              <w:rPr>
                <w:rFonts w:ascii="Arial" w:cs="Arial" w:eastAsia="Arial" w:hAnsi="Arial"/>
                <w:sz w:val="18"/>
                <w:szCs w:val="18"/>
                <w:color w:val="auto"/>
              </w:rPr>
              <w:t>Jeffrey D. Jones</w:t>
            </w:r>
          </w:p>
        </w:tc>
        <w:tc>
          <w:tcPr>
            <w:tcW w:w="3040" w:type="dxa"/>
            <w:vAlign w:val="bottom"/>
            <w:tcBorders>
              <w:bottom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0"/>
              </w:rPr>
              <w:t>$6,000</w:t>
            </w:r>
          </w:p>
        </w:tc>
      </w:tr>
      <w:tr>
        <w:trPr>
          <w:trHeight w:val="209"/>
        </w:trPr>
        <w:tc>
          <w:tcPr>
            <w:tcW w:w="8200" w:type="dxa"/>
            <w:vAlign w:val="bottom"/>
            <w:tcBorders>
              <w:bottom w:val="single" w:sz="8" w:color="2D53A6"/>
              <w:right w:val="single" w:sz="8" w:color="2D53A6"/>
            </w:tcBorders>
          </w:tcPr>
          <w:p>
            <w:pPr>
              <w:spacing w:after="0"/>
              <w:rPr>
                <w:sz w:val="20"/>
                <w:szCs w:val="20"/>
                <w:color w:val="auto"/>
              </w:rPr>
            </w:pPr>
            <w:r>
              <w:rPr>
                <w:rFonts w:ascii="Arial" w:cs="Arial" w:eastAsia="Arial" w:hAnsi="Arial"/>
                <w:sz w:val="18"/>
                <w:szCs w:val="18"/>
                <w:color w:val="auto"/>
              </w:rPr>
              <w:t>Christopher G. Bohrson</w:t>
            </w:r>
          </w:p>
        </w:tc>
        <w:tc>
          <w:tcPr>
            <w:tcW w:w="3040" w:type="dxa"/>
            <w:vAlign w:val="bottom"/>
            <w:tcBorders>
              <w:bottom w:val="single" w:sz="8" w:color="2D53A6"/>
            </w:tcBorders>
          </w:tcPr>
          <w:p>
            <w:pPr>
              <w:jc w:val="center"/>
              <w:spacing w:after="0"/>
              <w:rPr>
                <w:sz w:val="20"/>
                <w:szCs w:val="20"/>
                <w:color w:val="auto"/>
              </w:rPr>
            </w:pPr>
            <w:r>
              <w:rPr>
                <w:rFonts w:ascii="Arial" w:cs="Arial" w:eastAsia="Arial" w:hAnsi="Arial"/>
                <w:sz w:val="18"/>
                <w:szCs w:val="18"/>
                <w:color w:val="auto"/>
                <w:w w:val="90"/>
              </w:rPr>
              <w:t>$6,000</w:t>
            </w:r>
          </w:p>
        </w:tc>
      </w:tr>
      <w:tr>
        <w:trPr>
          <w:trHeight w:val="210"/>
        </w:trPr>
        <w:tc>
          <w:tcPr>
            <w:tcW w:w="8200" w:type="dxa"/>
            <w:vAlign w:val="bottom"/>
            <w:tcBorders>
              <w:bottom w:val="single" w:sz="8" w:color="2D53A6"/>
              <w:right w:val="single" w:sz="8" w:color="2D53A6"/>
            </w:tcBorders>
            <w:shd w:val="clear" w:color="auto" w:fill="E6E6E6"/>
          </w:tcPr>
          <w:p>
            <w:pPr>
              <w:spacing w:after="0"/>
              <w:rPr>
                <w:sz w:val="20"/>
                <w:szCs w:val="20"/>
                <w:color w:val="auto"/>
              </w:rPr>
            </w:pPr>
            <w:r>
              <w:rPr>
                <w:rFonts w:ascii="Arial" w:cs="Arial" w:eastAsia="Arial" w:hAnsi="Arial"/>
                <w:sz w:val="18"/>
                <w:szCs w:val="18"/>
                <w:color w:val="auto"/>
              </w:rPr>
              <w:t>Thomas D. Kampfer</w:t>
            </w:r>
          </w:p>
        </w:tc>
        <w:tc>
          <w:tcPr>
            <w:tcW w:w="3040" w:type="dxa"/>
            <w:vAlign w:val="bottom"/>
            <w:tcBorders>
              <w:bottom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0"/>
              </w:rPr>
              <w:t>$6,000</w:t>
            </w:r>
          </w:p>
        </w:tc>
      </w:tr>
      <w:tr>
        <w:trPr>
          <w:trHeight w:val="210"/>
        </w:trPr>
        <w:tc>
          <w:tcPr>
            <w:tcW w:w="8200" w:type="dxa"/>
            <w:vAlign w:val="bottom"/>
            <w:tcBorders>
              <w:bottom w:val="single" w:sz="8" w:color="2D53A6"/>
              <w:right w:val="single" w:sz="8" w:color="2D53A6"/>
            </w:tcBorders>
          </w:tcPr>
          <w:p>
            <w:pPr>
              <w:spacing w:after="0"/>
              <w:rPr>
                <w:sz w:val="20"/>
                <w:szCs w:val="20"/>
                <w:color w:val="auto"/>
              </w:rPr>
            </w:pPr>
            <w:r>
              <w:rPr>
                <w:rFonts w:ascii="Arial" w:cs="Arial" w:eastAsia="Arial" w:hAnsi="Arial"/>
                <w:sz w:val="18"/>
                <w:szCs w:val="18"/>
                <w:color w:val="auto"/>
              </w:rPr>
              <w:t>Ian P. Lawee</w:t>
            </w:r>
          </w:p>
        </w:tc>
        <w:tc>
          <w:tcPr>
            <w:tcW w:w="3040" w:type="dxa"/>
            <w:vAlign w:val="bottom"/>
            <w:tcBorders>
              <w:bottom w:val="single" w:sz="8" w:color="2D53A6"/>
            </w:tcBorders>
          </w:tcPr>
          <w:p>
            <w:pPr>
              <w:jc w:val="center"/>
              <w:spacing w:after="0"/>
              <w:rPr>
                <w:sz w:val="20"/>
                <w:szCs w:val="20"/>
                <w:color w:val="auto"/>
              </w:rPr>
            </w:pPr>
            <w:r>
              <w:rPr>
                <w:rFonts w:ascii="Arial" w:cs="Arial" w:eastAsia="Arial" w:hAnsi="Arial"/>
                <w:sz w:val="18"/>
                <w:szCs w:val="18"/>
                <w:color w:val="auto"/>
                <w:w w:val="90"/>
              </w:rPr>
              <w:t>$6,000</w:t>
            </w:r>
          </w:p>
        </w:tc>
      </w:tr>
    </w:tbl>
    <w:p>
      <w:pPr>
        <w:spacing w:after="0" w:line="20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the future, we may provide perquisites or other personal benefits to our executive officers in limited circumstances, such as where we believe it is appropriate to assist an individual executive officer in the performance of his or her duties, to make our executive officers more efficient and effective, and for recruitment, motivation or retention purposes. We do not expect that these perquisites or other personal benefits will be a significant aspect of our executive compensation program. All future practices with respect to perquisites or other personal benefits will be approved and subject to periodic review by the Compensation Committee.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2D53A6"/>
        </w:rPr>
        <w:t>Post-Employment Compensation</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2020, the Compensation Committee undertook, in consultation with Compensia, a review of its executive post-employment agreements. The objective of this review was to independently benchmark, assess best practices and develop standard agreements to be implemented as the Compensation Committee deemed appropriate among the Company’s executive officers. The Committee approved a form of executive severance agreement (the “Severance Agreement”) and form of change in control agreement (the “Change in Control Agreement”) for certain of the Company’s executive officers (“Executive”) as described below (the “Executive Agreements”). The Company first entered into the Severance Agreements and Change in Control Agreements on September 8, 2020. The Severance Agreement and Change in Control Agreement, when executed by the individual Executive, superseded any prior severance agreements and change in control agreements with the Executive.</w:t>
      </w:r>
    </w:p>
    <w:p>
      <w:pPr>
        <w:spacing w:after="0" w:line="17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Severance Agreement provides that if an Executive’s employment is terminated by the Company without Cause, or only additionally in the case of Dr. Müller, if he voluntarily resigns for Good Reason, then, subject to the Executive’s continued compliance with the obligations set forth in the Executive’s Confidentiality and Inventions Agreement and the Executive’s signing and not revoking a separation agreement and release of claims, the Executive would receive certain benefits not otherwise entitled to as a result of termination of employment. The table below summarized these benefits that includes a lump sum payment equal to a Multiplier factor multiplied by the Executive’s annual base salary and reimbursement for the Executive’s COBRA continuation premiums for the Premium Payment Period.</w:t>
      </w:r>
    </w:p>
    <w:p>
      <w:pPr>
        <w:spacing w:after="0" w:line="19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Change in Control Agreement provides that if an Executive’s employment is terminated by the Company without Cause or the Executive voluntarily resigns for Good Reason, in either case beginning sixty (60) days preceding the date of an event constituting a Change in Control and ending on the second anniversary of the date of the event constituting such Change in Control, then, subject to the Executive’s continued compliance with the obligations set forth in the Executive’s Confidentiality and Inventions Agreement and the Executive’s signing and not revoking a separation agreement and release of claims, the Executive would be entitled to certain benefits summarized in the table below. These benefits include: A lump sum payment equal to a Multiplier factor multiplied by the Executive’s annual base salary; a lump sum payment equal to a Multiplier factor multiplied by the Executive’s target bonus amount in the year of termination; a lump sum payment equal to the pro-rated portion of Executive’s target bonus amount for the fiscal year in which the termination date occurs; reimbursement for the Executive’s COBRA continuation premiums for the Premium Payment Period; and all of Executive’s then unvested awards relating to the Company’s common stock or equivalent equity awards as assumed, continued or substituted for by an Acquiror, whether stock options, shares of restricted stock, restricted stock units, performance share units, or otherwise, outstanding as of the Termination Date would become vested in full.</w:t>
      </w:r>
    </w:p>
    <w:p>
      <w:pPr>
        <w:spacing w:after="0" w:line="182"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Capitalized terms as used in the preceding two paragraphs and following paragraph are defined in the Executive Agreements. The Executive Agreements have a three (3) year Initial Term and will be automatically extended for successive two (2) year periods, unless either party has delivered written notice to the other party no later than six (6) months prior to the completion of the then effective Term that the Executive Agreement will not be extended.</w:t>
      </w:r>
    </w:p>
    <w:p>
      <w:pPr>
        <w:spacing w:after="0" w:line="149"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payments and benefits payable under these arrangements in the event of a change in control of Cohu are subject to a “double trigger,” meaning that both a change in control of Cohu and a subsequent involuntary termination of employment without Cause or voluntary resignation for Good Reason are required. In other words, the change in control of Cohu does not by itself trigger any payments or benefits; rather, payments and benefits are paid only if the employment of Dr. Müller and Messrs. Jones, Bohrson, Kampfer and Lawee are subsequently terminated without “cause” or they resign for “good reason” during a specified period following the change in control. We believe that a “double trigger” arrangement maximizes stockholder value because it prevents an unintended windfall to these executive officers in the event of a change in control of Cohu, while still providing them appropriate incentives to cooperate in negotiating a transaction involving a potential change in control of Cohu in which they believe they may lose their jobs.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16"/>
        </w:trPr>
        <w:tc>
          <w:tcPr>
            <w:tcW w:w="3800" w:type="dxa"/>
            <w:vAlign w:val="bottom"/>
            <w:tcBorders>
              <w:bottom w:val="single" w:sz="8" w:color="2D53A6"/>
              <w:right w:val="single" w:sz="8" w:color="auto"/>
            </w:tcBorders>
            <w:vMerge w:val="restart"/>
            <w:shd w:val="clear" w:color="auto" w:fill="2D53A6"/>
          </w:tcPr>
          <w:p>
            <w:pPr>
              <w:spacing w:after="0"/>
              <w:rPr>
                <w:sz w:val="20"/>
                <w:szCs w:val="20"/>
                <w:color w:val="auto"/>
              </w:rPr>
            </w:pPr>
            <w:r>
              <w:rPr>
                <w:rFonts w:ascii="Arial" w:cs="Arial" w:eastAsia="Arial" w:hAnsi="Arial"/>
                <w:sz w:val="18"/>
                <w:szCs w:val="18"/>
                <w:b w:val="1"/>
                <w:bCs w:val="1"/>
                <w:color w:val="FFFFFF"/>
              </w:rPr>
              <w:t>Named Executive Officer</w:t>
            </w:r>
          </w:p>
        </w:tc>
        <w:tc>
          <w:tcPr>
            <w:tcW w:w="3780" w:type="dxa"/>
            <w:vAlign w:val="bottom"/>
            <w:tcBorders>
              <w:bottom w:val="single" w:sz="8" w:color="auto"/>
              <w:right w:val="single" w:sz="8" w:color="auto"/>
            </w:tcBorders>
            <w:gridSpan w:val="2"/>
            <w:shd w:val="clear" w:color="auto" w:fill="2D53A6"/>
          </w:tcPr>
          <w:p>
            <w:pPr>
              <w:ind w:left="1040"/>
              <w:spacing w:after="0"/>
              <w:rPr>
                <w:sz w:val="20"/>
                <w:szCs w:val="20"/>
                <w:color w:val="auto"/>
              </w:rPr>
            </w:pPr>
            <w:r>
              <w:rPr>
                <w:rFonts w:ascii="Arial" w:cs="Arial" w:eastAsia="Arial" w:hAnsi="Arial"/>
                <w:sz w:val="18"/>
                <w:szCs w:val="18"/>
                <w:b w:val="1"/>
                <w:bCs w:val="1"/>
                <w:color w:val="FFFFFF"/>
              </w:rPr>
              <w:t>Severance Agreement</w:t>
            </w:r>
          </w:p>
        </w:tc>
        <w:tc>
          <w:tcPr>
            <w:tcW w:w="3660" w:type="dxa"/>
            <w:vAlign w:val="bottom"/>
            <w:tcBorders>
              <w:bottom w:val="single" w:sz="8" w:color="auto"/>
            </w:tcBorders>
            <w:gridSpan w:val="2"/>
            <w:shd w:val="clear" w:color="auto" w:fill="2D53A6"/>
          </w:tcPr>
          <w:p>
            <w:pPr>
              <w:ind w:left="660"/>
              <w:spacing w:after="0"/>
              <w:rPr>
                <w:sz w:val="20"/>
                <w:szCs w:val="20"/>
                <w:color w:val="auto"/>
              </w:rPr>
            </w:pPr>
            <w:r>
              <w:rPr>
                <w:rFonts w:ascii="Arial" w:cs="Arial" w:eastAsia="Arial" w:hAnsi="Arial"/>
                <w:sz w:val="18"/>
                <w:szCs w:val="18"/>
                <w:b w:val="1"/>
                <w:bCs w:val="1"/>
                <w:color w:val="FFFFFF"/>
              </w:rPr>
              <w:t>Change in Control Agreement</w:t>
            </w:r>
          </w:p>
        </w:tc>
        <w:tc>
          <w:tcPr>
            <w:tcW w:w="0" w:type="dxa"/>
            <w:vAlign w:val="bottom"/>
          </w:tcPr>
          <w:p>
            <w:pPr>
              <w:spacing w:after="0"/>
              <w:rPr>
                <w:sz w:val="1"/>
                <w:szCs w:val="1"/>
                <w:color w:val="auto"/>
              </w:rPr>
            </w:pPr>
          </w:p>
        </w:tc>
      </w:tr>
      <w:tr>
        <w:trPr>
          <w:trHeight w:val="191"/>
        </w:trPr>
        <w:tc>
          <w:tcPr>
            <w:tcW w:w="3800" w:type="dxa"/>
            <w:vAlign w:val="bottom"/>
            <w:tcBorders>
              <w:right w:val="single" w:sz="8" w:color="auto"/>
            </w:tcBorders>
            <w:vMerge w:val="continue"/>
            <w:shd w:val="clear" w:color="auto" w:fill="2D53A6"/>
          </w:tcPr>
          <w:p>
            <w:pPr>
              <w:spacing w:after="0"/>
              <w:rPr>
                <w:sz w:val="16"/>
                <w:szCs w:val="16"/>
                <w:color w:val="auto"/>
              </w:rPr>
            </w:pPr>
          </w:p>
        </w:tc>
        <w:tc>
          <w:tcPr>
            <w:tcW w:w="1880" w:type="dxa"/>
            <w:vAlign w:val="bottom"/>
            <w:tcBorders>
              <w:right w:val="single" w:sz="8" w:color="auto"/>
            </w:tcBorders>
            <w:shd w:val="clear" w:color="auto" w:fill="2D53A6"/>
          </w:tcPr>
          <w:p>
            <w:pPr>
              <w:spacing w:after="0"/>
              <w:rPr>
                <w:sz w:val="16"/>
                <w:szCs w:val="16"/>
                <w:color w:val="auto"/>
              </w:rPr>
            </w:pPr>
          </w:p>
        </w:tc>
        <w:tc>
          <w:tcPr>
            <w:tcW w:w="1900" w:type="dxa"/>
            <w:vAlign w:val="bottom"/>
            <w:tcBorders>
              <w:right w:val="single" w:sz="8" w:color="auto"/>
            </w:tcBorders>
            <w:shd w:val="clear" w:color="auto" w:fill="2D53A6"/>
          </w:tcPr>
          <w:p>
            <w:pPr>
              <w:jc w:val="center"/>
              <w:spacing w:after="0" w:line="191" w:lineRule="exact"/>
              <w:rPr>
                <w:sz w:val="20"/>
                <w:szCs w:val="20"/>
                <w:color w:val="auto"/>
              </w:rPr>
            </w:pPr>
            <w:r>
              <w:rPr>
                <w:rFonts w:ascii="Arial" w:cs="Arial" w:eastAsia="Arial" w:hAnsi="Arial"/>
                <w:sz w:val="18"/>
                <w:szCs w:val="18"/>
                <w:b w:val="1"/>
                <w:bCs w:val="1"/>
                <w:color w:val="FFFFFF"/>
                <w:w w:val="96"/>
              </w:rPr>
              <w:t>COBRA</w:t>
            </w:r>
          </w:p>
        </w:tc>
        <w:tc>
          <w:tcPr>
            <w:tcW w:w="1880" w:type="dxa"/>
            <w:vAlign w:val="bottom"/>
            <w:tcBorders>
              <w:right w:val="single" w:sz="8" w:color="auto"/>
            </w:tcBorders>
            <w:shd w:val="clear" w:color="auto" w:fill="2D53A6"/>
          </w:tcPr>
          <w:p>
            <w:pPr>
              <w:spacing w:after="0"/>
              <w:rPr>
                <w:sz w:val="16"/>
                <w:szCs w:val="16"/>
                <w:color w:val="auto"/>
              </w:rPr>
            </w:pPr>
          </w:p>
        </w:tc>
        <w:tc>
          <w:tcPr>
            <w:tcW w:w="1780" w:type="dxa"/>
            <w:vAlign w:val="bottom"/>
            <w:shd w:val="clear" w:color="auto" w:fill="2D53A6"/>
          </w:tcPr>
          <w:p>
            <w:pPr>
              <w:jc w:val="center"/>
              <w:spacing w:after="0" w:line="191" w:lineRule="exact"/>
              <w:rPr>
                <w:sz w:val="20"/>
                <w:szCs w:val="20"/>
                <w:color w:val="auto"/>
              </w:rPr>
            </w:pPr>
            <w:r>
              <w:rPr>
                <w:rFonts w:ascii="Arial" w:cs="Arial" w:eastAsia="Arial" w:hAnsi="Arial"/>
                <w:sz w:val="18"/>
                <w:szCs w:val="18"/>
                <w:b w:val="1"/>
                <w:bCs w:val="1"/>
                <w:color w:val="FFFFFF"/>
                <w:w w:val="96"/>
              </w:rPr>
              <w:t>COBRA</w:t>
            </w:r>
          </w:p>
        </w:tc>
        <w:tc>
          <w:tcPr>
            <w:tcW w:w="0" w:type="dxa"/>
            <w:vAlign w:val="bottom"/>
          </w:tcPr>
          <w:p>
            <w:pPr>
              <w:spacing w:after="0"/>
              <w:rPr>
                <w:sz w:val="1"/>
                <w:szCs w:val="1"/>
                <w:color w:val="auto"/>
              </w:rPr>
            </w:pPr>
          </w:p>
        </w:tc>
      </w:tr>
      <w:tr>
        <w:trPr>
          <w:trHeight w:val="216"/>
        </w:trPr>
        <w:tc>
          <w:tcPr>
            <w:tcW w:w="3800" w:type="dxa"/>
            <w:vAlign w:val="bottom"/>
            <w:tcBorders>
              <w:right w:val="single" w:sz="8" w:color="auto"/>
            </w:tcBorders>
            <w:shd w:val="clear" w:color="auto" w:fill="2D53A6"/>
          </w:tcPr>
          <w:p>
            <w:pPr>
              <w:spacing w:after="0"/>
              <w:rPr>
                <w:sz w:val="18"/>
                <w:szCs w:val="18"/>
                <w:color w:val="auto"/>
              </w:rPr>
            </w:pPr>
          </w:p>
        </w:tc>
        <w:tc>
          <w:tcPr>
            <w:tcW w:w="1880" w:type="dxa"/>
            <w:vAlign w:val="bottom"/>
            <w:tcBorders>
              <w:right w:val="single" w:sz="8" w:color="auto"/>
            </w:tcBorders>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97"/>
              </w:rPr>
              <w:t>Multiplier</w:t>
            </w:r>
          </w:p>
        </w:tc>
        <w:tc>
          <w:tcPr>
            <w:tcW w:w="1900" w:type="dxa"/>
            <w:vAlign w:val="bottom"/>
            <w:tcBorders>
              <w:right w:val="single" w:sz="8" w:color="auto"/>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3"/>
              </w:rPr>
              <w:t>Premium</w:t>
            </w:r>
          </w:p>
        </w:tc>
        <w:tc>
          <w:tcPr>
            <w:tcW w:w="1880" w:type="dxa"/>
            <w:vAlign w:val="bottom"/>
            <w:tcBorders>
              <w:right w:val="single" w:sz="8" w:color="auto"/>
            </w:tcBorders>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99"/>
              </w:rPr>
              <w:t>Multiplier</w:t>
            </w:r>
          </w:p>
        </w:tc>
        <w:tc>
          <w:tcPr>
            <w:tcW w:w="1780" w:type="dxa"/>
            <w:vAlign w:val="bottom"/>
            <w:shd w:val="clear" w:color="auto" w:fill="2D53A6"/>
          </w:tcPr>
          <w:p>
            <w:pPr>
              <w:jc w:val="center"/>
              <w:spacing w:after="0"/>
              <w:rPr>
                <w:sz w:val="20"/>
                <w:szCs w:val="20"/>
                <w:color w:val="auto"/>
              </w:rPr>
            </w:pPr>
            <w:r>
              <w:rPr>
                <w:rFonts w:ascii="Arial" w:cs="Arial" w:eastAsia="Arial" w:hAnsi="Arial"/>
                <w:sz w:val="18"/>
                <w:szCs w:val="18"/>
                <w:b w:val="1"/>
                <w:bCs w:val="1"/>
                <w:color w:val="FFFFFF"/>
                <w:w w:val="93"/>
              </w:rPr>
              <w:t>Premium</w:t>
            </w:r>
          </w:p>
        </w:tc>
        <w:tc>
          <w:tcPr>
            <w:tcW w:w="0" w:type="dxa"/>
            <w:vAlign w:val="bottom"/>
          </w:tcPr>
          <w:p>
            <w:pPr>
              <w:spacing w:after="0"/>
              <w:rPr>
                <w:sz w:val="1"/>
                <w:szCs w:val="1"/>
                <w:color w:val="auto"/>
              </w:rPr>
            </w:pPr>
          </w:p>
        </w:tc>
      </w:tr>
      <w:tr>
        <w:trPr>
          <w:trHeight w:val="126"/>
        </w:trPr>
        <w:tc>
          <w:tcPr>
            <w:tcW w:w="3800" w:type="dxa"/>
            <w:vAlign w:val="bottom"/>
            <w:tcBorders>
              <w:right w:val="single" w:sz="8" w:color="auto"/>
            </w:tcBorders>
            <w:shd w:val="clear" w:color="auto" w:fill="2D53A6"/>
          </w:tcPr>
          <w:p>
            <w:pPr>
              <w:spacing w:after="0"/>
              <w:rPr>
                <w:sz w:val="10"/>
                <w:szCs w:val="10"/>
                <w:color w:val="auto"/>
              </w:rPr>
            </w:pPr>
          </w:p>
        </w:tc>
        <w:tc>
          <w:tcPr>
            <w:tcW w:w="1880" w:type="dxa"/>
            <w:vAlign w:val="bottom"/>
            <w:tcBorders>
              <w:right w:val="single" w:sz="8" w:color="auto"/>
            </w:tcBorders>
            <w:vMerge w:val="continue"/>
            <w:shd w:val="clear" w:color="auto" w:fill="2D53A6"/>
          </w:tcPr>
          <w:p>
            <w:pPr>
              <w:spacing w:after="0"/>
              <w:rPr>
                <w:sz w:val="10"/>
                <w:szCs w:val="10"/>
                <w:color w:val="auto"/>
              </w:rPr>
            </w:pPr>
          </w:p>
        </w:tc>
        <w:tc>
          <w:tcPr>
            <w:tcW w:w="1900" w:type="dxa"/>
            <w:vAlign w:val="bottom"/>
            <w:tcBorders>
              <w:right w:val="single" w:sz="8" w:color="auto"/>
            </w:tcBorders>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90"/>
              </w:rPr>
              <w:t>Payment</w:t>
            </w:r>
          </w:p>
        </w:tc>
        <w:tc>
          <w:tcPr>
            <w:tcW w:w="1880" w:type="dxa"/>
            <w:vAlign w:val="bottom"/>
            <w:tcBorders>
              <w:right w:val="single" w:sz="8" w:color="auto"/>
            </w:tcBorders>
            <w:vMerge w:val="continue"/>
            <w:shd w:val="clear" w:color="auto" w:fill="2D53A6"/>
          </w:tcPr>
          <w:p>
            <w:pPr>
              <w:spacing w:after="0"/>
              <w:rPr>
                <w:sz w:val="10"/>
                <w:szCs w:val="10"/>
                <w:color w:val="auto"/>
              </w:rPr>
            </w:pPr>
          </w:p>
        </w:tc>
        <w:tc>
          <w:tcPr>
            <w:tcW w:w="1780" w:type="dxa"/>
            <w:vAlign w:val="bottom"/>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90"/>
              </w:rPr>
              <w:t>Payment</w:t>
            </w:r>
          </w:p>
        </w:tc>
        <w:tc>
          <w:tcPr>
            <w:tcW w:w="0" w:type="dxa"/>
            <w:vAlign w:val="bottom"/>
          </w:tcPr>
          <w:p>
            <w:pPr>
              <w:spacing w:after="0"/>
              <w:rPr>
                <w:sz w:val="1"/>
                <w:szCs w:val="1"/>
                <w:color w:val="auto"/>
              </w:rPr>
            </w:pPr>
          </w:p>
        </w:tc>
      </w:tr>
      <w:tr>
        <w:trPr>
          <w:trHeight w:val="90"/>
        </w:trPr>
        <w:tc>
          <w:tcPr>
            <w:tcW w:w="3800" w:type="dxa"/>
            <w:vAlign w:val="bottom"/>
            <w:tcBorders>
              <w:right w:val="single" w:sz="8" w:color="auto"/>
            </w:tcBorders>
            <w:shd w:val="clear" w:color="auto" w:fill="2D53A6"/>
          </w:tcPr>
          <w:p>
            <w:pPr>
              <w:spacing w:after="0"/>
              <w:rPr>
                <w:sz w:val="7"/>
                <w:szCs w:val="7"/>
                <w:color w:val="auto"/>
              </w:rPr>
            </w:pPr>
          </w:p>
        </w:tc>
        <w:tc>
          <w:tcPr>
            <w:tcW w:w="1880" w:type="dxa"/>
            <w:vAlign w:val="bottom"/>
            <w:tcBorders>
              <w:right w:val="single" w:sz="8" w:color="auto"/>
            </w:tcBorders>
            <w:shd w:val="clear" w:color="auto" w:fill="2D53A6"/>
          </w:tcPr>
          <w:p>
            <w:pPr>
              <w:spacing w:after="0"/>
              <w:rPr>
                <w:sz w:val="7"/>
                <w:szCs w:val="7"/>
                <w:color w:val="auto"/>
              </w:rPr>
            </w:pPr>
          </w:p>
        </w:tc>
        <w:tc>
          <w:tcPr>
            <w:tcW w:w="1900" w:type="dxa"/>
            <w:vAlign w:val="bottom"/>
            <w:tcBorders>
              <w:right w:val="single" w:sz="8" w:color="auto"/>
            </w:tcBorders>
            <w:vMerge w:val="continue"/>
            <w:shd w:val="clear" w:color="auto" w:fill="2D53A6"/>
          </w:tcPr>
          <w:p>
            <w:pPr>
              <w:spacing w:after="0"/>
              <w:rPr>
                <w:sz w:val="7"/>
                <w:szCs w:val="7"/>
                <w:color w:val="auto"/>
              </w:rPr>
            </w:pPr>
          </w:p>
        </w:tc>
        <w:tc>
          <w:tcPr>
            <w:tcW w:w="1880" w:type="dxa"/>
            <w:vAlign w:val="bottom"/>
            <w:tcBorders>
              <w:right w:val="single" w:sz="8" w:color="auto"/>
            </w:tcBorders>
            <w:shd w:val="clear" w:color="auto" w:fill="2D53A6"/>
          </w:tcPr>
          <w:p>
            <w:pPr>
              <w:spacing w:after="0"/>
              <w:rPr>
                <w:sz w:val="7"/>
                <w:szCs w:val="7"/>
                <w:color w:val="auto"/>
              </w:rPr>
            </w:pPr>
          </w:p>
        </w:tc>
        <w:tc>
          <w:tcPr>
            <w:tcW w:w="1780" w:type="dxa"/>
            <w:vAlign w:val="bottom"/>
            <w:vMerge w:val="continue"/>
            <w:shd w:val="clear" w:color="auto" w:fill="2D53A6"/>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3800" w:type="dxa"/>
            <w:vAlign w:val="bottom"/>
            <w:tcBorders>
              <w:bottom w:val="single" w:sz="8" w:color="auto"/>
              <w:right w:val="single" w:sz="8" w:color="auto"/>
            </w:tcBorders>
            <w:shd w:val="clear" w:color="auto" w:fill="2D53A6"/>
          </w:tcPr>
          <w:p>
            <w:pPr>
              <w:spacing w:after="0"/>
              <w:rPr>
                <w:sz w:val="20"/>
                <w:szCs w:val="20"/>
                <w:color w:val="auto"/>
              </w:rPr>
            </w:pPr>
          </w:p>
        </w:tc>
        <w:tc>
          <w:tcPr>
            <w:tcW w:w="1880" w:type="dxa"/>
            <w:vAlign w:val="bottom"/>
            <w:tcBorders>
              <w:bottom w:val="single" w:sz="8" w:color="auto"/>
              <w:right w:val="single" w:sz="8" w:color="auto"/>
            </w:tcBorders>
            <w:shd w:val="clear" w:color="auto" w:fill="2D53A6"/>
          </w:tcPr>
          <w:p>
            <w:pPr>
              <w:spacing w:after="0"/>
              <w:rPr>
                <w:sz w:val="20"/>
                <w:szCs w:val="20"/>
                <w:color w:val="auto"/>
              </w:rPr>
            </w:pPr>
          </w:p>
        </w:tc>
        <w:tc>
          <w:tcPr>
            <w:tcW w:w="1900" w:type="dxa"/>
            <w:vAlign w:val="bottom"/>
            <w:tcBorders>
              <w:bottom w:val="single" w:sz="8" w:color="auto"/>
              <w:right w:val="single" w:sz="8" w:color="auto"/>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2"/>
              </w:rPr>
              <w:t>Period</w:t>
            </w:r>
          </w:p>
        </w:tc>
        <w:tc>
          <w:tcPr>
            <w:tcW w:w="1880" w:type="dxa"/>
            <w:vAlign w:val="bottom"/>
            <w:tcBorders>
              <w:bottom w:val="single" w:sz="8" w:color="auto"/>
              <w:right w:val="single" w:sz="8" w:color="auto"/>
            </w:tcBorders>
            <w:shd w:val="clear" w:color="auto" w:fill="2D53A6"/>
          </w:tcPr>
          <w:p>
            <w:pPr>
              <w:spacing w:after="0"/>
              <w:rPr>
                <w:sz w:val="20"/>
                <w:szCs w:val="20"/>
                <w:color w:val="auto"/>
              </w:rPr>
            </w:pPr>
          </w:p>
        </w:tc>
        <w:tc>
          <w:tcPr>
            <w:tcW w:w="1780" w:type="dxa"/>
            <w:vAlign w:val="bottom"/>
            <w:tcBorders>
              <w:bottom w:val="single" w:sz="8" w:color="auto"/>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2"/>
              </w:rPr>
              <w:t>Period</w:t>
            </w:r>
          </w:p>
        </w:tc>
        <w:tc>
          <w:tcPr>
            <w:tcW w:w="0" w:type="dxa"/>
            <w:vAlign w:val="bottom"/>
          </w:tcPr>
          <w:p>
            <w:pPr>
              <w:spacing w:after="0"/>
              <w:rPr>
                <w:sz w:val="1"/>
                <w:szCs w:val="1"/>
                <w:color w:val="auto"/>
              </w:rPr>
            </w:pPr>
          </w:p>
        </w:tc>
      </w:tr>
      <w:tr>
        <w:trPr>
          <w:trHeight w:val="210"/>
        </w:trPr>
        <w:tc>
          <w:tcPr>
            <w:tcW w:w="3800" w:type="dxa"/>
            <w:vAlign w:val="bottom"/>
            <w:tcBorders>
              <w:bottom w:val="single" w:sz="8" w:color="2D53A6"/>
              <w:right w:val="single" w:sz="8" w:color="2D53A6"/>
            </w:tcBorders>
          </w:tcPr>
          <w:p>
            <w:pPr>
              <w:spacing w:after="0"/>
              <w:rPr>
                <w:sz w:val="20"/>
                <w:szCs w:val="20"/>
                <w:color w:val="auto"/>
              </w:rPr>
            </w:pPr>
            <w:r>
              <w:rPr>
                <w:rFonts w:ascii="Arial" w:cs="Arial" w:eastAsia="Arial" w:hAnsi="Arial"/>
                <w:sz w:val="18"/>
                <w:szCs w:val="18"/>
                <w:color w:val="auto"/>
              </w:rPr>
              <w:t>Luis A. Müller</w:t>
            </w:r>
          </w:p>
        </w:tc>
        <w:tc>
          <w:tcPr>
            <w:tcW w:w="188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1"/>
              </w:rPr>
              <w:t>150%</w:t>
            </w:r>
          </w:p>
        </w:tc>
        <w:tc>
          <w:tcPr>
            <w:tcW w:w="190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0"/>
              </w:rPr>
              <w:t>18 months</w:t>
            </w:r>
          </w:p>
        </w:tc>
        <w:tc>
          <w:tcPr>
            <w:tcW w:w="188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1"/>
              </w:rPr>
              <w:t>200%</w:t>
            </w:r>
          </w:p>
        </w:tc>
        <w:tc>
          <w:tcPr>
            <w:tcW w:w="1780" w:type="dxa"/>
            <w:vAlign w:val="bottom"/>
            <w:tcBorders>
              <w:bottom w:val="single" w:sz="8" w:color="2D53A6"/>
            </w:tcBorders>
          </w:tcPr>
          <w:p>
            <w:pPr>
              <w:jc w:val="center"/>
              <w:spacing w:after="0"/>
              <w:rPr>
                <w:sz w:val="20"/>
                <w:szCs w:val="20"/>
                <w:color w:val="auto"/>
              </w:rPr>
            </w:pPr>
            <w:r>
              <w:rPr>
                <w:rFonts w:ascii="Arial" w:cs="Arial" w:eastAsia="Arial" w:hAnsi="Arial"/>
                <w:sz w:val="18"/>
                <w:szCs w:val="18"/>
                <w:color w:val="auto"/>
                <w:w w:val="90"/>
              </w:rPr>
              <w:t>24 months</w:t>
            </w:r>
          </w:p>
        </w:tc>
        <w:tc>
          <w:tcPr>
            <w:tcW w:w="0" w:type="dxa"/>
            <w:vAlign w:val="bottom"/>
          </w:tcPr>
          <w:p>
            <w:pPr>
              <w:spacing w:after="0"/>
              <w:rPr>
                <w:sz w:val="1"/>
                <w:szCs w:val="1"/>
                <w:color w:val="auto"/>
              </w:rPr>
            </w:pPr>
          </w:p>
        </w:tc>
      </w:tr>
      <w:tr>
        <w:trPr>
          <w:trHeight w:val="209"/>
        </w:trPr>
        <w:tc>
          <w:tcPr>
            <w:tcW w:w="3800" w:type="dxa"/>
            <w:vAlign w:val="bottom"/>
            <w:tcBorders>
              <w:bottom w:val="single" w:sz="8" w:color="2D53A6"/>
              <w:right w:val="single" w:sz="8" w:color="2D53A6"/>
            </w:tcBorders>
            <w:shd w:val="clear" w:color="auto" w:fill="E6E6E6"/>
          </w:tcPr>
          <w:p>
            <w:pPr>
              <w:spacing w:after="0"/>
              <w:rPr>
                <w:sz w:val="20"/>
                <w:szCs w:val="20"/>
                <w:color w:val="auto"/>
              </w:rPr>
            </w:pPr>
            <w:r>
              <w:rPr>
                <w:rFonts w:ascii="Arial" w:cs="Arial" w:eastAsia="Arial" w:hAnsi="Arial"/>
                <w:sz w:val="18"/>
                <w:szCs w:val="18"/>
                <w:color w:val="auto"/>
              </w:rPr>
              <w:t>Jeffrey D. Jones</w:t>
            </w:r>
          </w:p>
        </w:tc>
        <w:tc>
          <w:tcPr>
            <w:tcW w:w="188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1"/>
              </w:rPr>
              <w:t>100%</w:t>
            </w:r>
          </w:p>
        </w:tc>
        <w:tc>
          <w:tcPr>
            <w:tcW w:w="190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0"/>
              </w:rPr>
              <w:t>12 months</w:t>
            </w:r>
          </w:p>
        </w:tc>
        <w:tc>
          <w:tcPr>
            <w:tcW w:w="188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1"/>
              </w:rPr>
              <w:t>150%</w:t>
            </w:r>
          </w:p>
        </w:tc>
        <w:tc>
          <w:tcPr>
            <w:tcW w:w="1780" w:type="dxa"/>
            <w:vAlign w:val="bottom"/>
            <w:tcBorders>
              <w:bottom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0"/>
              </w:rPr>
              <w:t>18 months</w:t>
            </w:r>
          </w:p>
        </w:tc>
        <w:tc>
          <w:tcPr>
            <w:tcW w:w="0" w:type="dxa"/>
            <w:vAlign w:val="bottom"/>
          </w:tcPr>
          <w:p>
            <w:pPr>
              <w:spacing w:after="0"/>
              <w:rPr>
                <w:sz w:val="1"/>
                <w:szCs w:val="1"/>
                <w:color w:val="auto"/>
              </w:rPr>
            </w:pPr>
          </w:p>
        </w:tc>
      </w:tr>
      <w:tr>
        <w:trPr>
          <w:trHeight w:val="209"/>
        </w:trPr>
        <w:tc>
          <w:tcPr>
            <w:tcW w:w="3800" w:type="dxa"/>
            <w:vAlign w:val="bottom"/>
            <w:tcBorders>
              <w:bottom w:val="single" w:sz="8" w:color="2D53A6"/>
              <w:right w:val="single" w:sz="8" w:color="2D53A6"/>
            </w:tcBorders>
          </w:tcPr>
          <w:p>
            <w:pPr>
              <w:spacing w:after="0"/>
              <w:rPr>
                <w:sz w:val="20"/>
                <w:szCs w:val="20"/>
                <w:color w:val="auto"/>
              </w:rPr>
            </w:pPr>
            <w:r>
              <w:rPr>
                <w:rFonts w:ascii="Arial" w:cs="Arial" w:eastAsia="Arial" w:hAnsi="Arial"/>
                <w:sz w:val="18"/>
                <w:szCs w:val="18"/>
                <w:color w:val="auto"/>
              </w:rPr>
              <w:t>Christopher G. Bohrson</w:t>
            </w:r>
          </w:p>
        </w:tc>
        <w:tc>
          <w:tcPr>
            <w:tcW w:w="188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1"/>
              </w:rPr>
              <w:t>100%</w:t>
            </w:r>
          </w:p>
        </w:tc>
        <w:tc>
          <w:tcPr>
            <w:tcW w:w="190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0"/>
              </w:rPr>
              <w:t>12 months</w:t>
            </w:r>
          </w:p>
        </w:tc>
        <w:tc>
          <w:tcPr>
            <w:tcW w:w="188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1"/>
              </w:rPr>
              <w:t>150%</w:t>
            </w:r>
          </w:p>
        </w:tc>
        <w:tc>
          <w:tcPr>
            <w:tcW w:w="1780" w:type="dxa"/>
            <w:vAlign w:val="bottom"/>
            <w:tcBorders>
              <w:bottom w:val="single" w:sz="8" w:color="2D53A6"/>
            </w:tcBorders>
          </w:tcPr>
          <w:p>
            <w:pPr>
              <w:jc w:val="center"/>
              <w:spacing w:after="0"/>
              <w:rPr>
                <w:sz w:val="20"/>
                <w:szCs w:val="20"/>
                <w:color w:val="auto"/>
              </w:rPr>
            </w:pPr>
            <w:r>
              <w:rPr>
                <w:rFonts w:ascii="Arial" w:cs="Arial" w:eastAsia="Arial" w:hAnsi="Arial"/>
                <w:sz w:val="18"/>
                <w:szCs w:val="18"/>
                <w:color w:val="auto"/>
                <w:w w:val="90"/>
              </w:rPr>
              <w:t>18 months</w:t>
            </w:r>
          </w:p>
        </w:tc>
        <w:tc>
          <w:tcPr>
            <w:tcW w:w="0" w:type="dxa"/>
            <w:vAlign w:val="bottom"/>
          </w:tcPr>
          <w:p>
            <w:pPr>
              <w:spacing w:after="0"/>
              <w:rPr>
                <w:sz w:val="1"/>
                <w:szCs w:val="1"/>
                <w:color w:val="auto"/>
              </w:rPr>
            </w:pPr>
          </w:p>
        </w:tc>
      </w:tr>
      <w:tr>
        <w:trPr>
          <w:trHeight w:val="210"/>
        </w:trPr>
        <w:tc>
          <w:tcPr>
            <w:tcW w:w="3800" w:type="dxa"/>
            <w:vAlign w:val="bottom"/>
            <w:tcBorders>
              <w:bottom w:val="single" w:sz="8" w:color="2D53A6"/>
              <w:right w:val="single" w:sz="8" w:color="2D53A6"/>
            </w:tcBorders>
            <w:shd w:val="clear" w:color="auto" w:fill="E6E6E6"/>
          </w:tcPr>
          <w:p>
            <w:pPr>
              <w:spacing w:after="0"/>
              <w:rPr>
                <w:sz w:val="20"/>
                <w:szCs w:val="20"/>
                <w:color w:val="auto"/>
              </w:rPr>
            </w:pPr>
            <w:r>
              <w:rPr>
                <w:rFonts w:ascii="Arial" w:cs="Arial" w:eastAsia="Arial" w:hAnsi="Arial"/>
                <w:sz w:val="18"/>
                <w:szCs w:val="18"/>
                <w:color w:val="auto"/>
              </w:rPr>
              <w:t>Thomas D. Kampfer</w:t>
            </w:r>
          </w:p>
        </w:tc>
        <w:tc>
          <w:tcPr>
            <w:tcW w:w="188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1"/>
              </w:rPr>
              <w:t>100%</w:t>
            </w:r>
          </w:p>
        </w:tc>
        <w:tc>
          <w:tcPr>
            <w:tcW w:w="190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0"/>
              </w:rPr>
              <w:t>12 months</w:t>
            </w:r>
          </w:p>
        </w:tc>
        <w:tc>
          <w:tcPr>
            <w:tcW w:w="188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1"/>
              </w:rPr>
              <w:t>150%</w:t>
            </w:r>
          </w:p>
        </w:tc>
        <w:tc>
          <w:tcPr>
            <w:tcW w:w="1780" w:type="dxa"/>
            <w:vAlign w:val="bottom"/>
            <w:tcBorders>
              <w:bottom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0"/>
              </w:rPr>
              <w:t>18 months</w:t>
            </w:r>
          </w:p>
        </w:tc>
        <w:tc>
          <w:tcPr>
            <w:tcW w:w="0" w:type="dxa"/>
            <w:vAlign w:val="bottom"/>
          </w:tcPr>
          <w:p>
            <w:pPr>
              <w:spacing w:after="0"/>
              <w:rPr>
                <w:sz w:val="1"/>
                <w:szCs w:val="1"/>
                <w:color w:val="auto"/>
              </w:rPr>
            </w:pPr>
          </w:p>
        </w:tc>
      </w:tr>
      <w:tr>
        <w:trPr>
          <w:trHeight w:val="209"/>
        </w:trPr>
        <w:tc>
          <w:tcPr>
            <w:tcW w:w="3800" w:type="dxa"/>
            <w:vAlign w:val="bottom"/>
            <w:tcBorders>
              <w:bottom w:val="single" w:sz="8" w:color="2D53A6"/>
              <w:right w:val="single" w:sz="8" w:color="2D53A6"/>
            </w:tcBorders>
          </w:tcPr>
          <w:p>
            <w:pPr>
              <w:spacing w:after="0"/>
              <w:rPr>
                <w:sz w:val="20"/>
                <w:szCs w:val="20"/>
                <w:color w:val="auto"/>
              </w:rPr>
            </w:pPr>
            <w:r>
              <w:rPr>
                <w:rFonts w:ascii="Arial" w:cs="Arial" w:eastAsia="Arial" w:hAnsi="Arial"/>
                <w:sz w:val="18"/>
                <w:szCs w:val="18"/>
                <w:color w:val="auto"/>
              </w:rPr>
              <w:t>Ian P. Lawee</w:t>
            </w:r>
          </w:p>
        </w:tc>
        <w:tc>
          <w:tcPr>
            <w:tcW w:w="188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1"/>
              </w:rPr>
              <w:t>100%</w:t>
            </w:r>
          </w:p>
        </w:tc>
        <w:tc>
          <w:tcPr>
            <w:tcW w:w="190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0"/>
              </w:rPr>
              <w:t>12 months</w:t>
            </w:r>
          </w:p>
        </w:tc>
        <w:tc>
          <w:tcPr>
            <w:tcW w:w="188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1"/>
              </w:rPr>
              <w:t>150%</w:t>
            </w:r>
          </w:p>
        </w:tc>
        <w:tc>
          <w:tcPr>
            <w:tcW w:w="1780" w:type="dxa"/>
            <w:vAlign w:val="bottom"/>
            <w:tcBorders>
              <w:bottom w:val="single" w:sz="8" w:color="2D53A6"/>
            </w:tcBorders>
          </w:tcPr>
          <w:p>
            <w:pPr>
              <w:jc w:val="center"/>
              <w:spacing w:after="0"/>
              <w:rPr>
                <w:sz w:val="20"/>
                <w:szCs w:val="20"/>
                <w:color w:val="auto"/>
              </w:rPr>
            </w:pPr>
            <w:r>
              <w:rPr>
                <w:rFonts w:ascii="Arial" w:cs="Arial" w:eastAsia="Arial" w:hAnsi="Arial"/>
                <w:sz w:val="18"/>
                <w:szCs w:val="18"/>
                <w:color w:val="auto"/>
                <w:w w:val="90"/>
              </w:rPr>
              <w:t>18 months</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post-employment payments and benefits which our NEOs are eligible to receive are described in more detail in “Potential Payments upon Termination or Change in Control” below.</w:t>
      </w:r>
    </w:p>
    <w:p>
      <w:pPr>
        <w:spacing w:after="0" w:line="170"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We believe providing these arrangements help us compete for and retain executive talent. After reviewing the practices of companies represented in the compensation peer group, we believe that these arrangements are generally comparable with the severance packages offered to executives by the companies in the compensation peer group.</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2D53A6"/>
        </w:rPr>
        <w:t>Other Compensation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Ownership Policy</w:t>
      </w:r>
    </w:p>
    <w:p>
      <w:pPr>
        <w:spacing w:after="0" w:line="225"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We believe that stock ownership by our executive officers is important to link the risks and rewards inherent in stock ownership of these individuals and our stockholders. The Compensation Committee has adopted a stock ownership policy that requires our executive officers to own a minimum number of shares of our common stock. These mandatory ownership levels are intended to create a clear standard that ties a portion of these individuals’ net worth to the performance of our stock price. The policy provides that over the five-year period commencing with their appointment or employment as an executive officer or over a three-year period following an increase in their annual base salary or a new ownership level being approved, these individuals must accumulate and hold shares of our common stock having the following values: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640" w:type="dxa"/>
            <w:vAlign w:val="bottom"/>
            <w:tcBorders>
              <w:right w:val="single" w:sz="8" w:color="2D53A6"/>
            </w:tcBorders>
            <w:shd w:val="clear" w:color="auto" w:fill="2D53A6"/>
          </w:tcPr>
          <w:p>
            <w:pPr>
              <w:spacing w:after="0"/>
              <w:rPr>
                <w:sz w:val="20"/>
                <w:szCs w:val="20"/>
                <w:color w:val="auto"/>
              </w:rPr>
            </w:pPr>
            <w:r>
              <w:rPr>
                <w:rFonts w:ascii="Arial" w:cs="Arial" w:eastAsia="Arial" w:hAnsi="Arial"/>
                <w:sz w:val="18"/>
                <w:szCs w:val="18"/>
                <w:b w:val="1"/>
                <w:bCs w:val="1"/>
                <w:color w:val="FFFFFF"/>
              </w:rPr>
              <w:t>Individual Subject to Stock Ownership Policy</w:t>
            </w:r>
          </w:p>
        </w:tc>
        <w:tc>
          <w:tcPr>
            <w:tcW w:w="5600" w:type="dxa"/>
            <w:vAlign w:val="bottom"/>
            <w:shd w:val="clear" w:color="auto" w:fill="2D53A6"/>
          </w:tcPr>
          <w:p>
            <w:pPr>
              <w:spacing w:after="0"/>
              <w:rPr>
                <w:sz w:val="20"/>
                <w:szCs w:val="20"/>
                <w:color w:val="auto"/>
              </w:rPr>
            </w:pPr>
            <w:r>
              <w:rPr>
                <w:rFonts w:ascii="Arial" w:cs="Arial" w:eastAsia="Arial" w:hAnsi="Arial"/>
                <w:sz w:val="18"/>
                <w:szCs w:val="18"/>
                <w:b w:val="1"/>
                <w:bCs w:val="1"/>
                <w:color w:val="FFFFFF"/>
              </w:rPr>
              <w:t>Minimum Required Level of Stock Ownership</w:t>
            </w:r>
          </w:p>
        </w:tc>
      </w:tr>
      <w:tr>
        <w:trPr>
          <w:trHeight w:val="216"/>
        </w:trPr>
        <w:tc>
          <w:tcPr>
            <w:tcW w:w="5640" w:type="dxa"/>
            <w:vAlign w:val="bottom"/>
            <w:tcBorders>
              <w:bottom w:val="single" w:sz="8" w:color="2D53A6"/>
              <w:right w:val="single" w:sz="8" w:color="2D53A6"/>
            </w:tcBorders>
          </w:tcPr>
          <w:p>
            <w:pPr>
              <w:spacing w:after="0"/>
              <w:rPr>
                <w:sz w:val="20"/>
                <w:szCs w:val="20"/>
                <w:color w:val="auto"/>
              </w:rPr>
            </w:pPr>
            <w:r>
              <w:rPr>
                <w:rFonts w:ascii="Arial" w:cs="Arial" w:eastAsia="Arial" w:hAnsi="Arial"/>
                <w:sz w:val="18"/>
                <w:szCs w:val="18"/>
                <w:color w:val="auto"/>
              </w:rPr>
              <w:t>Chief Executive Officer</w:t>
            </w:r>
          </w:p>
        </w:tc>
        <w:tc>
          <w:tcPr>
            <w:tcW w:w="5600" w:type="dxa"/>
            <w:vAlign w:val="bottom"/>
            <w:tcBorders>
              <w:bottom w:val="single" w:sz="8" w:color="2D53A6"/>
            </w:tcBorders>
          </w:tcPr>
          <w:p>
            <w:pPr>
              <w:spacing w:after="0"/>
              <w:rPr>
                <w:sz w:val="20"/>
                <w:szCs w:val="20"/>
                <w:color w:val="auto"/>
              </w:rPr>
            </w:pPr>
            <w:r>
              <w:rPr>
                <w:rFonts w:ascii="Arial" w:cs="Arial" w:eastAsia="Arial" w:hAnsi="Arial"/>
                <w:sz w:val="18"/>
                <w:szCs w:val="18"/>
                <w:color w:val="auto"/>
              </w:rPr>
              <w:t>Three times annual base salary</w:t>
            </w:r>
          </w:p>
        </w:tc>
      </w:tr>
      <w:tr>
        <w:trPr>
          <w:trHeight w:val="209"/>
        </w:trPr>
        <w:tc>
          <w:tcPr>
            <w:tcW w:w="5640" w:type="dxa"/>
            <w:vAlign w:val="bottom"/>
            <w:tcBorders>
              <w:bottom w:val="single" w:sz="8" w:color="2D53A6"/>
              <w:right w:val="single" w:sz="8" w:color="2D53A6"/>
            </w:tcBorders>
            <w:shd w:val="clear" w:color="auto" w:fill="E6E6E6"/>
          </w:tcPr>
          <w:p>
            <w:pPr>
              <w:spacing w:after="0"/>
              <w:rPr>
                <w:sz w:val="20"/>
                <w:szCs w:val="20"/>
                <w:color w:val="auto"/>
              </w:rPr>
            </w:pPr>
            <w:r>
              <w:rPr>
                <w:rFonts w:ascii="Arial" w:cs="Arial" w:eastAsia="Arial" w:hAnsi="Arial"/>
                <w:sz w:val="18"/>
                <w:szCs w:val="18"/>
                <w:color w:val="auto"/>
              </w:rPr>
              <w:t>Chief Financial Officer</w:t>
            </w:r>
          </w:p>
        </w:tc>
        <w:tc>
          <w:tcPr>
            <w:tcW w:w="5600" w:type="dxa"/>
            <w:vAlign w:val="bottom"/>
            <w:tcBorders>
              <w:bottom w:val="single" w:sz="8" w:color="2D53A6"/>
            </w:tcBorders>
            <w:shd w:val="clear" w:color="auto" w:fill="E6E6E6"/>
          </w:tcPr>
          <w:p>
            <w:pPr>
              <w:spacing w:after="0"/>
              <w:rPr>
                <w:sz w:val="20"/>
                <w:szCs w:val="20"/>
                <w:color w:val="auto"/>
              </w:rPr>
            </w:pPr>
            <w:r>
              <w:rPr>
                <w:rFonts w:ascii="Arial" w:cs="Arial" w:eastAsia="Arial" w:hAnsi="Arial"/>
                <w:sz w:val="18"/>
                <w:szCs w:val="18"/>
                <w:color w:val="auto"/>
              </w:rPr>
              <w:t>Two times annual base salary</w:t>
            </w:r>
          </w:p>
        </w:tc>
      </w:tr>
      <w:tr>
        <w:trPr>
          <w:trHeight w:val="210"/>
        </w:trPr>
        <w:tc>
          <w:tcPr>
            <w:tcW w:w="5640" w:type="dxa"/>
            <w:vAlign w:val="bottom"/>
            <w:tcBorders>
              <w:bottom w:val="single" w:sz="8" w:color="2D53A6"/>
              <w:right w:val="single" w:sz="8" w:color="2D53A6"/>
            </w:tcBorders>
          </w:tcPr>
          <w:p>
            <w:pPr>
              <w:spacing w:after="0"/>
              <w:rPr>
                <w:sz w:val="20"/>
                <w:szCs w:val="20"/>
                <w:color w:val="auto"/>
              </w:rPr>
            </w:pPr>
            <w:r>
              <w:rPr>
                <w:rFonts w:ascii="Arial" w:cs="Arial" w:eastAsia="Arial" w:hAnsi="Arial"/>
                <w:sz w:val="18"/>
                <w:szCs w:val="18"/>
                <w:color w:val="auto"/>
              </w:rPr>
              <w:t>All other executive officers</w:t>
            </w:r>
          </w:p>
        </w:tc>
        <w:tc>
          <w:tcPr>
            <w:tcW w:w="5600" w:type="dxa"/>
            <w:vAlign w:val="bottom"/>
            <w:tcBorders>
              <w:bottom w:val="single" w:sz="8" w:color="2D53A6"/>
            </w:tcBorders>
          </w:tcPr>
          <w:p>
            <w:pPr>
              <w:spacing w:after="0"/>
              <w:rPr>
                <w:sz w:val="20"/>
                <w:szCs w:val="20"/>
                <w:color w:val="auto"/>
              </w:rPr>
            </w:pPr>
            <w:r>
              <w:rPr>
                <w:rFonts w:ascii="Arial" w:cs="Arial" w:eastAsia="Arial" w:hAnsi="Arial"/>
                <w:sz w:val="18"/>
                <w:szCs w:val="18"/>
                <w:color w:val="auto"/>
              </w:rPr>
              <w:t>One times annual base salary</w:t>
            </w:r>
          </w:p>
        </w:tc>
      </w:tr>
    </w:tbl>
    <w:p>
      <w:pPr>
        <w:spacing w:after="0" w:line="20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Under our stock ownership policy, our executive officers should not sell any shares of our common stock, other than to settle tax withholding obligations due to the vesting of shares, until the applicable ownership level has been met and, once met, subsequent sales, if any, should not reduce their ownership of our common stock below these minimum ownership levels unless approved by the Compensation Committee in advance. Vested “phantom” and deferred but unissued shares of our common stock are included as shares owned for purposes of our stock ownership policy. The Compensation Committee monitors compliance with these stock ownership levels on an annual basis using the average closing price of our common stock during the preceding fiscal year. As of December 25, 2021, each of our NEOs was compliant with the policy.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Recoupment Policy</w:t>
      </w:r>
    </w:p>
    <w:p>
      <w:pPr>
        <w:spacing w:after="0" w:line="225"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We have adopted a formal compensation recoupment (“clawback”) policy under which our Board of Directors may seek reimbursement of the amount paid, awarded or granted to any executive officer or other financial officer as designated by the Compensation Committee if, as a result of their fraud or misconduct, we restate our financial results due to our material noncompliance with any financial reporting requirements under the federal securities laws.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9" w:right="339" w:bottom="1440" w:gutter="0" w:footer="0" w:header="0"/>
        </w:sectPr>
      </w:pPr>
    </w:p>
    <w:bookmarkStart w:id="42" w:name="page43"/>
    <w:bookmarkEnd w:id="42"/>
    <w:p>
      <w:pPr>
        <w:jc w:val="both"/>
        <w:ind w:right="20"/>
        <w:spacing w:after="0" w:line="342" w:lineRule="auto"/>
        <w:rPr>
          <w:sz w:val="20"/>
          <w:szCs w:val="20"/>
          <w:color w:val="auto"/>
        </w:rPr>
      </w:pPr>
      <w:r>
        <w:rPr>
          <w:rFonts w:ascii="Arial" w:cs="Arial" w:eastAsia="Arial" w:hAnsi="Arial"/>
          <w:sz w:val="16"/>
          <w:szCs w:val="16"/>
          <w:color w:val="auto"/>
        </w:rPr>
        <w:t>In addition, we will comply with the requirements of Section 954 of the Dodd-Frank Wall Street Reform and Consumer Protection Act and will amend our compensation recoupment policy once final regulations implementing this provision have been adopted by the U.S. Securities and Exchange Commission.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Award Grant Policy</w:t>
      </w:r>
    </w:p>
    <w:p>
      <w:pPr>
        <w:spacing w:after="0" w:line="225"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We grant equity awards to our executive officers under our stockholder-approved 2005 Plan. Pursuant to this plan, all stock option grants must have a per share exercise price at least equal to the fair market value of our common stock on the grant date. Grants of equity awards to newly hired or appointed executive officers, including NEOs, will typically be made at a regularly scheduled meeting of the Compensation Committee held subsequent to the new hire or appointment date. Ongoing equity award grants to our executive officers, including our NEOs, will be approved on an annual basis at a meeting of the Compensation Committee or our Board of Directors, as applicable, which is typically held in the first quarter of each fiscal year.</w:t>
      </w:r>
    </w:p>
    <w:p>
      <w:pPr>
        <w:spacing w:after="0" w:line="161"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The Compensation Committee has not granted, nor does it intend in the future to grant, equity awards to our executive officers or any other individual in anticipation of the release of material nonpublic information that is likely to result in changes to the price of our common stock, such as a significant positive or negative earnings announcement. Similarly, Cohu has not timed, nor does it intend in the future to time, the release of material nonpublic information based on equity award grant dates. In addition, because our equity awards typically vest or are earned over a multi-year period, the value to recipients of any immediate increase in the price of our common stock following an award will be minimal.</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 Hedging or Pledging</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Cohu’s Insider Trading Policy prohibits all officers, directors, and other employees with access to sensitive Company information from engaging in any form of hedging transaction (derivatives, equity swaps, forwards, etc.) in Cohu’s stock, including, among other things, short sales and transactions involving publicly traded options. In addition, such officers, directors, and employees are prohibited from holding Cohu stock in margin accounts and from pledging Cohu stock as collateral for loans. We believe that these policies further align the interests of our officers and directors with those of our stockholders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2D53A6"/>
        </w:rPr>
        <w:t>Tax and Accounting Considerations</w:t>
      </w:r>
    </w:p>
    <w:p>
      <w:pPr>
        <w:spacing w:after="0" w:line="22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 designing our executive compensation program, the Compensation Committee takes into consideration the tax and accounting effects that each element of compensation will or may have on Cohu and our executive officers. The Compensation Committee seeks to keep the compensation expense associated with our executive compensation program as a whole within reasonable levels. When determining how to apportion between differing elements of compensation, the Compensation Committee’s goal is to meet our business objectives while maintaining cost neutrality. For example, if the Compensation Committee increases benefits under one compensation plan or arrangement resulting in higher compensation expense, it may seek to decrease benefits under another plan or arrangement to avoid compensation expense that is above the desired level.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Deductibility of Executive Compensation</w:t>
      </w:r>
    </w:p>
    <w:p>
      <w:pPr>
        <w:spacing w:after="0" w:line="22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Prior to January 1, 2018, Section 162(m) of the Code generally disallowed a deduction for federal income tax purposes to any publicly-traded corporation for any remuneration in excess of $1 million paid in any taxable year to its chief executive officer and each of the three other most highly-compensated executive officers (other than its chief financial officer).</w:t>
      </w:r>
    </w:p>
    <w:p>
      <w:pPr>
        <w:spacing w:after="0" w:line="18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Generally, remuneration in excess of $1 million could be deducted if, among other things, it qualified as “performance-based compensation” within the meaning of the Code.</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Pursuant to the Tax Cuts and Jobs Act of 2017, which was signed into law on December 22, 2017 (the “Tax Act”), for taxable years beginning after December 31, 2017, the remuneration of a publicly traded corporation’s chief financial officer is also subject to the deduction limit. In addition, subject to certain transition rules (which apply to remuneration provided pursuant to written binding contracts which were in effect on November 2, 2017 and which are not subsequently modified in any material respect), for taxable years beginning after December 31, 2017, the exemption from the deduction limit for “performance-based compensation” is no longer available. Consequently, for fiscal years beginning after December 31, 2017, all remuneration in excess of $1 million paid to a specified executive will not be deductible.</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84" w:right="399" w:bottom="1440" w:gutter="0" w:footer="0" w:header="0"/>
        </w:sectPr>
      </w:pPr>
    </w:p>
    <w:bookmarkStart w:id="43" w:name="page44"/>
    <w:bookmarkEnd w:id="43"/>
    <w:p>
      <w:pPr>
        <w:ind w:right="100"/>
        <w:spacing w:after="0" w:line="279" w:lineRule="auto"/>
        <w:rPr>
          <w:sz w:val="20"/>
          <w:szCs w:val="20"/>
          <w:color w:val="auto"/>
        </w:rPr>
      </w:pPr>
      <w:r>
        <w:rPr>
          <w:rFonts w:ascii="Arial" w:cs="Arial" w:eastAsia="Arial" w:hAnsi="Arial"/>
          <w:sz w:val="17"/>
          <w:szCs w:val="17"/>
          <w:color w:val="auto"/>
        </w:rPr>
        <w:t>In the case of stock options and performance stock unit awards which were outstanding on November 2, 2017 and which are not subsequently modified in any material respect, the compensation income realized upon the exercise of such stock options or upon the vesting of such performance stock unit awards granted under a stockholder-approved employee stock plan generally are expected to be deductible as long as the options or awards, as applicable, were granted by a committee whose members are outside directors and certain other conditions are satisfied.</w:t>
      </w:r>
    </w:p>
    <w:p>
      <w:pPr>
        <w:spacing w:after="0" w:line="171"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The Compensation Committee reserves the discretion, in its judgment, to approve compensation payments that may not be deductible as a result of the deduction limit of Section 162(m) when it believes that such payments are appropriate to attract and retain executive talent and are in the best interests of Cohu and our stockholders.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Taxation of Nonqualified Deferred Compensation</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Section 409A of the Code requires that amounts that qualify as “nonqualified deferred compensation” satisfy requirements with respect to the timing of deferral elections, timing of payments, and certain other matters. Generally, the Compensation Committee intends to administer our executive compensation program and design individual compensation elements, as well as the compensation plans and arrangements for our employees generally, so that they are either exempt from, or satisfy the requirements of, Section 409A, which primarily results in negative tax consequences to our executive officers rather than Cohu. From time to time, we may be required to amend some of our compensation plans and arrangements to ensure that they are either exempt from, or compliant with, Section 409A.</w:t>
      </w:r>
    </w:p>
    <w:p>
      <w:pPr>
        <w:spacing w:after="0" w:line="19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We are not obligated under any compensation plan or arrangement to prevent or minimize any negative tax consequences that may affect our executive officers, nor are we required to pay any “gross-up” should any such consequences arise.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Taxation of </w:t>
      </w:r>
      <w:r>
        <w:rPr>
          <w:rFonts w:ascii="Arial" w:cs="Arial" w:eastAsia="Arial" w:hAnsi="Arial"/>
          <w:sz w:val="18"/>
          <w:szCs w:val="18"/>
          <w:color w:val="auto"/>
        </w:rPr>
        <w:t>“</w:t>
      </w:r>
      <w:r>
        <w:rPr>
          <w:rFonts w:ascii="Arial" w:cs="Arial" w:eastAsia="Arial" w:hAnsi="Arial"/>
          <w:sz w:val="18"/>
          <w:szCs w:val="18"/>
          <w:i w:val="1"/>
          <w:iCs w:val="1"/>
          <w:color w:val="auto"/>
        </w:rPr>
        <w:t>Parachute</w:t>
      </w:r>
      <w:r>
        <w:rPr>
          <w:rFonts w:ascii="Arial" w:cs="Arial" w:eastAsia="Arial" w:hAnsi="Arial"/>
          <w:sz w:val="18"/>
          <w:szCs w:val="18"/>
          <w:color w:val="auto"/>
        </w:rPr>
        <w:t>”</w:t>
      </w:r>
      <w:r>
        <w:rPr>
          <w:rFonts w:ascii="Arial" w:cs="Arial" w:eastAsia="Arial" w:hAnsi="Arial"/>
          <w:sz w:val="18"/>
          <w:szCs w:val="18"/>
          <w:i w:val="1"/>
          <w:iCs w:val="1"/>
          <w:color w:val="auto"/>
        </w:rPr>
        <w:t xml:space="preserve"> Payments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Sections 280G and 4999 of the Code provide that executive officers and directors who hold significant equity interests and certain other service providers may be subject to significant additional taxes if they receive payments or benefits in connection with a change in control of Cohu that exceeds certain prescribed limits, and that Cohu (or a successor) may forfeit a deduction on the amounts subject to this additional tax. We are not obligated to provide any NEO with a “gross- up” or other reimbursement payment for any tax liability that he or she may owe as a result of the application of Sections 280G or 4999 in the event of a change in control of Cohu.</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Stock-Based Compensation</w:t>
      </w:r>
    </w:p>
    <w:p>
      <w:pPr>
        <w:spacing w:after="0" w:line="225"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The Compensation Committee takes accounting implications into consideration in designing compensation plans and arrangements for our executive officers and other employees. Chief among these is Financial Accounting Standards Board Accounting Standards Codification Topic 718, Compensation-Stock Compensation, (“ASC Topic 718”), the standard which governs the accounting treatment of stock-based compensation awards.</w:t>
      </w:r>
    </w:p>
    <w:p>
      <w:pPr>
        <w:spacing w:after="0" w:line="149"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ASC Topic 718 requires us to measure and recognize in our financial statements all share-based payment awards to employees, directors and consultants, including stock option grants, restricted stock unit awards, and performance stock unit awards to our executive officers, under the fair value method. Our estimate of share-based compensation expense requires a number of complex and subjective assumptions including our stock price volatility, employee exercise patterns (expected life of the options), forfeitures and related tax effects. The assumptions used in calculating the fair value of share-based payment awards represent our best estimates, but these estimates involve inherent uncertainties and the application of management judgment. We estimate the fair value of each share-based payment award on the grant date using either the Black-Scholes or the Monte Carlo simulation valuation model. Option valuation models require the input of highly subjective assumptions and changes in the assumptions used can materially affect the grant date fair value of an award. These assumptions for the Black-Scholes model include the risk-free rate of interest, expected dividend yield, expected volatility, and the expected life of the award. The risk-free rate of interest is based on the U.S. Treasury rates appropriate for the expected term of the award as of the grant date. Expected dividends are based primarily on historical factors related to our common stock. Expected volatility is based on historic weekly stock price observations of our common stock during the period immediately preceding the share-based award grant that is equal in length to the award’s expected term. We believe that historical volatility is the best estimate of future volatility. Expected life of the award is based on historical option exercise data. The Monte Carlo simulation model incorporates assumptions for the risk-free interest rate, Cohu and the selected peer group price volatility, the correlation between Cohu and the selected index, and dividend yields.</w:t>
      </w:r>
    </w:p>
    <w:p>
      <w:pPr>
        <w:spacing w:after="0" w:line="17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Share-based compensation expense related to restricted stock unit awards is calculated based on the market price of our common stock on the date of grant, reduced by the present value of dividends expected to be paid on our common stock prior to vesting of the restricted stock unit. ASC Topic 718 also requires us to recognize the compensation cost of our share-based payment awards in our income statement over the period that an employee, including our executive officers, is required to render service in exchange for the award (which, generally, will correspond to the award’s vesting schedule). We record a provision for equity-based performance units outstanding based on our current assessment of achievement of the performance goals and recognize actual forfeitures as they occur.</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2D53A6"/>
        </w:rPr>
        <w:t>Compensation Committee Report</w:t>
      </w:r>
    </w:p>
    <w:p>
      <w:pPr>
        <w:spacing w:after="0" w:line="22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Committee has reviewed and discussed with management the Compensation Discussion and Analysis for fiscal 2021. Based on such review and discussions, the Committee recommended to the Board, and the Board has approved, that the Compensation Discussion and Analysis be included in Cohu’s proxy statement for its 2022 Annual Meeting of Stockholders.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This report is submitted by the Compensation Committee.</w:t>
      </w:r>
    </w:p>
    <w:p>
      <w:pPr>
        <w:spacing w:after="0" w:line="225" w:lineRule="exact"/>
        <w:rPr>
          <w:sz w:val="20"/>
          <w:szCs w:val="20"/>
          <w:color w:val="auto"/>
        </w:rPr>
      </w:pPr>
    </w:p>
    <w:p>
      <w:pPr>
        <w:ind w:left="2620"/>
        <w:spacing w:after="0"/>
        <w:tabs>
          <w:tab w:leader="none" w:pos="5300" w:val="left"/>
          <w:tab w:leader="none" w:pos="7200" w:val="left"/>
        </w:tabs>
        <w:rPr>
          <w:sz w:val="20"/>
          <w:szCs w:val="20"/>
          <w:color w:val="auto"/>
        </w:rPr>
      </w:pPr>
      <w:r>
        <w:rPr>
          <w:rFonts w:ascii="Arial" w:cs="Arial" w:eastAsia="Arial" w:hAnsi="Arial"/>
          <w:sz w:val="18"/>
          <w:szCs w:val="18"/>
          <w:color w:val="auto"/>
        </w:rPr>
        <w:t>Steven J. Bilodeau (Chair)</w:t>
      </w:r>
      <w:r>
        <w:rPr>
          <w:sz w:val="20"/>
          <w:szCs w:val="20"/>
          <w:color w:val="auto"/>
        </w:rPr>
        <w:tab/>
      </w:r>
      <w:r>
        <w:rPr>
          <w:rFonts w:ascii="Arial" w:cs="Arial" w:eastAsia="Arial" w:hAnsi="Arial"/>
          <w:sz w:val="18"/>
          <w:szCs w:val="18"/>
          <w:color w:val="auto"/>
        </w:rPr>
        <w:t>Lynne J. Camp</w:t>
      </w:r>
      <w:r>
        <w:rPr>
          <w:sz w:val="20"/>
          <w:szCs w:val="20"/>
          <w:color w:val="auto"/>
        </w:rPr>
        <w:tab/>
      </w:r>
      <w:r>
        <w:rPr>
          <w:rFonts w:ascii="Arial" w:cs="Arial" w:eastAsia="Arial" w:hAnsi="Arial"/>
          <w:sz w:val="16"/>
          <w:szCs w:val="16"/>
          <w:color w:val="auto"/>
        </w:rPr>
        <w:t>Nina L. Richardson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r>
              <w:rPr>
                <w:rFonts w:ascii="Arial" w:cs="Arial" w:eastAsia="Arial" w:hAnsi="Arial"/>
                <w:sz w:val="18"/>
                <w:szCs w:val="18"/>
                <w:b w:val="1"/>
                <w:bCs w:val="1"/>
                <w:color w:val="auto"/>
              </w:rPr>
              <w:t>2021 Summary Compensation Table</w:t>
            </w: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100" w:type="dxa"/>
            <w:vAlign w:val="bottom"/>
            <w:gridSpan w:val="3"/>
          </w:tcPr>
          <w:p>
            <w:pPr>
              <w:spacing w:after="0"/>
              <w:rPr>
                <w:sz w:val="20"/>
                <w:szCs w:val="20"/>
                <w:color w:val="auto"/>
              </w:rPr>
            </w:pPr>
            <w:r>
              <w:rPr>
                <w:rFonts w:ascii="Arial" w:cs="Arial" w:eastAsia="Arial" w:hAnsi="Arial"/>
                <w:sz w:val="18"/>
                <w:szCs w:val="18"/>
                <w:color w:val="auto"/>
                <w:w w:val="93"/>
              </w:rPr>
              <w:t>The following table shows compensation information for fiscal 2021 for our NEOs.</w:t>
            </w:r>
          </w:p>
        </w:tc>
        <w:tc>
          <w:tcPr>
            <w:tcW w:w="9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820" w:type="dxa"/>
            <w:vAlign w:val="bottom"/>
            <w:tcBorders>
              <w:right w:val="single" w:sz="8" w:color="2D53A6"/>
            </w:tcBorders>
            <w:shd w:val="clear" w:color="auto" w:fill="2D53A6"/>
          </w:tcPr>
          <w:p>
            <w:pPr>
              <w:spacing w:after="0"/>
              <w:rPr>
                <w:sz w:val="17"/>
                <w:szCs w:val="17"/>
                <w:color w:val="auto"/>
              </w:rPr>
            </w:pPr>
          </w:p>
        </w:tc>
        <w:tc>
          <w:tcPr>
            <w:tcW w:w="1100" w:type="dxa"/>
            <w:vAlign w:val="bottom"/>
            <w:tcBorders>
              <w:right w:val="single" w:sz="8" w:color="2D53A6"/>
            </w:tcBorders>
            <w:shd w:val="clear" w:color="auto" w:fill="2D53A6"/>
          </w:tcPr>
          <w:p>
            <w:pPr>
              <w:spacing w:after="0"/>
              <w:rPr>
                <w:sz w:val="17"/>
                <w:szCs w:val="17"/>
                <w:color w:val="auto"/>
              </w:rPr>
            </w:pPr>
          </w:p>
        </w:tc>
        <w:tc>
          <w:tcPr>
            <w:tcW w:w="180" w:type="dxa"/>
            <w:vAlign w:val="bottom"/>
            <w:shd w:val="clear" w:color="auto" w:fill="2D53A6"/>
          </w:tcPr>
          <w:p>
            <w:pPr>
              <w:spacing w:after="0"/>
              <w:rPr>
                <w:sz w:val="17"/>
                <w:szCs w:val="17"/>
                <w:color w:val="auto"/>
              </w:rPr>
            </w:pPr>
          </w:p>
        </w:tc>
        <w:tc>
          <w:tcPr>
            <w:tcW w:w="900" w:type="dxa"/>
            <w:vAlign w:val="bottom"/>
            <w:tcBorders>
              <w:right w:val="single" w:sz="8" w:color="2D53A6"/>
            </w:tcBorders>
            <w:shd w:val="clear" w:color="auto" w:fill="2D53A6"/>
          </w:tcPr>
          <w:p>
            <w:pPr>
              <w:spacing w:after="0"/>
              <w:rPr>
                <w:sz w:val="17"/>
                <w:szCs w:val="17"/>
                <w:color w:val="auto"/>
              </w:rPr>
            </w:pPr>
          </w:p>
        </w:tc>
        <w:tc>
          <w:tcPr>
            <w:tcW w:w="110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89"/>
              </w:rPr>
              <w:t>Stock</w:t>
            </w:r>
          </w:p>
        </w:tc>
        <w:tc>
          <w:tcPr>
            <w:tcW w:w="1080" w:type="dxa"/>
            <w:vAlign w:val="bottom"/>
            <w:tcBorders>
              <w:right w:val="single" w:sz="8" w:color="2D53A6"/>
            </w:tcBorders>
            <w:shd w:val="clear" w:color="auto" w:fill="2D53A6"/>
          </w:tcPr>
          <w:p>
            <w:pPr>
              <w:jc w:val="center"/>
              <w:spacing w:after="0" w:line="198" w:lineRule="exact"/>
              <w:rPr>
                <w:sz w:val="20"/>
                <w:szCs w:val="20"/>
                <w:color w:val="auto"/>
              </w:rPr>
            </w:pPr>
            <w:r>
              <w:rPr>
                <w:rFonts w:ascii="Arial" w:cs="Arial" w:eastAsia="Arial" w:hAnsi="Arial"/>
                <w:sz w:val="18"/>
                <w:szCs w:val="18"/>
                <w:b w:val="1"/>
                <w:bCs w:val="1"/>
                <w:color w:val="FFFFFF"/>
                <w:w w:val="93"/>
              </w:rPr>
              <w:t>Non-Equity</w:t>
            </w:r>
          </w:p>
        </w:tc>
        <w:tc>
          <w:tcPr>
            <w:tcW w:w="108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97"/>
              </w:rPr>
              <w:t>All Other</w:t>
            </w:r>
          </w:p>
        </w:tc>
        <w:tc>
          <w:tcPr>
            <w:tcW w:w="980" w:type="dxa"/>
            <w:vAlign w:val="bottom"/>
            <w:shd w:val="clear" w:color="auto" w:fill="2D53A6"/>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4820" w:type="dxa"/>
            <w:vAlign w:val="bottom"/>
            <w:tcBorders>
              <w:right w:val="single" w:sz="8" w:color="2D53A6"/>
            </w:tcBorders>
            <w:shd w:val="clear" w:color="auto" w:fill="2D53A6"/>
          </w:tcPr>
          <w:p>
            <w:pPr>
              <w:spacing w:after="0"/>
              <w:rPr>
                <w:sz w:val="9"/>
                <w:szCs w:val="9"/>
                <w:color w:val="auto"/>
              </w:rPr>
            </w:pPr>
          </w:p>
        </w:tc>
        <w:tc>
          <w:tcPr>
            <w:tcW w:w="1100" w:type="dxa"/>
            <w:vAlign w:val="bottom"/>
            <w:tcBorders>
              <w:right w:val="single" w:sz="8" w:color="2D53A6"/>
            </w:tcBorders>
            <w:shd w:val="clear" w:color="auto" w:fill="2D53A6"/>
          </w:tcPr>
          <w:p>
            <w:pPr>
              <w:spacing w:after="0"/>
              <w:rPr>
                <w:sz w:val="9"/>
                <w:szCs w:val="9"/>
                <w:color w:val="auto"/>
              </w:rPr>
            </w:pPr>
          </w:p>
        </w:tc>
        <w:tc>
          <w:tcPr>
            <w:tcW w:w="180" w:type="dxa"/>
            <w:vAlign w:val="bottom"/>
            <w:shd w:val="clear" w:color="auto" w:fill="2D53A6"/>
          </w:tcPr>
          <w:p>
            <w:pPr>
              <w:spacing w:after="0"/>
              <w:rPr>
                <w:sz w:val="9"/>
                <w:szCs w:val="9"/>
                <w:color w:val="auto"/>
              </w:rPr>
            </w:pPr>
          </w:p>
        </w:tc>
        <w:tc>
          <w:tcPr>
            <w:tcW w:w="900" w:type="dxa"/>
            <w:vAlign w:val="bottom"/>
            <w:tcBorders>
              <w:right w:val="single" w:sz="8" w:color="2D53A6"/>
            </w:tcBorders>
            <w:vMerge w:val="restart"/>
            <w:shd w:val="clear" w:color="auto" w:fill="2D53A6"/>
          </w:tcPr>
          <w:p>
            <w:pPr>
              <w:ind w:left="100"/>
              <w:spacing w:after="0"/>
              <w:rPr>
                <w:sz w:val="20"/>
                <w:szCs w:val="20"/>
                <w:color w:val="auto"/>
              </w:rPr>
            </w:pPr>
            <w:r>
              <w:rPr>
                <w:rFonts w:ascii="Arial" w:cs="Arial" w:eastAsia="Arial" w:hAnsi="Arial"/>
                <w:sz w:val="18"/>
                <w:szCs w:val="18"/>
                <w:b w:val="1"/>
                <w:bCs w:val="1"/>
                <w:color w:val="FFFFFF"/>
              </w:rPr>
              <w:t>Salary</w:t>
            </w:r>
          </w:p>
        </w:tc>
        <w:tc>
          <w:tcPr>
            <w:tcW w:w="1100" w:type="dxa"/>
            <w:vAlign w:val="bottom"/>
            <w:tcBorders>
              <w:right w:val="single" w:sz="8" w:color="2D53A6"/>
            </w:tcBorders>
            <w:vMerge w:val="continue"/>
            <w:shd w:val="clear" w:color="auto" w:fill="2D53A6"/>
          </w:tcPr>
          <w:p>
            <w:pPr>
              <w:spacing w:after="0"/>
              <w:rPr>
                <w:sz w:val="9"/>
                <w:szCs w:val="9"/>
                <w:color w:val="auto"/>
              </w:rPr>
            </w:pPr>
          </w:p>
        </w:tc>
        <w:tc>
          <w:tcPr>
            <w:tcW w:w="108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89"/>
              </w:rPr>
              <w:t>Incentive</w:t>
            </w:r>
          </w:p>
        </w:tc>
        <w:tc>
          <w:tcPr>
            <w:tcW w:w="1080" w:type="dxa"/>
            <w:vAlign w:val="bottom"/>
            <w:tcBorders>
              <w:right w:val="single" w:sz="8" w:color="2D53A6"/>
            </w:tcBorders>
            <w:vMerge w:val="continue"/>
            <w:shd w:val="clear" w:color="auto" w:fill="2D53A6"/>
          </w:tcPr>
          <w:p>
            <w:pPr>
              <w:spacing w:after="0"/>
              <w:rPr>
                <w:sz w:val="9"/>
                <w:szCs w:val="9"/>
                <w:color w:val="auto"/>
              </w:rPr>
            </w:pPr>
          </w:p>
        </w:tc>
        <w:tc>
          <w:tcPr>
            <w:tcW w:w="980" w:type="dxa"/>
            <w:vAlign w:val="bottom"/>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88"/>
              </w:rPr>
              <w:t>Total</w:t>
            </w:r>
          </w:p>
        </w:tc>
        <w:tc>
          <w:tcPr>
            <w:tcW w:w="0" w:type="dxa"/>
            <w:vAlign w:val="bottom"/>
          </w:tcPr>
          <w:p>
            <w:pPr>
              <w:spacing w:after="0"/>
              <w:rPr>
                <w:sz w:val="1"/>
                <w:szCs w:val="1"/>
                <w:color w:val="auto"/>
              </w:rPr>
            </w:pPr>
          </w:p>
        </w:tc>
      </w:tr>
      <w:tr>
        <w:trPr>
          <w:trHeight w:val="108"/>
        </w:trPr>
        <w:tc>
          <w:tcPr>
            <w:tcW w:w="4820" w:type="dxa"/>
            <w:vAlign w:val="bottom"/>
            <w:tcBorders>
              <w:right w:val="single" w:sz="8" w:color="2D53A6"/>
            </w:tcBorders>
            <w:vMerge w:val="restart"/>
            <w:shd w:val="clear" w:color="auto" w:fill="2D53A6"/>
          </w:tcPr>
          <w:p>
            <w:pPr>
              <w:spacing w:after="0"/>
              <w:rPr>
                <w:sz w:val="20"/>
                <w:szCs w:val="20"/>
                <w:color w:val="auto"/>
              </w:rPr>
            </w:pPr>
            <w:r>
              <w:rPr>
                <w:rFonts w:ascii="Arial" w:cs="Arial" w:eastAsia="Arial" w:hAnsi="Arial"/>
                <w:sz w:val="18"/>
                <w:szCs w:val="18"/>
                <w:b w:val="1"/>
                <w:bCs w:val="1"/>
                <w:color w:val="FFFFFF"/>
              </w:rPr>
              <w:t>Named Executive Officer</w:t>
            </w:r>
          </w:p>
        </w:tc>
        <w:tc>
          <w:tcPr>
            <w:tcW w:w="1100" w:type="dxa"/>
            <w:vAlign w:val="bottom"/>
            <w:tcBorders>
              <w:right w:val="single" w:sz="8" w:color="2D53A6"/>
            </w:tcBorders>
            <w:vMerge w:val="restart"/>
            <w:shd w:val="clear" w:color="auto" w:fill="2D53A6"/>
          </w:tcPr>
          <w:p>
            <w:pPr>
              <w:ind w:left="360"/>
              <w:spacing w:after="0"/>
              <w:rPr>
                <w:sz w:val="20"/>
                <w:szCs w:val="20"/>
                <w:color w:val="auto"/>
              </w:rPr>
            </w:pPr>
            <w:r>
              <w:rPr>
                <w:rFonts w:ascii="Arial" w:cs="Arial" w:eastAsia="Arial" w:hAnsi="Arial"/>
                <w:sz w:val="18"/>
                <w:szCs w:val="18"/>
                <w:b w:val="1"/>
                <w:bCs w:val="1"/>
                <w:color w:val="FFFFFF"/>
              </w:rPr>
              <w:t>Year</w:t>
            </w:r>
          </w:p>
        </w:tc>
        <w:tc>
          <w:tcPr>
            <w:tcW w:w="180" w:type="dxa"/>
            <w:vAlign w:val="bottom"/>
            <w:shd w:val="clear" w:color="auto" w:fill="2D53A6"/>
          </w:tcPr>
          <w:p>
            <w:pPr>
              <w:spacing w:after="0"/>
              <w:rPr>
                <w:sz w:val="9"/>
                <w:szCs w:val="9"/>
                <w:color w:val="auto"/>
              </w:rPr>
            </w:pPr>
          </w:p>
        </w:tc>
        <w:tc>
          <w:tcPr>
            <w:tcW w:w="900" w:type="dxa"/>
            <w:vAlign w:val="bottom"/>
            <w:tcBorders>
              <w:right w:val="single" w:sz="8" w:color="2D53A6"/>
            </w:tcBorders>
            <w:vMerge w:val="continue"/>
            <w:shd w:val="clear" w:color="auto" w:fill="2D53A6"/>
          </w:tcPr>
          <w:p>
            <w:pPr>
              <w:spacing w:after="0"/>
              <w:rPr>
                <w:sz w:val="9"/>
                <w:szCs w:val="9"/>
                <w:color w:val="auto"/>
              </w:rPr>
            </w:pPr>
          </w:p>
        </w:tc>
        <w:tc>
          <w:tcPr>
            <w:tcW w:w="110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92"/>
              </w:rPr>
              <w:t>Awards</w:t>
            </w:r>
          </w:p>
        </w:tc>
        <w:tc>
          <w:tcPr>
            <w:tcW w:w="1080" w:type="dxa"/>
            <w:vAlign w:val="bottom"/>
            <w:tcBorders>
              <w:right w:val="single" w:sz="8" w:color="2D53A6"/>
            </w:tcBorders>
            <w:vMerge w:val="continue"/>
            <w:shd w:val="clear" w:color="auto" w:fill="2D53A6"/>
          </w:tcPr>
          <w:p>
            <w:pPr>
              <w:spacing w:after="0"/>
              <w:rPr>
                <w:sz w:val="9"/>
                <w:szCs w:val="9"/>
                <w:color w:val="auto"/>
              </w:rPr>
            </w:pPr>
          </w:p>
        </w:tc>
        <w:tc>
          <w:tcPr>
            <w:tcW w:w="108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89"/>
              </w:rPr>
              <w:t>Comp.</w:t>
            </w:r>
          </w:p>
        </w:tc>
        <w:tc>
          <w:tcPr>
            <w:tcW w:w="980" w:type="dxa"/>
            <w:vAlign w:val="bottom"/>
            <w:vMerge w:val="continue"/>
            <w:shd w:val="clear" w:color="auto" w:fill="2D53A6"/>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820" w:type="dxa"/>
            <w:vAlign w:val="bottom"/>
            <w:tcBorders>
              <w:right w:val="single" w:sz="8" w:color="2D53A6"/>
            </w:tcBorders>
            <w:vMerge w:val="continue"/>
            <w:shd w:val="clear" w:color="auto" w:fill="2D53A6"/>
          </w:tcPr>
          <w:p>
            <w:pPr>
              <w:spacing w:after="0"/>
              <w:rPr>
                <w:sz w:val="9"/>
                <w:szCs w:val="9"/>
                <w:color w:val="auto"/>
              </w:rPr>
            </w:pPr>
          </w:p>
        </w:tc>
        <w:tc>
          <w:tcPr>
            <w:tcW w:w="1100" w:type="dxa"/>
            <w:vAlign w:val="bottom"/>
            <w:tcBorders>
              <w:right w:val="single" w:sz="8" w:color="2D53A6"/>
            </w:tcBorders>
            <w:vMerge w:val="continue"/>
            <w:shd w:val="clear" w:color="auto" w:fill="2D53A6"/>
          </w:tcPr>
          <w:p>
            <w:pPr>
              <w:spacing w:after="0"/>
              <w:rPr>
                <w:sz w:val="9"/>
                <w:szCs w:val="9"/>
                <w:color w:val="auto"/>
              </w:rPr>
            </w:pPr>
          </w:p>
        </w:tc>
        <w:tc>
          <w:tcPr>
            <w:tcW w:w="180" w:type="dxa"/>
            <w:vAlign w:val="bottom"/>
            <w:shd w:val="clear" w:color="auto" w:fill="2D53A6"/>
          </w:tcPr>
          <w:p>
            <w:pPr>
              <w:spacing w:after="0"/>
              <w:rPr>
                <w:sz w:val="9"/>
                <w:szCs w:val="9"/>
                <w:color w:val="auto"/>
              </w:rPr>
            </w:pPr>
          </w:p>
        </w:tc>
        <w:tc>
          <w:tcPr>
            <w:tcW w:w="900" w:type="dxa"/>
            <w:vAlign w:val="bottom"/>
            <w:tcBorders>
              <w:right w:val="single" w:sz="8" w:color="2D53A6"/>
            </w:tcBorders>
            <w:vMerge w:val="restart"/>
            <w:shd w:val="clear" w:color="auto" w:fill="2D53A6"/>
          </w:tcPr>
          <w:p>
            <w:pPr>
              <w:ind w:left="240"/>
              <w:spacing w:after="0"/>
              <w:rPr>
                <w:sz w:val="20"/>
                <w:szCs w:val="20"/>
                <w:color w:val="auto"/>
              </w:rPr>
            </w:pPr>
            <w:r>
              <w:rPr>
                <w:rFonts w:ascii="Arial" w:cs="Arial" w:eastAsia="Arial" w:hAnsi="Arial"/>
                <w:sz w:val="18"/>
                <w:szCs w:val="18"/>
                <w:b w:val="1"/>
                <w:bCs w:val="1"/>
                <w:color w:val="FFFFFF"/>
              </w:rPr>
              <w:t>($)</w:t>
            </w:r>
          </w:p>
        </w:tc>
        <w:tc>
          <w:tcPr>
            <w:tcW w:w="1100" w:type="dxa"/>
            <w:vAlign w:val="bottom"/>
            <w:tcBorders>
              <w:right w:val="single" w:sz="8" w:color="2D53A6"/>
            </w:tcBorders>
            <w:vMerge w:val="continue"/>
            <w:shd w:val="clear" w:color="auto" w:fill="2D53A6"/>
          </w:tcPr>
          <w:p>
            <w:pPr>
              <w:spacing w:after="0"/>
              <w:rPr>
                <w:sz w:val="9"/>
                <w:szCs w:val="9"/>
                <w:color w:val="auto"/>
              </w:rPr>
            </w:pPr>
          </w:p>
        </w:tc>
        <w:tc>
          <w:tcPr>
            <w:tcW w:w="108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90"/>
              </w:rPr>
              <w:t>Plan Comp.</w:t>
            </w:r>
          </w:p>
        </w:tc>
        <w:tc>
          <w:tcPr>
            <w:tcW w:w="1080" w:type="dxa"/>
            <w:vAlign w:val="bottom"/>
            <w:tcBorders>
              <w:right w:val="single" w:sz="8" w:color="2D53A6"/>
            </w:tcBorders>
            <w:vMerge w:val="continue"/>
            <w:shd w:val="clear" w:color="auto" w:fill="2D53A6"/>
          </w:tcPr>
          <w:p>
            <w:pPr>
              <w:spacing w:after="0"/>
              <w:rPr>
                <w:sz w:val="9"/>
                <w:szCs w:val="9"/>
                <w:color w:val="auto"/>
              </w:rPr>
            </w:pPr>
          </w:p>
        </w:tc>
        <w:tc>
          <w:tcPr>
            <w:tcW w:w="980" w:type="dxa"/>
            <w:vAlign w:val="bottom"/>
            <w:vMerge w:val="restart"/>
            <w:shd w:val="clear" w:color="auto" w:fill="2D53A6"/>
          </w:tcPr>
          <w:p>
            <w:pPr>
              <w:jc w:val="right"/>
              <w:ind w:right="290"/>
              <w:spacing w:after="0"/>
              <w:rPr>
                <w:sz w:val="20"/>
                <w:szCs w:val="20"/>
                <w:color w:val="auto"/>
              </w:rPr>
            </w:pPr>
            <w:r>
              <w:rPr>
                <w:rFonts w:ascii="Arial" w:cs="Arial" w:eastAsia="Arial" w:hAnsi="Arial"/>
                <w:sz w:val="18"/>
                <w:szCs w:val="18"/>
                <w:b w:val="1"/>
                <w:bCs w:val="1"/>
                <w:color w:val="FFFFFF"/>
              </w:rPr>
              <w:t>($)</w:t>
            </w:r>
          </w:p>
        </w:tc>
        <w:tc>
          <w:tcPr>
            <w:tcW w:w="0" w:type="dxa"/>
            <w:vAlign w:val="bottom"/>
          </w:tcPr>
          <w:p>
            <w:pPr>
              <w:spacing w:after="0"/>
              <w:rPr>
                <w:sz w:val="1"/>
                <w:szCs w:val="1"/>
                <w:color w:val="auto"/>
              </w:rPr>
            </w:pPr>
          </w:p>
        </w:tc>
      </w:tr>
      <w:tr>
        <w:trPr>
          <w:trHeight w:val="108"/>
        </w:trPr>
        <w:tc>
          <w:tcPr>
            <w:tcW w:w="4820" w:type="dxa"/>
            <w:vAlign w:val="bottom"/>
            <w:tcBorders>
              <w:right w:val="single" w:sz="8" w:color="2D53A6"/>
            </w:tcBorders>
            <w:shd w:val="clear" w:color="auto" w:fill="2D53A6"/>
          </w:tcPr>
          <w:p>
            <w:pPr>
              <w:spacing w:after="0"/>
              <w:rPr>
                <w:sz w:val="9"/>
                <w:szCs w:val="9"/>
                <w:color w:val="auto"/>
              </w:rPr>
            </w:pPr>
          </w:p>
        </w:tc>
        <w:tc>
          <w:tcPr>
            <w:tcW w:w="1100" w:type="dxa"/>
            <w:vAlign w:val="bottom"/>
            <w:tcBorders>
              <w:right w:val="single" w:sz="8" w:color="2D53A6"/>
            </w:tcBorders>
            <w:shd w:val="clear" w:color="auto" w:fill="2D53A6"/>
          </w:tcPr>
          <w:p>
            <w:pPr>
              <w:spacing w:after="0"/>
              <w:rPr>
                <w:sz w:val="9"/>
                <w:szCs w:val="9"/>
                <w:color w:val="auto"/>
              </w:rPr>
            </w:pPr>
          </w:p>
        </w:tc>
        <w:tc>
          <w:tcPr>
            <w:tcW w:w="180" w:type="dxa"/>
            <w:vAlign w:val="bottom"/>
            <w:shd w:val="clear" w:color="auto" w:fill="2D53A6"/>
          </w:tcPr>
          <w:p>
            <w:pPr>
              <w:spacing w:after="0"/>
              <w:rPr>
                <w:sz w:val="9"/>
                <w:szCs w:val="9"/>
                <w:color w:val="auto"/>
              </w:rPr>
            </w:pPr>
          </w:p>
        </w:tc>
        <w:tc>
          <w:tcPr>
            <w:tcW w:w="900" w:type="dxa"/>
            <w:vAlign w:val="bottom"/>
            <w:tcBorders>
              <w:right w:val="single" w:sz="8" w:color="2D53A6"/>
            </w:tcBorders>
            <w:vMerge w:val="continue"/>
            <w:shd w:val="clear" w:color="auto" w:fill="2D53A6"/>
          </w:tcPr>
          <w:p>
            <w:pPr>
              <w:spacing w:after="0"/>
              <w:rPr>
                <w:sz w:val="9"/>
                <w:szCs w:val="9"/>
                <w:color w:val="auto"/>
              </w:rPr>
            </w:pPr>
          </w:p>
        </w:tc>
        <w:tc>
          <w:tcPr>
            <w:tcW w:w="1100" w:type="dxa"/>
            <w:vAlign w:val="bottom"/>
            <w:tcBorders>
              <w:right w:val="single" w:sz="8" w:color="2D53A6"/>
            </w:tcBorders>
            <w:vMerge w:val="restart"/>
            <w:shd w:val="clear" w:color="auto" w:fill="2D53A6"/>
          </w:tcPr>
          <w:p>
            <w:pPr>
              <w:jc w:val="center"/>
              <w:spacing w:after="0" w:line="288" w:lineRule="exact"/>
              <w:rPr>
                <w:sz w:val="20"/>
                <w:szCs w:val="20"/>
                <w:color w:val="auto"/>
              </w:rPr>
            </w:pPr>
            <w:r>
              <w:rPr>
                <w:rFonts w:ascii="Arial" w:cs="Arial" w:eastAsia="Arial" w:hAnsi="Arial"/>
                <w:sz w:val="18"/>
                <w:szCs w:val="18"/>
                <w:b w:val="1"/>
                <w:bCs w:val="1"/>
                <w:color w:val="FFFFFF"/>
                <w:w w:val="94"/>
              </w:rPr>
              <w:t xml:space="preserve">($) </w:t>
            </w:r>
            <w:r>
              <w:rPr>
                <w:rFonts w:ascii="Arial" w:cs="Arial" w:eastAsia="Arial" w:hAnsi="Arial"/>
                <w:sz w:val="29"/>
                <w:szCs w:val="29"/>
                <w:b w:val="1"/>
                <w:bCs w:val="1"/>
                <w:color w:val="FFFFFF"/>
                <w:w w:val="94"/>
                <w:vertAlign w:val="superscript"/>
              </w:rPr>
              <w:t>(1)</w:t>
            </w:r>
          </w:p>
        </w:tc>
        <w:tc>
          <w:tcPr>
            <w:tcW w:w="1080" w:type="dxa"/>
            <w:vAlign w:val="bottom"/>
            <w:tcBorders>
              <w:right w:val="single" w:sz="8" w:color="2D53A6"/>
            </w:tcBorders>
            <w:vMerge w:val="continue"/>
            <w:shd w:val="clear" w:color="auto" w:fill="2D53A6"/>
          </w:tcPr>
          <w:p>
            <w:pPr>
              <w:spacing w:after="0"/>
              <w:rPr>
                <w:sz w:val="9"/>
                <w:szCs w:val="9"/>
                <w:color w:val="auto"/>
              </w:rPr>
            </w:pPr>
          </w:p>
        </w:tc>
        <w:tc>
          <w:tcPr>
            <w:tcW w:w="1080" w:type="dxa"/>
            <w:vAlign w:val="bottom"/>
            <w:tcBorders>
              <w:right w:val="single" w:sz="8" w:color="2D53A6"/>
            </w:tcBorders>
            <w:vMerge w:val="restart"/>
            <w:shd w:val="clear" w:color="auto" w:fill="2D53A6"/>
          </w:tcPr>
          <w:p>
            <w:pPr>
              <w:jc w:val="center"/>
              <w:spacing w:after="0" w:line="288" w:lineRule="exact"/>
              <w:rPr>
                <w:sz w:val="20"/>
                <w:szCs w:val="20"/>
                <w:color w:val="auto"/>
              </w:rPr>
            </w:pPr>
            <w:r>
              <w:rPr>
                <w:rFonts w:ascii="Arial" w:cs="Arial" w:eastAsia="Arial" w:hAnsi="Arial"/>
                <w:sz w:val="18"/>
                <w:szCs w:val="18"/>
                <w:b w:val="1"/>
                <w:bCs w:val="1"/>
                <w:color w:val="FFFFFF"/>
                <w:w w:val="82"/>
              </w:rPr>
              <w:t xml:space="preserve">($) </w:t>
            </w:r>
            <w:r>
              <w:rPr>
                <w:rFonts w:ascii="Arial" w:cs="Arial" w:eastAsia="Arial" w:hAnsi="Arial"/>
                <w:sz w:val="29"/>
                <w:szCs w:val="29"/>
                <w:b w:val="1"/>
                <w:bCs w:val="1"/>
                <w:color w:val="FFFFFF"/>
                <w:w w:val="82"/>
                <w:vertAlign w:val="superscript"/>
              </w:rPr>
              <w:t>(3)</w:t>
            </w:r>
          </w:p>
        </w:tc>
        <w:tc>
          <w:tcPr>
            <w:tcW w:w="980" w:type="dxa"/>
            <w:vAlign w:val="bottom"/>
            <w:vMerge w:val="continue"/>
            <w:shd w:val="clear" w:color="auto" w:fill="2D53A6"/>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4820" w:type="dxa"/>
            <w:vAlign w:val="bottom"/>
            <w:tcBorders>
              <w:right w:val="single" w:sz="8" w:color="2D53A6"/>
            </w:tcBorders>
            <w:shd w:val="clear" w:color="auto" w:fill="2D53A6"/>
          </w:tcPr>
          <w:p>
            <w:pPr>
              <w:spacing w:after="0"/>
              <w:rPr>
                <w:sz w:val="15"/>
                <w:szCs w:val="15"/>
                <w:color w:val="auto"/>
              </w:rPr>
            </w:pPr>
          </w:p>
        </w:tc>
        <w:tc>
          <w:tcPr>
            <w:tcW w:w="1100" w:type="dxa"/>
            <w:vAlign w:val="bottom"/>
            <w:tcBorders>
              <w:right w:val="single" w:sz="8" w:color="2D53A6"/>
            </w:tcBorders>
            <w:shd w:val="clear" w:color="auto" w:fill="2D53A6"/>
          </w:tcPr>
          <w:p>
            <w:pPr>
              <w:spacing w:after="0"/>
              <w:rPr>
                <w:sz w:val="15"/>
                <w:szCs w:val="15"/>
                <w:color w:val="auto"/>
              </w:rPr>
            </w:pPr>
          </w:p>
        </w:tc>
        <w:tc>
          <w:tcPr>
            <w:tcW w:w="180" w:type="dxa"/>
            <w:vAlign w:val="bottom"/>
            <w:shd w:val="clear" w:color="auto" w:fill="2D53A6"/>
          </w:tcPr>
          <w:p>
            <w:pPr>
              <w:spacing w:after="0"/>
              <w:rPr>
                <w:sz w:val="15"/>
                <w:szCs w:val="15"/>
                <w:color w:val="auto"/>
              </w:rPr>
            </w:pPr>
          </w:p>
        </w:tc>
        <w:tc>
          <w:tcPr>
            <w:tcW w:w="900" w:type="dxa"/>
            <w:vAlign w:val="bottom"/>
            <w:tcBorders>
              <w:right w:val="single" w:sz="8" w:color="2D53A6"/>
            </w:tcBorders>
            <w:shd w:val="clear" w:color="auto" w:fill="2D53A6"/>
          </w:tcPr>
          <w:p>
            <w:pPr>
              <w:spacing w:after="0"/>
              <w:rPr>
                <w:sz w:val="15"/>
                <w:szCs w:val="15"/>
                <w:color w:val="auto"/>
              </w:rPr>
            </w:pPr>
          </w:p>
        </w:tc>
        <w:tc>
          <w:tcPr>
            <w:tcW w:w="1100" w:type="dxa"/>
            <w:vAlign w:val="bottom"/>
            <w:tcBorders>
              <w:right w:val="single" w:sz="8" w:color="2D53A6"/>
            </w:tcBorders>
            <w:vMerge w:val="continue"/>
            <w:shd w:val="clear" w:color="auto" w:fill="2D53A6"/>
          </w:tcPr>
          <w:p>
            <w:pPr>
              <w:spacing w:after="0"/>
              <w:rPr>
                <w:sz w:val="15"/>
                <w:szCs w:val="15"/>
                <w:color w:val="auto"/>
              </w:rPr>
            </w:pPr>
          </w:p>
        </w:tc>
        <w:tc>
          <w:tcPr>
            <w:tcW w:w="1080" w:type="dxa"/>
            <w:vAlign w:val="bottom"/>
            <w:tcBorders>
              <w:right w:val="single" w:sz="8" w:color="2D53A6"/>
            </w:tcBorders>
            <w:vMerge w:val="restart"/>
            <w:shd w:val="clear" w:color="auto" w:fill="2D53A6"/>
          </w:tcPr>
          <w:p>
            <w:pPr>
              <w:jc w:val="center"/>
              <w:spacing w:after="0" w:line="235" w:lineRule="exact"/>
              <w:rPr>
                <w:sz w:val="20"/>
                <w:szCs w:val="20"/>
                <w:color w:val="auto"/>
              </w:rPr>
            </w:pPr>
            <w:r>
              <w:rPr>
                <w:rFonts w:ascii="Arial" w:cs="Arial" w:eastAsia="Arial" w:hAnsi="Arial"/>
                <w:sz w:val="17"/>
                <w:szCs w:val="17"/>
                <w:b w:val="1"/>
                <w:bCs w:val="1"/>
                <w:color w:val="FFFFFF"/>
                <w:w w:val="88"/>
              </w:rPr>
              <w:t xml:space="preserve">($) </w:t>
            </w:r>
            <w:r>
              <w:rPr>
                <w:rFonts w:ascii="Arial" w:cs="Arial" w:eastAsia="Arial" w:hAnsi="Arial"/>
                <w:sz w:val="27"/>
                <w:szCs w:val="27"/>
                <w:b w:val="1"/>
                <w:bCs w:val="1"/>
                <w:color w:val="FFFFFF"/>
                <w:w w:val="88"/>
                <w:vertAlign w:val="superscript"/>
              </w:rPr>
              <w:t>(2)</w:t>
            </w:r>
          </w:p>
        </w:tc>
        <w:tc>
          <w:tcPr>
            <w:tcW w:w="1080" w:type="dxa"/>
            <w:vAlign w:val="bottom"/>
            <w:tcBorders>
              <w:right w:val="single" w:sz="8" w:color="2D53A6"/>
            </w:tcBorders>
            <w:vMerge w:val="continue"/>
            <w:shd w:val="clear" w:color="auto" w:fill="2D53A6"/>
          </w:tcPr>
          <w:p>
            <w:pPr>
              <w:spacing w:after="0"/>
              <w:rPr>
                <w:sz w:val="15"/>
                <w:szCs w:val="15"/>
                <w:color w:val="auto"/>
              </w:rPr>
            </w:pPr>
          </w:p>
        </w:tc>
        <w:tc>
          <w:tcPr>
            <w:tcW w:w="980" w:type="dxa"/>
            <w:vAlign w:val="bottom"/>
            <w:shd w:val="clear" w:color="auto" w:fill="2D53A6"/>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4820" w:type="dxa"/>
            <w:vAlign w:val="bottom"/>
            <w:tcBorders>
              <w:right w:val="single" w:sz="8" w:color="2D53A6"/>
            </w:tcBorders>
            <w:shd w:val="clear" w:color="auto" w:fill="2D53A6"/>
          </w:tcPr>
          <w:p>
            <w:pPr>
              <w:spacing w:after="0"/>
              <w:rPr>
                <w:sz w:val="5"/>
                <w:szCs w:val="5"/>
                <w:color w:val="auto"/>
              </w:rPr>
            </w:pPr>
          </w:p>
        </w:tc>
        <w:tc>
          <w:tcPr>
            <w:tcW w:w="1100" w:type="dxa"/>
            <w:vAlign w:val="bottom"/>
            <w:tcBorders>
              <w:right w:val="single" w:sz="8" w:color="2D53A6"/>
            </w:tcBorders>
            <w:shd w:val="clear" w:color="auto" w:fill="2D53A6"/>
          </w:tcPr>
          <w:p>
            <w:pPr>
              <w:spacing w:after="0"/>
              <w:rPr>
                <w:sz w:val="5"/>
                <w:szCs w:val="5"/>
                <w:color w:val="auto"/>
              </w:rPr>
            </w:pPr>
          </w:p>
        </w:tc>
        <w:tc>
          <w:tcPr>
            <w:tcW w:w="180" w:type="dxa"/>
            <w:vAlign w:val="bottom"/>
            <w:shd w:val="clear" w:color="auto" w:fill="2D53A6"/>
          </w:tcPr>
          <w:p>
            <w:pPr>
              <w:spacing w:after="0"/>
              <w:rPr>
                <w:sz w:val="5"/>
                <w:szCs w:val="5"/>
                <w:color w:val="auto"/>
              </w:rPr>
            </w:pPr>
          </w:p>
        </w:tc>
        <w:tc>
          <w:tcPr>
            <w:tcW w:w="900" w:type="dxa"/>
            <w:vAlign w:val="bottom"/>
            <w:tcBorders>
              <w:right w:val="single" w:sz="8" w:color="2D53A6"/>
            </w:tcBorders>
            <w:shd w:val="clear" w:color="auto" w:fill="2D53A6"/>
          </w:tcPr>
          <w:p>
            <w:pPr>
              <w:spacing w:after="0"/>
              <w:rPr>
                <w:sz w:val="5"/>
                <w:szCs w:val="5"/>
                <w:color w:val="auto"/>
              </w:rPr>
            </w:pPr>
          </w:p>
        </w:tc>
        <w:tc>
          <w:tcPr>
            <w:tcW w:w="1100" w:type="dxa"/>
            <w:vAlign w:val="bottom"/>
            <w:tcBorders>
              <w:right w:val="single" w:sz="8" w:color="2D53A6"/>
            </w:tcBorders>
            <w:shd w:val="clear" w:color="auto" w:fill="2D53A6"/>
          </w:tcPr>
          <w:p>
            <w:pPr>
              <w:spacing w:after="0"/>
              <w:rPr>
                <w:sz w:val="5"/>
                <w:szCs w:val="5"/>
                <w:color w:val="auto"/>
              </w:rPr>
            </w:pPr>
          </w:p>
        </w:tc>
        <w:tc>
          <w:tcPr>
            <w:tcW w:w="1080" w:type="dxa"/>
            <w:vAlign w:val="bottom"/>
            <w:tcBorders>
              <w:right w:val="single" w:sz="8" w:color="2D53A6"/>
            </w:tcBorders>
            <w:vMerge w:val="continue"/>
            <w:shd w:val="clear" w:color="auto" w:fill="2D53A6"/>
          </w:tcPr>
          <w:p>
            <w:pPr>
              <w:spacing w:after="0"/>
              <w:rPr>
                <w:sz w:val="5"/>
                <w:szCs w:val="5"/>
                <w:color w:val="auto"/>
              </w:rPr>
            </w:pPr>
          </w:p>
        </w:tc>
        <w:tc>
          <w:tcPr>
            <w:tcW w:w="1080" w:type="dxa"/>
            <w:vAlign w:val="bottom"/>
            <w:tcBorders>
              <w:right w:val="single" w:sz="8" w:color="2D53A6"/>
            </w:tcBorders>
            <w:shd w:val="clear" w:color="auto" w:fill="2D53A6"/>
          </w:tcPr>
          <w:p>
            <w:pPr>
              <w:spacing w:after="0"/>
              <w:rPr>
                <w:sz w:val="5"/>
                <w:szCs w:val="5"/>
                <w:color w:val="auto"/>
              </w:rPr>
            </w:pPr>
          </w:p>
        </w:tc>
        <w:tc>
          <w:tcPr>
            <w:tcW w:w="980" w:type="dxa"/>
            <w:vAlign w:val="bottom"/>
            <w:shd w:val="clear" w:color="auto" w:fill="2D53A6"/>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4820" w:type="dxa"/>
            <w:vAlign w:val="bottom"/>
            <w:tcBorders>
              <w:right w:val="single" w:sz="8" w:color="2D53A6"/>
            </w:tcBorders>
          </w:tcPr>
          <w:p>
            <w:pPr>
              <w:spacing w:after="0" w:line="201" w:lineRule="exact"/>
              <w:rPr>
                <w:sz w:val="20"/>
                <w:szCs w:val="20"/>
                <w:color w:val="auto"/>
              </w:rPr>
            </w:pPr>
            <w:r>
              <w:rPr>
                <w:rFonts w:ascii="Arial" w:cs="Arial" w:eastAsia="Arial" w:hAnsi="Arial"/>
                <w:sz w:val="18"/>
                <w:szCs w:val="18"/>
                <w:color w:val="auto"/>
              </w:rPr>
              <w:t>Luis A. Müller</w:t>
            </w:r>
          </w:p>
        </w:tc>
        <w:tc>
          <w:tcPr>
            <w:tcW w:w="1100" w:type="dxa"/>
            <w:vAlign w:val="bottom"/>
            <w:tcBorders>
              <w:right w:val="single" w:sz="8" w:color="2D53A6"/>
            </w:tcBorders>
          </w:tcPr>
          <w:p>
            <w:pPr>
              <w:ind w:left="360"/>
              <w:spacing w:after="0" w:line="201" w:lineRule="exact"/>
              <w:rPr>
                <w:sz w:val="20"/>
                <w:szCs w:val="20"/>
                <w:color w:val="auto"/>
              </w:rPr>
            </w:pPr>
            <w:r>
              <w:rPr>
                <w:rFonts w:ascii="Arial" w:cs="Arial" w:eastAsia="Arial" w:hAnsi="Arial"/>
                <w:sz w:val="18"/>
                <w:szCs w:val="18"/>
                <w:color w:val="auto"/>
              </w:rPr>
              <w:t>2021</w:t>
            </w:r>
          </w:p>
        </w:tc>
        <w:tc>
          <w:tcPr>
            <w:tcW w:w="180" w:type="dxa"/>
            <w:vAlign w:val="bottom"/>
          </w:tcPr>
          <w:p>
            <w:pPr>
              <w:spacing w:after="0"/>
              <w:rPr>
                <w:sz w:val="17"/>
                <w:szCs w:val="17"/>
                <w:color w:val="auto"/>
              </w:rPr>
            </w:pPr>
          </w:p>
        </w:tc>
        <w:tc>
          <w:tcPr>
            <w:tcW w:w="900" w:type="dxa"/>
            <w:vAlign w:val="bottom"/>
            <w:tcBorders>
              <w:right w:val="single" w:sz="8" w:color="2D53A6"/>
            </w:tcBorders>
          </w:tcPr>
          <w:p>
            <w:pPr>
              <w:ind w:left="80"/>
              <w:spacing w:after="0" w:line="201" w:lineRule="exact"/>
              <w:rPr>
                <w:sz w:val="20"/>
                <w:szCs w:val="20"/>
                <w:color w:val="auto"/>
              </w:rPr>
            </w:pPr>
            <w:r>
              <w:rPr>
                <w:rFonts w:ascii="Arial" w:cs="Arial" w:eastAsia="Arial" w:hAnsi="Arial"/>
                <w:sz w:val="18"/>
                <w:szCs w:val="18"/>
                <w:color w:val="auto"/>
              </w:rPr>
              <w:t>619,231</w:t>
            </w:r>
          </w:p>
        </w:tc>
        <w:tc>
          <w:tcPr>
            <w:tcW w:w="1100" w:type="dxa"/>
            <w:vAlign w:val="bottom"/>
            <w:tcBorders>
              <w:right w:val="single" w:sz="8" w:color="2D53A6"/>
            </w:tcBorders>
          </w:tcPr>
          <w:p>
            <w:pPr>
              <w:jc w:val="center"/>
              <w:spacing w:after="0" w:line="201" w:lineRule="exact"/>
              <w:rPr>
                <w:sz w:val="20"/>
                <w:szCs w:val="20"/>
                <w:color w:val="auto"/>
              </w:rPr>
            </w:pPr>
            <w:r>
              <w:rPr>
                <w:rFonts w:ascii="Arial" w:cs="Arial" w:eastAsia="Arial" w:hAnsi="Arial"/>
                <w:sz w:val="18"/>
                <w:szCs w:val="18"/>
                <w:color w:val="auto"/>
                <w:w w:val="89"/>
              </w:rPr>
              <w:t>2,891,579</w:t>
            </w:r>
          </w:p>
        </w:tc>
        <w:tc>
          <w:tcPr>
            <w:tcW w:w="1080" w:type="dxa"/>
            <w:vAlign w:val="bottom"/>
            <w:tcBorders>
              <w:right w:val="single" w:sz="8" w:color="2D53A6"/>
            </w:tcBorders>
          </w:tcPr>
          <w:p>
            <w:pPr>
              <w:jc w:val="center"/>
              <w:spacing w:after="0" w:line="201" w:lineRule="exact"/>
              <w:rPr>
                <w:sz w:val="20"/>
                <w:szCs w:val="20"/>
                <w:color w:val="auto"/>
              </w:rPr>
            </w:pPr>
            <w:r>
              <w:rPr>
                <w:rFonts w:ascii="Arial" w:cs="Arial" w:eastAsia="Arial" w:hAnsi="Arial"/>
                <w:sz w:val="18"/>
                <w:szCs w:val="18"/>
                <w:color w:val="auto"/>
                <w:w w:val="89"/>
              </w:rPr>
              <w:t>1,049,282</w:t>
            </w:r>
          </w:p>
        </w:tc>
        <w:tc>
          <w:tcPr>
            <w:tcW w:w="1080" w:type="dxa"/>
            <w:vAlign w:val="bottom"/>
            <w:tcBorders>
              <w:right w:val="single" w:sz="8" w:color="2D53A6"/>
            </w:tcBorders>
          </w:tcPr>
          <w:p>
            <w:pPr>
              <w:jc w:val="center"/>
              <w:spacing w:after="0" w:line="201" w:lineRule="exact"/>
              <w:rPr>
                <w:sz w:val="20"/>
                <w:szCs w:val="20"/>
                <w:color w:val="auto"/>
              </w:rPr>
            </w:pPr>
            <w:r>
              <w:rPr>
                <w:rFonts w:ascii="Arial" w:cs="Arial" w:eastAsia="Arial" w:hAnsi="Arial"/>
                <w:sz w:val="18"/>
                <w:szCs w:val="18"/>
                <w:color w:val="auto"/>
                <w:w w:val="90"/>
              </w:rPr>
              <w:t>22,324</w:t>
            </w:r>
          </w:p>
        </w:tc>
        <w:tc>
          <w:tcPr>
            <w:tcW w:w="980" w:type="dxa"/>
            <w:vAlign w:val="bottom"/>
          </w:tcPr>
          <w:p>
            <w:pPr>
              <w:jc w:val="center"/>
              <w:spacing w:after="0" w:line="201" w:lineRule="exact"/>
              <w:rPr>
                <w:sz w:val="20"/>
                <w:szCs w:val="20"/>
                <w:color w:val="auto"/>
              </w:rPr>
            </w:pPr>
            <w:r>
              <w:rPr>
                <w:rFonts w:ascii="Arial" w:cs="Arial" w:eastAsia="Arial" w:hAnsi="Arial"/>
                <w:sz w:val="18"/>
                <w:szCs w:val="18"/>
                <w:color w:val="auto"/>
                <w:w w:val="89"/>
              </w:rPr>
              <w:t>4,582,416</w:t>
            </w:r>
          </w:p>
        </w:tc>
        <w:tc>
          <w:tcPr>
            <w:tcW w:w="0" w:type="dxa"/>
            <w:vAlign w:val="bottom"/>
          </w:tcPr>
          <w:p>
            <w:pPr>
              <w:spacing w:after="0"/>
              <w:rPr>
                <w:sz w:val="1"/>
                <w:szCs w:val="1"/>
                <w:color w:val="auto"/>
              </w:rPr>
            </w:pPr>
          </w:p>
        </w:tc>
      </w:tr>
      <w:tr>
        <w:trPr>
          <w:trHeight w:val="216"/>
        </w:trPr>
        <w:tc>
          <w:tcPr>
            <w:tcW w:w="4820" w:type="dxa"/>
            <w:vAlign w:val="bottom"/>
            <w:tcBorders>
              <w:right w:val="single" w:sz="8" w:color="2D53A6"/>
            </w:tcBorders>
          </w:tcPr>
          <w:p>
            <w:pPr>
              <w:spacing w:after="0"/>
              <w:rPr>
                <w:sz w:val="20"/>
                <w:szCs w:val="20"/>
                <w:color w:val="auto"/>
              </w:rPr>
            </w:pPr>
            <w:r>
              <w:rPr>
                <w:rFonts w:ascii="Arial" w:cs="Arial" w:eastAsia="Arial" w:hAnsi="Arial"/>
                <w:sz w:val="18"/>
                <w:szCs w:val="18"/>
                <w:i w:val="1"/>
                <w:iCs w:val="1"/>
                <w:color w:val="auto"/>
              </w:rPr>
              <w:t>President &amp;</w:t>
            </w:r>
          </w:p>
        </w:tc>
        <w:tc>
          <w:tcPr>
            <w:tcW w:w="1100" w:type="dxa"/>
            <w:vAlign w:val="bottom"/>
            <w:tcBorders>
              <w:right w:val="single" w:sz="8" w:color="2D53A6"/>
            </w:tcBorders>
          </w:tcPr>
          <w:p>
            <w:pPr>
              <w:ind w:left="360"/>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18"/>
                <w:szCs w:val="18"/>
                <w:color w:val="auto"/>
              </w:rPr>
            </w:pPr>
          </w:p>
        </w:tc>
        <w:tc>
          <w:tcPr>
            <w:tcW w:w="900" w:type="dxa"/>
            <w:vAlign w:val="bottom"/>
            <w:tcBorders>
              <w:right w:val="single" w:sz="8" w:color="2D53A6"/>
            </w:tcBorders>
          </w:tcPr>
          <w:p>
            <w:pPr>
              <w:ind w:left="80"/>
              <w:spacing w:after="0"/>
              <w:rPr>
                <w:sz w:val="20"/>
                <w:szCs w:val="20"/>
                <w:color w:val="auto"/>
              </w:rPr>
            </w:pPr>
            <w:r>
              <w:rPr>
                <w:rFonts w:ascii="Arial" w:cs="Arial" w:eastAsia="Arial" w:hAnsi="Arial"/>
                <w:sz w:val="18"/>
                <w:szCs w:val="18"/>
                <w:color w:val="auto"/>
              </w:rPr>
              <w:t>543,510</w:t>
            </w:r>
          </w:p>
        </w:tc>
        <w:tc>
          <w:tcPr>
            <w:tcW w:w="1100" w:type="dxa"/>
            <w:vAlign w:val="bottom"/>
            <w:tcBorders>
              <w:right w:val="single" w:sz="8" w:color="2D53A6"/>
            </w:tcBorders>
          </w:tcPr>
          <w:p>
            <w:pPr>
              <w:jc w:val="center"/>
              <w:spacing w:after="0"/>
              <w:rPr>
                <w:sz w:val="20"/>
                <w:szCs w:val="20"/>
                <w:color w:val="auto"/>
              </w:rPr>
            </w:pPr>
            <w:r>
              <w:rPr>
                <w:rFonts w:ascii="Arial" w:cs="Arial" w:eastAsia="Arial" w:hAnsi="Arial"/>
                <w:sz w:val="18"/>
                <w:szCs w:val="18"/>
                <w:color w:val="auto"/>
                <w:w w:val="89"/>
              </w:rPr>
              <w:t>2,138,683</w:t>
            </w:r>
          </w:p>
        </w:tc>
        <w:tc>
          <w:tcPr>
            <w:tcW w:w="1080" w:type="dxa"/>
            <w:vAlign w:val="bottom"/>
            <w:tcBorders>
              <w:right w:val="single" w:sz="8" w:color="2D53A6"/>
            </w:tcBorders>
          </w:tcPr>
          <w:p>
            <w:pPr>
              <w:jc w:val="center"/>
              <w:spacing w:after="0"/>
              <w:rPr>
                <w:sz w:val="20"/>
                <w:szCs w:val="20"/>
                <w:color w:val="auto"/>
              </w:rPr>
            </w:pPr>
            <w:r>
              <w:rPr>
                <w:rFonts w:ascii="Arial" w:cs="Arial" w:eastAsia="Arial" w:hAnsi="Arial"/>
                <w:sz w:val="18"/>
                <w:szCs w:val="18"/>
                <w:color w:val="auto"/>
                <w:w w:val="89"/>
              </w:rPr>
              <w:t>611,432</w:t>
            </w:r>
          </w:p>
        </w:tc>
        <w:tc>
          <w:tcPr>
            <w:tcW w:w="1080" w:type="dxa"/>
            <w:vAlign w:val="bottom"/>
            <w:tcBorders>
              <w:right w:val="single" w:sz="8" w:color="2D53A6"/>
            </w:tcBorders>
          </w:tcPr>
          <w:p>
            <w:pPr>
              <w:jc w:val="center"/>
              <w:spacing w:after="0"/>
              <w:rPr>
                <w:sz w:val="20"/>
                <w:szCs w:val="20"/>
                <w:color w:val="auto"/>
              </w:rPr>
            </w:pPr>
            <w:r>
              <w:rPr>
                <w:rFonts w:ascii="Arial" w:cs="Arial" w:eastAsia="Arial" w:hAnsi="Arial"/>
                <w:sz w:val="18"/>
                <w:szCs w:val="18"/>
                <w:color w:val="auto"/>
                <w:w w:val="90"/>
              </w:rPr>
              <w:t>22,270</w:t>
            </w: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3,315,895</w:t>
            </w:r>
          </w:p>
        </w:tc>
        <w:tc>
          <w:tcPr>
            <w:tcW w:w="0" w:type="dxa"/>
            <w:vAlign w:val="bottom"/>
          </w:tcPr>
          <w:p>
            <w:pPr>
              <w:spacing w:after="0"/>
              <w:rPr>
                <w:sz w:val="1"/>
                <w:szCs w:val="1"/>
                <w:color w:val="auto"/>
              </w:rPr>
            </w:pPr>
          </w:p>
        </w:tc>
      </w:tr>
      <w:tr>
        <w:trPr>
          <w:trHeight w:val="230"/>
        </w:trPr>
        <w:tc>
          <w:tcPr>
            <w:tcW w:w="4820" w:type="dxa"/>
            <w:vAlign w:val="bottom"/>
            <w:tcBorders>
              <w:bottom w:val="single" w:sz="8" w:color="2D53A6"/>
              <w:right w:val="single" w:sz="8" w:color="2D53A6"/>
            </w:tcBorders>
          </w:tcPr>
          <w:p>
            <w:pPr>
              <w:spacing w:after="0"/>
              <w:rPr>
                <w:sz w:val="20"/>
                <w:szCs w:val="20"/>
                <w:color w:val="auto"/>
              </w:rPr>
            </w:pPr>
            <w:r>
              <w:rPr>
                <w:rFonts w:ascii="Arial" w:cs="Arial" w:eastAsia="Arial" w:hAnsi="Arial"/>
                <w:sz w:val="18"/>
                <w:szCs w:val="18"/>
                <w:i w:val="1"/>
                <w:iCs w:val="1"/>
                <w:color w:val="auto"/>
              </w:rPr>
              <w:t>Chief Executive Officer</w:t>
            </w:r>
          </w:p>
        </w:tc>
        <w:tc>
          <w:tcPr>
            <w:tcW w:w="1100" w:type="dxa"/>
            <w:vAlign w:val="bottom"/>
            <w:tcBorders>
              <w:bottom w:val="single" w:sz="8" w:color="2D53A6"/>
              <w:right w:val="single" w:sz="8" w:color="2D53A6"/>
            </w:tcBorders>
          </w:tcPr>
          <w:p>
            <w:pPr>
              <w:ind w:left="360"/>
              <w:spacing w:after="0"/>
              <w:rPr>
                <w:sz w:val="20"/>
                <w:szCs w:val="20"/>
                <w:color w:val="auto"/>
              </w:rPr>
            </w:pPr>
            <w:r>
              <w:rPr>
                <w:rFonts w:ascii="Arial" w:cs="Arial" w:eastAsia="Arial" w:hAnsi="Arial"/>
                <w:sz w:val="18"/>
                <w:szCs w:val="18"/>
                <w:color w:val="auto"/>
              </w:rPr>
              <w:t>2019</w:t>
            </w:r>
          </w:p>
        </w:tc>
        <w:tc>
          <w:tcPr>
            <w:tcW w:w="180" w:type="dxa"/>
            <w:vAlign w:val="bottom"/>
            <w:tcBorders>
              <w:bottom w:val="single" w:sz="8" w:color="2D53A6"/>
            </w:tcBorders>
          </w:tcPr>
          <w:p>
            <w:pPr>
              <w:spacing w:after="0"/>
              <w:rPr>
                <w:sz w:val="20"/>
                <w:szCs w:val="20"/>
                <w:color w:val="auto"/>
              </w:rPr>
            </w:pPr>
          </w:p>
        </w:tc>
        <w:tc>
          <w:tcPr>
            <w:tcW w:w="900" w:type="dxa"/>
            <w:vAlign w:val="bottom"/>
            <w:tcBorders>
              <w:bottom w:val="single" w:sz="8" w:color="2D53A6"/>
              <w:right w:val="single" w:sz="8" w:color="2D53A6"/>
            </w:tcBorders>
          </w:tcPr>
          <w:p>
            <w:pPr>
              <w:ind w:left="80"/>
              <w:spacing w:after="0"/>
              <w:rPr>
                <w:sz w:val="20"/>
                <w:szCs w:val="20"/>
                <w:color w:val="auto"/>
              </w:rPr>
            </w:pPr>
            <w:r>
              <w:rPr>
                <w:rFonts w:ascii="Arial" w:cs="Arial" w:eastAsia="Arial" w:hAnsi="Arial"/>
                <w:sz w:val="18"/>
                <w:szCs w:val="18"/>
                <w:color w:val="auto"/>
              </w:rPr>
              <w:t>583,558</w:t>
            </w:r>
          </w:p>
        </w:tc>
        <w:tc>
          <w:tcPr>
            <w:tcW w:w="110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89"/>
              </w:rPr>
              <w:t>1,654,342</w:t>
            </w:r>
          </w:p>
        </w:tc>
        <w:tc>
          <w:tcPr>
            <w:tcW w:w="108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89"/>
              </w:rPr>
              <w:t>266,834</w:t>
            </w:r>
          </w:p>
        </w:tc>
        <w:tc>
          <w:tcPr>
            <w:tcW w:w="108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0"/>
              </w:rPr>
              <w:t>20,568</w:t>
            </w:r>
          </w:p>
        </w:tc>
        <w:tc>
          <w:tcPr>
            <w:tcW w:w="980" w:type="dxa"/>
            <w:vAlign w:val="bottom"/>
            <w:tcBorders>
              <w:bottom w:val="single" w:sz="8" w:color="2D53A6"/>
            </w:tcBorders>
          </w:tcPr>
          <w:p>
            <w:pPr>
              <w:jc w:val="center"/>
              <w:spacing w:after="0"/>
              <w:rPr>
                <w:sz w:val="20"/>
                <w:szCs w:val="20"/>
                <w:color w:val="auto"/>
              </w:rPr>
            </w:pPr>
            <w:r>
              <w:rPr>
                <w:rFonts w:ascii="Arial" w:cs="Arial" w:eastAsia="Arial" w:hAnsi="Arial"/>
                <w:sz w:val="18"/>
                <w:szCs w:val="18"/>
                <w:color w:val="auto"/>
                <w:w w:val="89"/>
              </w:rPr>
              <w:t>2,525,302</w:t>
            </w:r>
          </w:p>
        </w:tc>
        <w:tc>
          <w:tcPr>
            <w:tcW w:w="0" w:type="dxa"/>
            <w:vAlign w:val="bottom"/>
          </w:tcPr>
          <w:p>
            <w:pPr>
              <w:spacing w:after="0"/>
              <w:rPr>
                <w:sz w:val="1"/>
                <w:szCs w:val="1"/>
                <w:color w:val="auto"/>
              </w:rPr>
            </w:pPr>
          </w:p>
        </w:tc>
      </w:tr>
      <w:tr>
        <w:trPr>
          <w:trHeight w:val="210"/>
        </w:trPr>
        <w:tc>
          <w:tcPr>
            <w:tcW w:w="4820" w:type="dxa"/>
            <w:vAlign w:val="bottom"/>
            <w:tcBorders>
              <w:right w:val="single" w:sz="8" w:color="2D53A6"/>
            </w:tcBorders>
            <w:shd w:val="clear" w:color="auto" w:fill="E6E6E6"/>
          </w:tcPr>
          <w:p>
            <w:pPr>
              <w:spacing w:after="0"/>
              <w:rPr>
                <w:sz w:val="20"/>
                <w:szCs w:val="20"/>
                <w:color w:val="auto"/>
              </w:rPr>
            </w:pPr>
            <w:r>
              <w:rPr>
                <w:rFonts w:ascii="Arial" w:cs="Arial" w:eastAsia="Arial" w:hAnsi="Arial"/>
                <w:sz w:val="18"/>
                <w:szCs w:val="18"/>
                <w:color w:val="auto"/>
              </w:rPr>
              <w:t>Jeffrey D. Jones</w:t>
            </w:r>
          </w:p>
        </w:tc>
        <w:tc>
          <w:tcPr>
            <w:tcW w:w="1100" w:type="dxa"/>
            <w:vAlign w:val="bottom"/>
            <w:tcBorders>
              <w:right w:val="single" w:sz="8" w:color="2D53A6"/>
            </w:tcBorders>
            <w:shd w:val="clear" w:color="auto" w:fill="E6E6E6"/>
          </w:tcPr>
          <w:p>
            <w:pPr>
              <w:ind w:left="360"/>
              <w:spacing w:after="0"/>
              <w:rPr>
                <w:sz w:val="20"/>
                <w:szCs w:val="20"/>
                <w:color w:val="auto"/>
              </w:rPr>
            </w:pPr>
            <w:r>
              <w:rPr>
                <w:rFonts w:ascii="Arial" w:cs="Arial" w:eastAsia="Arial" w:hAnsi="Arial"/>
                <w:sz w:val="18"/>
                <w:szCs w:val="18"/>
                <w:color w:val="auto"/>
              </w:rPr>
              <w:t>2021</w:t>
            </w:r>
          </w:p>
        </w:tc>
        <w:tc>
          <w:tcPr>
            <w:tcW w:w="180" w:type="dxa"/>
            <w:vAlign w:val="bottom"/>
            <w:shd w:val="clear" w:color="auto" w:fill="E6E6E6"/>
          </w:tcPr>
          <w:p>
            <w:pPr>
              <w:spacing w:after="0"/>
              <w:rPr>
                <w:sz w:val="18"/>
                <w:szCs w:val="18"/>
                <w:color w:val="auto"/>
              </w:rPr>
            </w:pPr>
          </w:p>
        </w:tc>
        <w:tc>
          <w:tcPr>
            <w:tcW w:w="900" w:type="dxa"/>
            <w:vAlign w:val="bottom"/>
            <w:tcBorders>
              <w:right w:val="single" w:sz="8" w:color="2D53A6"/>
            </w:tcBorders>
            <w:shd w:val="clear" w:color="auto" w:fill="E6E6E6"/>
          </w:tcPr>
          <w:p>
            <w:pPr>
              <w:ind w:left="80"/>
              <w:spacing w:after="0"/>
              <w:rPr>
                <w:sz w:val="20"/>
                <w:szCs w:val="20"/>
                <w:color w:val="auto"/>
              </w:rPr>
            </w:pPr>
            <w:r>
              <w:rPr>
                <w:rFonts w:ascii="Arial" w:cs="Arial" w:eastAsia="Arial" w:hAnsi="Arial"/>
                <w:sz w:val="18"/>
                <w:szCs w:val="18"/>
                <w:color w:val="auto"/>
              </w:rPr>
              <w:t>404,232</w:t>
            </w:r>
          </w:p>
        </w:tc>
        <w:tc>
          <w:tcPr>
            <w:tcW w:w="1100" w:type="dxa"/>
            <w:vAlign w:val="bottom"/>
            <w:tcBorders>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89"/>
              </w:rPr>
              <w:t>948,426</w:t>
            </w:r>
          </w:p>
        </w:tc>
        <w:tc>
          <w:tcPr>
            <w:tcW w:w="1080" w:type="dxa"/>
            <w:vAlign w:val="bottom"/>
            <w:tcBorders>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89"/>
              </w:rPr>
              <w:t>481,830</w:t>
            </w:r>
          </w:p>
        </w:tc>
        <w:tc>
          <w:tcPr>
            <w:tcW w:w="1080" w:type="dxa"/>
            <w:vAlign w:val="bottom"/>
            <w:tcBorders>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0"/>
              </w:rPr>
              <w:t>19,000</w:t>
            </w:r>
          </w:p>
        </w:tc>
        <w:tc>
          <w:tcPr>
            <w:tcW w:w="980" w:type="dxa"/>
            <w:vAlign w:val="bottom"/>
            <w:shd w:val="clear" w:color="auto" w:fill="E6E6E6"/>
          </w:tcPr>
          <w:p>
            <w:pPr>
              <w:jc w:val="center"/>
              <w:spacing w:after="0"/>
              <w:rPr>
                <w:sz w:val="20"/>
                <w:szCs w:val="20"/>
                <w:color w:val="auto"/>
              </w:rPr>
            </w:pPr>
            <w:r>
              <w:rPr>
                <w:rFonts w:ascii="Arial" w:cs="Arial" w:eastAsia="Arial" w:hAnsi="Arial"/>
                <w:sz w:val="18"/>
                <w:szCs w:val="18"/>
                <w:color w:val="auto"/>
                <w:w w:val="89"/>
              </w:rPr>
              <w:t>1,853,488</w:t>
            </w:r>
          </w:p>
        </w:tc>
        <w:tc>
          <w:tcPr>
            <w:tcW w:w="0" w:type="dxa"/>
            <w:vAlign w:val="bottom"/>
          </w:tcPr>
          <w:p>
            <w:pPr>
              <w:spacing w:after="0"/>
              <w:rPr>
                <w:sz w:val="1"/>
                <w:szCs w:val="1"/>
                <w:color w:val="auto"/>
              </w:rPr>
            </w:pPr>
          </w:p>
        </w:tc>
      </w:tr>
      <w:tr>
        <w:trPr>
          <w:trHeight w:val="216"/>
        </w:trPr>
        <w:tc>
          <w:tcPr>
            <w:tcW w:w="4820" w:type="dxa"/>
            <w:vAlign w:val="bottom"/>
            <w:tcBorders>
              <w:right w:val="single" w:sz="8" w:color="2D53A6"/>
            </w:tcBorders>
            <w:shd w:val="clear" w:color="auto" w:fill="E6E6E6"/>
          </w:tcPr>
          <w:p>
            <w:pPr>
              <w:spacing w:after="0"/>
              <w:rPr>
                <w:sz w:val="20"/>
                <w:szCs w:val="20"/>
                <w:color w:val="auto"/>
              </w:rPr>
            </w:pPr>
            <w:r>
              <w:rPr>
                <w:rFonts w:ascii="Arial" w:cs="Arial" w:eastAsia="Arial" w:hAnsi="Arial"/>
                <w:sz w:val="18"/>
                <w:szCs w:val="18"/>
                <w:i w:val="1"/>
                <w:iCs w:val="1"/>
                <w:color w:val="auto"/>
              </w:rPr>
              <w:t>Sr. Vice President, Finance &amp;</w:t>
            </w:r>
          </w:p>
        </w:tc>
        <w:tc>
          <w:tcPr>
            <w:tcW w:w="1100" w:type="dxa"/>
            <w:vAlign w:val="bottom"/>
            <w:tcBorders>
              <w:right w:val="single" w:sz="8" w:color="2D53A6"/>
            </w:tcBorders>
            <w:shd w:val="clear" w:color="auto" w:fill="E6E6E6"/>
          </w:tcPr>
          <w:p>
            <w:pPr>
              <w:ind w:left="360"/>
              <w:spacing w:after="0"/>
              <w:rPr>
                <w:sz w:val="20"/>
                <w:szCs w:val="20"/>
                <w:color w:val="auto"/>
              </w:rPr>
            </w:pPr>
            <w:r>
              <w:rPr>
                <w:rFonts w:ascii="Arial" w:cs="Arial" w:eastAsia="Arial" w:hAnsi="Arial"/>
                <w:sz w:val="18"/>
                <w:szCs w:val="18"/>
                <w:color w:val="auto"/>
              </w:rPr>
              <w:t>2020</w:t>
            </w:r>
          </w:p>
        </w:tc>
        <w:tc>
          <w:tcPr>
            <w:tcW w:w="180" w:type="dxa"/>
            <w:vAlign w:val="bottom"/>
            <w:shd w:val="clear" w:color="auto" w:fill="E6E6E6"/>
          </w:tcPr>
          <w:p>
            <w:pPr>
              <w:spacing w:after="0"/>
              <w:rPr>
                <w:sz w:val="18"/>
                <w:szCs w:val="18"/>
                <w:color w:val="auto"/>
              </w:rPr>
            </w:pPr>
          </w:p>
        </w:tc>
        <w:tc>
          <w:tcPr>
            <w:tcW w:w="900" w:type="dxa"/>
            <w:vAlign w:val="bottom"/>
            <w:tcBorders>
              <w:right w:val="single" w:sz="8" w:color="2D53A6"/>
            </w:tcBorders>
            <w:shd w:val="clear" w:color="auto" w:fill="E6E6E6"/>
          </w:tcPr>
          <w:p>
            <w:pPr>
              <w:ind w:left="80"/>
              <w:spacing w:after="0"/>
              <w:rPr>
                <w:sz w:val="20"/>
                <w:szCs w:val="20"/>
                <w:color w:val="auto"/>
              </w:rPr>
            </w:pPr>
            <w:r>
              <w:rPr>
                <w:rFonts w:ascii="Arial" w:cs="Arial" w:eastAsia="Arial" w:hAnsi="Arial"/>
                <w:sz w:val="18"/>
                <w:szCs w:val="18"/>
                <w:color w:val="auto"/>
              </w:rPr>
              <w:t>358,081</w:t>
            </w:r>
          </w:p>
        </w:tc>
        <w:tc>
          <w:tcPr>
            <w:tcW w:w="1100" w:type="dxa"/>
            <w:vAlign w:val="bottom"/>
            <w:tcBorders>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89"/>
              </w:rPr>
              <w:t>706,252</w:t>
            </w:r>
          </w:p>
        </w:tc>
        <w:tc>
          <w:tcPr>
            <w:tcW w:w="1080" w:type="dxa"/>
            <w:vAlign w:val="bottom"/>
            <w:tcBorders>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89"/>
              </w:rPr>
              <w:t>273,346</w:t>
            </w:r>
          </w:p>
        </w:tc>
        <w:tc>
          <w:tcPr>
            <w:tcW w:w="1080" w:type="dxa"/>
            <w:vAlign w:val="bottom"/>
            <w:tcBorders>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0"/>
              </w:rPr>
              <w:t>18,831</w:t>
            </w:r>
          </w:p>
        </w:tc>
        <w:tc>
          <w:tcPr>
            <w:tcW w:w="980" w:type="dxa"/>
            <w:vAlign w:val="bottom"/>
            <w:shd w:val="clear" w:color="auto" w:fill="E6E6E6"/>
          </w:tcPr>
          <w:p>
            <w:pPr>
              <w:jc w:val="center"/>
              <w:spacing w:after="0"/>
              <w:rPr>
                <w:sz w:val="20"/>
                <w:szCs w:val="20"/>
                <w:color w:val="auto"/>
              </w:rPr>
            </w:pPr>
            <w:r>
              <w:rPr>
                <w:rFonts w:ascii="Arial" w:cs="Arial" w:eastAsia="Arial" w:hAnsi="Arial"/>
                <w:sz w:val="18"/>
                <w:szCs w:val="18"/>
                <w:color w:val="auto"/>
                <w:w w:val="89"/>
              </w:rPr>
              <w:t>1,356,510</w:t>
            </w:r>
          </w:p>
        </w:tc>
        <w:tc>
          <w:tcPr>
            <w:tcW w:w="0" w:type="dxa"/>
            <w:vAlign w:val="bottom"/>
          </w:tcPr>
          <w:p>
            <w:pPr>
              <w:spacing w:after="0"/>
              <w:rPr>
                <w:sz w:val="1"/>
                <w:szCs w:val="1"/>
                <w:color w:val="auto"/>
              </w:rPr>
            </w:pPr>
          </w:p>
        </w:tc>
      </w:tr>
      <w:tr>
        <w:trPr>
          <w:trHeight w:val="216"/>
        </w:trPr>
        <w:tc>
          <w:tcPr>
            <w:tcW w:w="4820" w:type="dxa"/>
            <w:vAlign w:val="bottom"/>
            <w:tcBorders>
              <w:bottom w:val="single" w:sz="8" w:color="2D53A6"/>
              <w:right w:val="single" w:sz="8" w:color="2D53A6"/>
            </w:tcBorders>
            <w:shd w:val="clear" w:color="auto" w:fill="E6E6E6"/>
          </w:tcPr>
          <w:p>
            <w:pPr>
              <w:spacing w:after="0"/>
              <w:rPr>
                <w:sz w:val="20"/>
                <w:szCs w:val="20"/>
                <w:color w:val="auto"/>
              </w:rPr>
            </w:pPr>
            <w:r>
              <w:rPr>
                <w:rFonts w:ascii="Arial" w:cs="Arial" w:eastAsia="Arial" w:hAnsi="Arial"/>
                <w:sz w:val="18"/>
                <w:szCs w:val="18"/>
                <w:i w:val="1"/>
                <w:iCs w:val="1"/>
                <w:color w:val="auto"/>
              </w:rPr>
              <w:t>Chief Financial Officer</w:t>
            </w:r>
          </w:p>
        </w:tc>
        <w:tc>
          <w:tcPr>
            <w:tcW w:w="1100" w:type="dxa"/>
            <w:vAlign w:val="bottom"/>
            <w:tcBorders>
              <w:bottom w:val="single" w:sz="8" w:color="2D53A6"/>
              <w:right w:val="single" w:sz="8" w:color="2D53A6"/>
            </w:tcBorders>
            <w:shd w:val="clear" w:color="auto" w:fill="E6E6E6"/>
          </w:tcPr>
          <w:p>
            <w:pPr>
              <w:ind w:left="360"/>
              <w:spacing w:after="0"/>
              <w:rPr>
                <w:sz w:val="20"/>
                <w:szCs w:val="20"/>
                <w:color w:val="auto"/>
              </w:rPr>
            </w:pPr>
            <w:r>
              <w:rPr>
                <w:rFonts w:ascii="Arial" w:cs="Arial" w:eastAsia="Arial" w:hAnsi="Arial"/>
                <w:sz w:val="18"/>
                <w:szCs w:val="18"/>
                <w:color w:val="auto"/>
              </w:rPr>
              <w:t>2019</w:t>
            </w:r>
          </w:p>
        </w:tc>
        <w:tc>
          <w:tcPr>
            <w:tcW w:w="180" w:type="dxa"/>
            <w:vAlign w:val="bottom"/>
            <w:tcBorders>
              <w:bottom w:val="single" w:sz="8" w:color="2D53A6"/>
            </w:tcBorders>
            <w:shd w:val="clear" w:color="auto" w:fill="E6E6E6"/>
          </w:tcPr>
          <w:p>
            <w:pPr>
              <w:spacing w:after="0"/>
              <w:rPr>
                <w:sz w:val="18"/>
                <w:szCs w:val="18"/>
                <w:color w:val="auto"/>
              </w:rPr>
            </w:pPr>
          </w:p>
        </w:tc>
        <w:tc>
          <w:tcPr>
            <w:tcW w:w="900" w:type="dxa"/>
            <w:vAlign w:val="bottom"/>
            <w:tcBorders>
              <w:bottom w:val="single" w:sz="8" w:color="2D53A6"/>
              <w:right w:val="single" w:sz="8" w:color="2D53A6"/>
            </w:tcBorders>
            <w:shd w:val="clear" w:color="auto" w:fill="E6E6E6"/>
          </w:tcPr>
          <w:p>
            <w:pPr>
              <w:ind w:left="80"/>
              <w:spacing w:after="0"/>
              <w:rPr>
                <w:sz w:val="20"/>
                <w:szCs w:val="20"/>
                <w:color w:val="auto"/>
              </w:rPr>
            </w:pPr>
            <w:r>
              <w:rPr>
                <w:rFonts w:ascii="Arial" w:cs="Arial" w:eastAsia="Arial" w:hAnsi="Arial"/>
                <w:sz w:val="18"/>
                <w:szCs w:val="18"/>
                <w:color w:val="auto"/>
              </w:rPr>
              <w:t>371,257</w:t>
            </w:r>
          </w:p>
        </w:tc>
        <w:tc>
          <w:tcPr>
            <w:tcW w:w="110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89"/>
              </w:rPr>
              <w:t>623,921</w:t>
            </w:r>
          </w:p>
        </w:tc>
        <w:tc>
          <w:tcPr>
            <w:tcW w:w="108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89"/>
              </w:rPr>
              <w:t>112,197</w:t>
            </w:r>
          </w:p>
        </w:tc>
        <w:tc>
          <w:tcPr>
            <w:tcW w:w="108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0"/>
              </w:rPr>
              <w:t>18,166</w:t>
            </w:r>
          </w:p>
        </w:tc>
        <w:tc>
          <w:tcPr>
            <w:tcW w:w="980" w:type="dxa"/>
            <w:vAlign w:val="bottom"/>
            <w:tcBorders>
              <w:bottom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89"/>
              </w:rPr>
              <w:t>1,125,541</w:t>
            </w:r>
          </w:p>
        </w:tc>
        <w:tc>
          <w:tcPr>
            <w:tcW w:w="0" w:type="dxa"/>
            <w:vAlign w:val="bottom"/>
          </w:tcPr>
          <w:p>
            <w:pPr>
              <w:spacing w:after="0"/>
              <w:rPr>
                <w:sz w:val="1"/>
                <w:szCs w:val="1"/>
                <w:color w:val="auto"/>
              </w:rPr>
            </w:pPr>
          </w:p>
        </w:tc>
      </w:tr>
      <w:tr>
        <w:trPr>
          <w:trHeight w:val="195"/>
        </w:trPr>
        <w:tc>
          <w:tcPr>
            <w:tcW w:w="4820" w:type="dxa"/>
            <w:vAlign w:val="bottom"/>
            <w:tcBorders>
              <w:right w:val="single" w:sz="8" w:color="2D53A6"/>
            </w:tcBorders>
          </w:tcPr>
          <w:p>
            <w:pPr>
              <w:spacing w:after="0" w:line="195" w:lineRule="exact"/>
              <w:rPr>
                <w:sz w:val="20"/>
                <w:szCs w:val="20"/>
                <w:color w:val="auto"/>
              </w:rPr>
            </w:pPr>
            <w:r>
              <w:rPr>
                <w:rFonts w:ascii="Arial" w:cs="Arial" w:eastAsia="Arial" w:hAnsi="Arial"/>
                <w:sz w:val="18"/>
                <w:szCs w:val="18"/>
                <w:color w:val="auto"/>
              </w:rPr>
              <w:t>Christopher G. Bohrson</w:t>
            </w:r>
          </w:p>
        </w:tc>
        <w:tc>
          <w:tcPr>
            <w:tcW w:w="1100" w:type="dxa"/>
            <w:vAlign w:val="bottom"/>
            <w:tcBorders>
              <w:right w:val="single" w:sz="8" w:color="2D53A6"/>
            </w:tcBorders>
          </w:tcPr>
          <w:p>
            <w:pPr>
              <w:ind w:left="360"/>
              <w:spacing w:after="0" w:line="195" w:lineRule="exact"/>
              <w:rPr>
                <w:sz w:val="20"/>
                <w:szCs w:val="20"/>
                <w:color w:val="auto"/>
              </w:rPr>
            </w:pPr>
            <w:r>
              <w:rPr>
                <w:rFonts w:ascii="Arial" w:cs="Arial" w:eastAsia="Arial" w:hAnsi="Arial"/>
                <w:sz w:val="18"/>
                <w:szCs w:val="18"/>
                <w:color w:val="auto"/>
              </w:rPr>
              <w:t>2021</w:t>
            </w:r>
          </w:p>
        </w:tc>
        <w:tc>
          <w:tcPr>
            <w:tcW w:w="180" w:type="dxa"/>
            <w:vAlign w:val="bottom"/>
          </w:tcPr>
          <w:p>
            <w:pPr>
              <w:spacing w:after="0"/>
              <w:rPr>
                <w:sz w:val="16"/>
                <w:szCs w:val="16"/>
                <w:color w:val="auto"/>
              </w:rPr>
            </w:pPr>
          </w:p>
        </w:tc>
        <w:tc>
          <w:tcPr>
            <w:tcW w:w="900" w:type="dxa"/>
            <w:vAlign w:val="bottom"/>
            <w:tcBorders>
              <w:right w:val="single" w:sz="8" w:color="2D53A6"/>
            </w:tcBorders>
          </w:tcPr>
          <w:p>
            <w:pPr>
              <w:ind w:left="80"/>
              <w:spacing w:after="0" w:line="195" w:lineRule="exact"/>
              <w:rPr>
                <w:sz w:val="20"/>
                <w:szCs w:val="20"/>
                <w:color w:val="auto"/>
              </w:rPr>
            </w:pPr>
            <w:r>
              <w:rPr>
                <w:rFonts w:ascii="Arial" w:cs="Arial" w:eastAsia="Arial" w:hAnsi="Arial"/>
                <w:sz w:val="18"/>
                <w:szCs w:val="18"/>
                <w:color w:val="auto"/>
              </w:rPr>
              <w:t>362,923</w:t>
            </w:r>
          </w:p>
        </w:tc>
        <w:tc>
          <w:tcPr>
            <w:tcW w:w="1100" w:type="dxa"/>
            <w:vAlign w:val="bottom"/>
            <w:tcBorders>
              <w:right w:val="single" w:sz="8" w:color="2D53A6"/>
            </w:tcBorders>
          </w:tcPr>
          <w:p>
            <w:pPr>
              <w:jc w:val="center"/>
              <w:spacing w:after="0" w:line="195" w:lineRule="exact"/>
              <w:rPr>
                <w:sz w:val="20"/>
                <w:szCs w:val="20"/>
                <w:color w:val="auto"/>
              </w:rPr>
            </w:pPr>
            <w:r>
              <w:rPr>
                <w:rFonts w:ascii="Arial" w:cs="Arial" w:eastAsia="Arial" w:hAnsi="Arial"/>
                <w:sz w:val="18"/>
                <w:szCs w:val="18"/>
                <w:color w:val="auto"/>
                <w:w w:val="89"/>
              </w:rPr>
              <w:t>624,534</w:t>
            </w:r>
          </w:p>
        </w:tc>
        <w:tc>
          <w:tcPr>
            <w:tcW w:w="1080" w:type="dxa"/>
            <w:vAlign w:val="bottom"/>
            <w:tcBorders>
              <w:right w:val="single" w:sz="8" w:color="2D53A6"/>
            </w:tcBorders>
          </w:tcPr>
          <w:p>
            <w:pPr>
              <w:jc w:val="center"/>
              <w:spacing w:after="0" w:line="195" w:lineRule="exact"/>
              <w:rPr>
                <w:sz w:val="20"/>
                <w:szCs w:val="20"/>
                <w:color w:val="auto"/>
              </w:rPr>
            </w:pPr>
            <w:r>
              <w:rPr>
                <w:rFonts w:ascii="Arial" w:cs="Arial" w:eastAsia="Arial" w:hAnsi="Arial"/>
                <w:sz w:val="18"/>
                <w:szCs w:val="18"/>
                <w:color w:val="auto"/>
                <w:w w:val="89"/>
              </w:rPr>
              <w:t>430,122</w:t>
            </w:r>
          </w:p>
        </w:tc>
        <w:tc>
          <w:tcPr>
            <w:tcW w:w="1080" w:type="dxa"/>
            <w:vAlign w:val="bottom"/>
            <w:tcBorders>
              <w:right w:val="single" w:sz="8" w:color="2D53A6"/>
            </w:tcBorders>
          </w:tcPr>
          <w:p>
            <w:pPr>
              <w:jc w:val="center"/>
              <w:spacing w:after="0" w:line="195" w:lineRule="exact"/>
              <w:rPr>
                <w:sz w:val="20"/>
                <w:szCs w:val="20"/>
                <w:color w:val="auto"/>
              </w:rPr>
            </w:pPr>
            <w:r>
              <w:rPr>
                <w:rFonts w:ascii="Arial" w:cs="Arial" w:eastAsia="Arial" w:hAnsi="Arial"/>
                <w:sz w:val="18"/>
                <w:szCs w:val="18"/>
                <w:color w:val="auto"/>
                <w:w w:val="90"/>
              </w:rPr>
              <w:t>18,919</w:t>
            </w:r>
          </w:p>
        </w:tc>
        <w:tc>
          <w:tcPr>
            <w:tcW w:w="980" w:type="dxa"/>
            <w:vAlign w:val="bottom"/>
          </w:tcPr>
          <w:p>
            <w:pPr>
              <w:jc w:val="center"/>
              <w:spacing w:after="0" w:line="195" w:lineRule="exact"/>
              <w:rPr>
                <w:sz w:val="20"/>
                <w:szCs w:val="20"/>
                <w:color w:val="auto"/>
              </w:rPr>
            </w:pPr>
            <w:r>
              <w:rPr>
                <w:rFonts w:ascii="Arial" w:cs="Arial" w:eastAsia="Arial" w:hAnsi="Arial"/>
                <w:sz w:val="18"/>
                <w:szCs w:val="18"/>
                <w:color w:val="auto"/>
                <w:w w:val="89"/>
              </w:rPr>
              <w:t>1,436,498</w:t>
            </w:r>
          </w:p>
        </w:tc>
        <w:tc>
          <w:tcPr>
            <w:tcW w:w="0" w:type="dxa"/>
            <w:vAlign w:val="bottom"/>
          </w:tcPr>
          <w:p>
            <w:pPr>
              <w:spacing w:after="0"/>
              <w:rPr>
                <w:sz w:val="1"/>
                <w:szCs w:val="1"/>
                <w:color w:val="auto"/>
              </w:rPr>
            </w:pPr>
          </w:p>
        </w:tc>
      </w:tr>
      <w:tr>
        <w:trPr>
          <w:trHeight w:val="216"/>
        </w:trPr>
        <w:tc>
          <w:tcPr>
            <w:tcW w:w="4820" w:type="dxa"/>
            <w:vAlign w:val="bottom"/>
            <w:tcBorders>
              <w:right w:val="single" w:sz="8" w:color="2D53A6"/>
            </w:tcBorders>
          </w:tcPr>
          <w:p>
            <w:pPr>
              <w:spacing w:after="0"/>
              <w:rPr>
                <w:sz w:val="20"/>
                <w:szCs w:val="20"/>
                <w:color w:val="auto"/>
              </w:rPr>
            </w:pPr>
            <w:r>
              <w:rPr>
                <w:rFonts w:ascii="Arial" w:cs="Arial" w:eastAsia="Arial" w:hAnsi="Arial"/>
                <w:sz w:val="18"/>
                <w:szCs w:val="18"/>
                <w:i w:val="1"/>
                <w:iCs w:val="1"/>
                <w:color w:val="auto"/>
              </w:rPr>
              <w:t>Sr. Vice President Global,</w:t>
            </w:r>
          </w:p>
        </w:tc>
        <w:tc>
          <w:tcPr>
            <w:tcW w:w="1100" w:type="dxa"/>
            <w:vAlign w:val="bottom"/>
            <w:tcBorders>
              <w:right w:val="single" w:sz="8" w:color="2D53A6"/>
            </w:tcBorders>
          </w:tcPr>
          <w:p>
            <w:pPr>
              <w:ind w:left="360"/>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18"/>
                <w:szCs w:val="18"/>
                <w:color w:val="auto"/>
              </w:rPr>
            </w:pPr>
          </w:p>
        </w:tc>
        <w:tc>
          <w:tcPr>
            <w:tcW w:w="900" w:type="dxa"/>
            <w:vAlign w:val="bottom"/>
            <w:tcBorders>
              <w:right w:val="single" w:sz="8" w:color="2D53A6"/>
            </w:tcBorders>
          </w:tcPr>
          <w:p>
            <w:pPr>
              <w:ind w:left="80"/>
              <w:spacing w:after="0"/>
              <w:rPr>
                <w:sz w:val="20"/>
                <w:szCs w:val="20"/>
                <w:color w:val="auto"/>
              </w:rPr>
            </w:pPr>
            <w:r>
              <w:rPr>
                <w:rFonts w:ascii="Arial" w:cs="Arial" w:eastAsia="Arial" w:hAnsi="Arial"/>
                <w:sz w:val="18"/>
                <w:szCs w:val="18"/>
                <w:color w:val="auto"/>
              </w:rPr>
              <w:t>329,808</w:t>
            </w:r>
          </w:p>
        </w:tc>
        <w:tc>
          <w:tcPr>
            <w:tcW w:w="1100" w:type="dxa"/>
            <w:vAlign w:val="bottom"/>
            <w:tcBorders>
              <w:right w:val="single" w:sz="8" w:color="2D53A6"/>
            </w:tcBorders>
          </w:tcPr>
          <w:p>
            <w:pPr>
              <w:jc w:val="center"/>
              <w:spacing w:after="0"/>
              <w:rPr>
                <w:sz w:val="20"/>
                <w:szCs w:val="20"/>
                <w:color w:val="auto"/>
              </w:rPr>
            </w:pPr>
            <w:r>
              <w:rPr>
                <w:rFonts w:ascii="Arial" w:cs="Arial" w:eastAsia="Arial" w:hAnsi="Arial"/>
                <w:sz w:val="18"/>
                <w:szCs w:val="18"/>
                <w:color w:val="auto"/>
                <w:w w:val="89"/>
              </w:rPr>
              <w:t>447,612</w:t>
            </w:r>
          </w:p>
        </w:tc>
        <w:tc>
          <w:tcPr>
            <w:tcW w:w="1080" w:type="dxa"/>
            <w:vAlign w:val="bottom"/>
            <w:tcBorders>
              <w:right w:val="single" w:sz="8" w:color="2D53A6"/>
            </w:tcBorders>
          </w:tcPr>
          <w:p>
            <w:pPr>
              <w:jc w:val="center"/>
              <w:spacing w:after="0"/>
              <w:rPr>
                <w:sz w:val="20"/>
                <w:szCs w:val="20"/>
                <w:color w:val="auto"/>
              </w:rPr>
            </w:pPr>
            <w:r>
              <w:rPr>
                <w:rFonts w:ascii="Arial" w:cs="Arial" w:eastAsia="Arial" w:hAnsi="Arial"/>
                <w:sz w:val="18"/>
                <w:szCs w:val="18"/>
                <w:color w:val="auto"/>
                <w:w w:val="89"/>
              </w:rPr>
              <w:t>215,800</w:t>
            </w:r>
          </w:p>
        </w:tc>
        <w:tc>
          <w:tcPr>
            <w:tcW w:w="1080" w:type="dxa"/>
            <w:vAlign w:val="bottom"/>
            <w:tcBorders>
              <w:right w:val="single" w:sz="8" w:color="2D53A6"/>
            </w:tcBorders>
          </w:tcPr>
          <w:p>
            <w:pPr>
              <w:jc w:val="center"/>
              <w:spacing w:after="0"/>
              <w:rPr>
                <w:sz w:val="20"/>
                <w:szCs w:val="20"/>
                <w:color w:val="auto"/>
              </w:rPr>
            </w:pPr>
            <w:r>
              <w:rPr>
                <w:rFonts w:ascii="Arial" w:cs="Arial" w:eastAsia="Arial" w:hAnsi="Arial"/>
                <w:sz w:val="18"/>
                <w:szCs w:val="18"/>
                <w:color w:val="auto"/>
                <w:w w:val="90"/>
              </w:rPr>
              <w:t>18,750</w:t>
            </w: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1,011,970</w:t>
            </w:r>
          </w:p>
        </w:tc>
        <w:tc>
          <w:tcPr>
            <w:tcW w:w="0" w:type="dxa"/>
            <w:vAlign w:val="bottom"/>
          </w:tcPr>
          <w:p>
            <w:pPr>
              <w:spacing w:after="0"/>
              <w:rPr>
                <w:sz w:val="1"/>
                <w:szCs w:val="1"/>
                <w:color w:val="auto"/>
              </w:rPr>
            </w:pPr>
          </w:p>
        </w:tc>
      </w:tr>
      <w:tr>
        <w:trPr>
          <w:trHeight w:val="230"/>
        </w:trPr>
        <w:tc>
          <w:tcPr>
            <w:tcW w:w="4820" w:type="dxa"/>
            <w:vAlign w:val="bottom"/>
            <w:tcBorders>
              <w:bottom w:val="single" w:sz="8" w:color="2D53A6"/>
              <w:right w:val="single" w:sz="8" w:color="2D53A6"/>
            </w:tcBorders>
          </w:tcPr>
          <w:p>
            <w:pPr>
              <w:spacing w:after="0"/>
              <w:rPr>
                <w:sz w:val="20"/>
                <w:szCs w:val="20"/>
                <w:color w:val="auto"/>
              </w:rPr>
            </w:pPr>
            <w:r>
              <w:rPr>
                <w:rFonts w:ascii="Arial" w:cs="Arial" w:eastAsia="Arial" w:hAnsi="Arial"/>
                <w:sz w:val="18"/>
                <w:szCs w:val="18"/>
                <w:i w:val="1"/>
                <w:iCs w:val="1"/>
                <w:color w:val="auto"/>
              </w:rPr>
              <w:t>Customer Group</w:t>
            </w:r>
          </w:p>
        </w:tc>
        <w:tc>
          <w:tcPr>
            <w:tcW w:w="1100" w:type="dxa"/>
            <w:vAlign w:val="bottom"/>
            <w:tcBorders>
              <w:bottom w:val="single" w:sz="8" w:color="2D53A6"/>
              <w:right w:val="single" w:sz="8" w:color="2D53A6"/>
            </w:tcBorders>
          </w:tcPr>
          <w:p>
            <w:pPr>
              <w:ind w:left="360"/>
              <w:spacing w:after="0"/>
              <w:rPr>
                <w:sz w:val="20"/>
                <w:szCs w:val="20"/>
                <w:color w:val="auto"/>
              </w:rPr>
            </w:pPr>
            <w:r>
              <w:rPr>
                <w:rFonts w:ascii="Arial" w:cs="Arial" w:eastAsia="Arial" w:hAnsi="Arial"/>
                <w:sz w:val="18"/>
                <w:szCs w:val="18"/>
                <w:color w:val="auto"/>
              </w:rPr>
              <w:t>2019</w:t>
            </w:r>
          </w:p>
        </w:tc>
        <w:tc>
          <w:tcPr>
            <w:tcW w:w="180" w:type="dxa"/>
            <w:vAlign w:val="bottom"/>
            <w:tcBorders>
              <w:bottom w:val="single" w:sz="8" w:color="2D53A6"/>
            </w:tcBorders>
          </w:tcPr>
          <w:p>
            <w:pPr>
              <w:spacing w:after="0"/>
              <w:rPr>
                <w:sz w:val="20"/>
                <w:szCs w:val="20"/>
                <w:color w:val="auto"/>
              </w:rPr>
            </w:pPr>
          </w:p>
        </w:tc>
        <w:tc>
          <w:tcPr>
            <w:tcW w:w="900" w:type="dxa"/>
            <w:vAlign w:val="bottom"/>
            <w:tcBorders>
              <w:bottom w:val="single" w:sz="8" w:color="2D53A6"/>
              <w:right w:val="single" w:sz="8" w:color="2D53A6"/>
            </w:tcBorders>
          </w:tcPr>
          <w:p>
            <w:pPr>
              <w:ind w:left="80"/>
              <w:spacing w:after="0"/>
              <w:rPr>
                <w:sz w:val="20"/>
                <w:szCs w:val="20"/>
                <w:color w:val="auto"/>
              </w:rPr>
            </w:pPr>
            <w:r>
              <w:rPr>
                <w:rFonts w:ascii="Arial" w:cs="Arial" w:eastAsia="Arial" w:hAnsi="Arial"/>
                <w:sz w:val="18"/>
                <w:szCs w:val="18"/>
                <w:color w:val="auto"/>
              </w:rPr>
              <w:t>340,192</w:t>
            </w:r>
          </w:p>
        </w:tc>
        <w:tc>
          <w:tcPr>
            <w:tcW w:w="110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89"/>
              </w:rPr>
              <w:t>415,929</w:t>
            </w:r>
          </w:p>
        </w:tc>
        <w:tc>
          <w:tcPr>
            <w:tcW w:w="108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0"/>
              </w:rPr>
              <w:t>87,877</w:t>
            </w:r>
          </w:p>
        </w:tc>
        <w:tc>
          <w:tcPr>
            <w:tcW w:w="108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90"/>
              </w:rPr>
              <w:t>18,121</w:t>
            </w:r>
          </w:p>
        </w:tc>
        <w:tc>
          <w:tcPr>
            <w:tcW w:w="980" w:type="dxa"/>
            <w:vAlign w:val="bottom"/>
            <w:tcBorders>
              <w:bottom w:val="single" w:sz="8" w:color="2D53A6"/>
            </w:tcBorders>
          </w:tcPr>
          <w:p>
            <w:pPr>
              <w:jc w:val="center"/>
              <w:spacing w:after="0"/>
              <w:rPr>
                <w:sz w:val="20"/>
                <w:szCs w:val="20"/>
                <w:color w:val="auto"/>
              </w:rPr>
            </w:pPr>
            <w:r>
              <w:rPr>
                <w:rFonts w:ascii="Arial" w:cs="Arial" w:eastAsia="Arial" w:hAnsi="Arial"/>
                <w:sz w:val="18"/>
                <w:szCs w:val="18"/>
                <w:color w:val="auto"/>
                <w:w w:val="89"/>
              </w:rPr>
              <w:t>862,119</w:t>
            </w:r>
          </w:p>
        </w:tc>
        <w:tc>
          <w:tcPr>
            <w:tcW w:w="0" w:type="dxa"/>
            <w:vAlign w:val="bottom"/>
          </w:tcPr>
          <w:p>
            <w:pPr>
              <w:spacing w:after="0"/>
              <w:rPr>
                <w:sz w:val="1"/>
                <w:szCs w:val="1"/>
                <w:color w:val="auto"/>
              </w:rPr>
            </w:pPr>
          </w:p>
        </w:tc>
      </w:tr>
      <w:tr>
        <w:trPr>
          <w:trHeight w:val="209"/>
        </w:trPr>
        <w:tc>
          <w:tcPr>
            <w:tcW w:w="4820" w:type="dxa"/>
            <w:vAlign w:val="bottom"/>
            <w:tcBorders>
              <w:right w:val="single" w:sz="8" w:color="2D53A6"/>
            </w:tcBorders>
            <w:shd w:val="clear" w:color="auto" w:fill="E6E6E6"/>
          </w:tcPr>
          <w:p>
            <w:pPr>
              <w:spacing w:after="0"/>
              <w:rPr>
                <w:sz w:val="20"/>
                <w:szCs w:val="20"/>
                <w:color w:val="auto"/>
              </w:rPr>
            </w:pPr>
            <w:r>
              <w:rPr>
                <w:rFonts w:ascii="Arial" w:cs="Arial" w:eastAsia="Arial" w:hAnsi="Arial"/>
                <w:sz w:val="18"/>
                <w:szCs w:val="18"/>
                <w:color w:val="auto"/>
              </w:rPr>
              <w:t>Thomas D. Kampfer</w:t>
            </w:r>
          </w:p>
        </w:tc>
        <w:tc>
          <w:tcPr>
            <w:tcW w:w="1100" w:type="dxa"/>
            <w:vAlign w:val="bottom"/>
            <w:tcBorders>
              <w:right w:val="single" w:sz="8" w:color="2D53A6"/>
            </w:tcBorders>
            <w:shd w:val="clear" w:color="auto" w:fill="E6E6E6"/>
          </w:tcPr>
          <w:p>
            <w:pPr>
              <w:ind w:left="360"/>
              <w:spacing w:after="0"/>
              <w:rPr>
                <w:sz w:val="20"/>
                <w:szCs w:val="20"/>
                <w:color w:val="auto"/>
              </w:rPr>
            </w:pPr>
            <w:r>
              <w:rPr>
                <w:rFonts w:ascii="Arial" w:cs="Arial" w:eastAsia="Arial" w:hAnsi="Arial"/>
                <w:sz w:val="18"/>
                <w:szCs w:val="18"/>
                <w:color w:val="auto"/>
              </w:rPr>
              <w:t>2021</w:t>
            </w:r>
          </w:p>
        </w:tc>
        <w:tc>
          <w:tcPr>
            <w:tcW w:w="180" w:type="dxa"/>
            <w:vAlign w:val="bottom"/>
            <w:shd w:val="clear" w:color="auto" w:fill="E6E6E6"/>
          </w:tcPr>
          <w:p>
            <w:pPr>
              <w:spacing w:after="0"/>
              <w:rPr>
                <w:sz w:val="18"/>
                <w:szCs w:val="18"/>
                <w:color w:val="auto"/>
              </w:rPr>
            </w:pPr>
          </w:p>
        </w:tc>
        <w:tc>
          <w:tcPr>
            <w:tcW w:w="900" w:type="dxa"/>
            <w:vAlign w:val="bottom"/>
            <w:tcBorders>
              <w:right w:val="single" w:sz="8" w:color="2D53A6"/>
            </w:tcBorders>
            <w:shd w:val="clear" w:color="auto" w:fill="E6E6E6"/>
          </w:tcPr>
          <w:p>
            <w:pPr>
              <w:ind w:left="80"/>
              <w:spacing w:after="0"/>
              <w:rPr>
                <w:sz w:val="20"/>
                <w:szCs w:val="20"/>
                <w:color w:val="auto"/>
              </w:rPr>
            </w:pPr>
            <w:r>
              <w:rPr>
                <w:rFonts w:ascii="Arial" w:cs="Arial" w:eastAsia="Arial" w:hAnsi="Arial"/>
                <w:sz w:val="18"/>
                <w:szCs w:val="18"/>
                <w:color w:val="auto"/>
              </w:rPr>
              <w:t>351,154</w:t>
            </w:r>
          </w:p>
        </w:tc>
        <w:tc>
          <w:tcPr>
            <w:tcW w:w="1100" w:type="dxa"/>
            <w:vAlign w:val="bottom"/>
            <w:tcBorders>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89"/>
              </w:rPr>
              <w:t>462,588</w:t>
            </w:r>
          </w:p>
        </w:tc>
        <w:tc>
          <w:tcPr>
            <w:tcW w:w="1080" w:type="dxa"/>
            <w:vAlign w:val="bottom"/>
            <w:tcBorders>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89"/>
              </w:rPr>
              <w:t>297,996</w:t>
            </w:r>
          </w:p>
        </w:tc>
        <w:tc>
          <w:tcPr>
            <w:tcW w:w="1080" w:type="dxa"/>
            <w:vAlign w:val="bottom"/>
            <w:tcBorders>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0"/>
              </w:rPr>
              <w:t>18,786</w:t>
            </w:r>
          </w:p>
        </w:tc>
        <w:tc>
          <w:tcPr>
            <w:tcW w:w="980" w:type="dxa"/>
            <w:vAlign w:val="bottom"/>
            <w:shd w:val="clear" w:color="auto" w:fill="E6E6E6"/>
          </w:tcPr>
          <w:p>
            <w:pPr>
              <w:jc w:val="center"/>
              <w:spacing w:after="0"/>
              <w:rPr>
                <w:sz w:val="20"/>
                <w:szCs w:val="20"/>
                <w:color w:val="auto"/>
              </w:rPr>
            </w:pPr>
            <w:r>
              <w:rPr>
                <w:rFonts w:ascii="Arial" w:cs="Arial" w:eastAsia="Arial" w:hAnsi="Arial"/>
                <w:sz w:val="18"/>
                <w:szCs w:val="18"/>
                <w:color w:val="auto"/>
                <w:w w:val="89"/>
              </w:rPr>
              <w:t>1,130,524</w:t>
            </w:r>
          </w:p>
        </w:tc>
        <w:tc>
          <w:tcPr>
            <w:tcW w:w="0" w:type="dxa"/>
            <w:vAlign w:val="bottom"/>
          </w:tcPr>
          <w:p>
            <w:pPr>
              <w:spacing w:after="0"/>
              <w:rPr>
                <w:sz w:val="1"/>
                <w:szCs w:val="1"/>
                <w:color w:val="auto"/>
              </w:rPr>
            </w:pPr>
          </w:p>
        </w:tc>
      </w:tr>
      <w:tr>
        <w:trPr>
          <w:trHeight w:val="216"/>
        </w:trPr>
        <w:tc>
          <w:tcPr>
            <w:tcW w:w="4820" w:type="dxa"/>
            <w:vAlign w:val="bottom"/>
            <w:tcBorders>
              <w:right w:val="single" w:sz="8" w:color="2D53A6"/>
            </w:tcBorders>
            <w:shd w:val="clear" w:color="auto" w:fill="E6E6E6"/>
          </w:tcPr>
          <w:p>
            <w:pPr>
              <w:spacing w:after="0"/>
              <w:rPr>
                <w:sz w:val="20"/>
                <w:szCs w:val="20"/>
                <w:color w:val="auto"/>
              </w:rPr>
            </w:pPr>
            <w:r>
              <w:rPr>
                <w:rFonts w:ascii="Arial" w:cs="Arial" w:eastAsia="Arial" w:hAnsi="Arial"/>
                <w:sz w:val="18"/>
                <w:szCs w:val="18"/>
                <w:i w:val="1"/>
                <w:iCs w:val="1"/>
                <w:color w:val="auto"/>
              </w:rPr>
              <w:t>Vice President, Corp. Development,</w:t>
            </w:r>
          </w:p>
        </w:tc>
        <w:tc>
          <w:tcPr>
            <w:tcW w:w="1100" w:type="dxa"/>
            <w:vAlign w:val="bottom"/>
            <w:tcBorders>
              <w:right w:val="single" w:sz="8" w:color="2D53A6"/>
            </w:tcBorders>
            <w:shd w:val="clear" w:color="auto" w:fill="E6E6E6"/>
          </w:tcPr>
          <w:p>
            <w:pPr>
              <w:ind w:left="360"/>
              <w:spacing w:after="0"/>
              <w:rPr>
                <w:sz w:val="20"/>
                <w:szCs w:val="20"/>
                <w:color w:val="auto"/>
              </w:rPr>
            </w:pPr>
            <w:r>
              <w:rPr>
                <w:rFonts w:ascii="Arial" w:cs="Arial" w:eastAsia="Arial" w:hAnsi="Arial"/>
                <w:sz w:val="18"/>
                <w:szCs w:val="18"/>
                <w:color w:val="auto"/>
              </w:rPr>
              <w:t>2020</w:t>
            </w:r>
          </w:p>
        </w:tc>
        <w:tc>
          <w:tcPr>
            <w:tcW w:w="180" w:type="dxa"/>
            <w:vAlign w:val="bottom"/>
            <w:shd w:val="clear" w:color="auto" w:fill="E6E6E6"/>
          </w:tcPr>
          <w:p>
            <w:pPr>
              <w:spacing w:after="0"/>
              <w:rPr>
                <w:sz w:val="18"/>
                <w:szCs w:val="18"/>
                <w:color w:val="auto"/>
              </w:rPr>
            </w:pPr>
          </w:p>
        </w:tc>
        <w:tc>
          <w:tcPr>
            <w:tcW w:w="900" w:type="dxa"/>
            <w:vAlign w:val="bottom"/>
            <w:tcBorders>
              <w:right w:val="single" w:sz="8" w:color="2D53A6"/>
            </w:tcBorders>
            <w:shd w:val="clear" w:color="auto" w:fill="E6E6E6"/>
          </w:tcPr>
          <w:p>
            <w:pPr>
              <w:ind w:left="80"/>
              <w:spacing w:after="0"/>
              <w:rPr>
                <w:sz w:val="20"/>
                <w:szCs w:val="20"/>
                <w:color w:val="auto"/>
              </w:rPr>
            </w:pPr>
            <w:r>
              <w:rPr>
                <w:rFonts w:ascii="Arial" w:cs="Arial" w:eastAsia="Arial" w:hAnsi="Arial"/>
                <w:sz w:val="18"/>
                <w:szCs w:val="18"/>
                <w:color w:val="auto"/>
              </w:rPr>
              <w:t>315,673</w:t>
            </w:r>
          </w:p>
        </w:tc>
        <w:tc>
          <w:tcPr>
            <w:tcW w:w="1100" w:type="dxa"/>
            <w:vAlign w:val="bottom"/>
            <w:tcBorders>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89"/>
              </w:rPr>
              <w:t>318,318</w:t>
            </w:r>
          </w:p>
        </w:tc>
        <w:tc>
          <w:tcPr>
            <w:tcW w:w="1080" w:type="dxa"/>
            <w:vAlign w:val="bottom"/>
            <w:tcBorders>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89"/>
              </w:rPr>
              <w:t>172,126</w:t>
            </w:r>
          </w:p>
        </w:tc>
        <w:tc>
          <w:tcPr>
            <w:tcW w:w="1080" w:type="dxa"/>
            <w:vAlign w:val="bottom"/>
            <w:tcBorders>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0"/>
              </w:rPr>
              <w:t>18,711</w:t>
            </w:r>
          </w:p>
        </w:tc>
        <w:tc>
          <w:tcPr>
            <w:tcW w:w="980" w:type="dxa"/>
            <w:vAlign w:val="bottom"/>
            <w:shd w:val="clear" w:color="auto" w:fill="E6E6E6"/>
          </w:tcPr>
          <w:p>
            <w:pPr>
              <w:jc w:val="center"/>
              <w:spacing w:after="0"/>
              <w:rPr>
                <w:sz w:val="20"/>
                <w:szCs w:val="20"/>
                <w:color w:val="auto"/>
              </w:rPr>
            </w:pPr>
            <w:r>
              <w:rPr>
                <w:rFonts w:ascii="Arial" w:cs="Arial" w:eastAsia="Arial" w:hAnsi="Arial"/>
                <w:sz w:val="18"/>
                <w:szCs w:val="18"/>
                <w:color w:val="auto"/>
                <w:w w:val="89"/>
              </w:rPr>
              <w:t>824,828</w:t>
            </w:r>
          </w:p>
        </w:tc>
        <w:tc>
          <w:tcPr>
            <w:tcW w:w="0" w:type="dxa"/>
            <w:vAlign w:val="bottom"/>
          </w:tcPr>
          <w:p>
            <w:pPr>
              <w:spacing w:after="0"/>
              <w:rPr>
                <w:sz w:val="1"/>
                <w:szCs w:val="1"/>
                <w:color w:val="auto"/>
              </w:rPr>
            </w:pPr>
          </w:p>
        </w:tc>
      </w:tr>
      <w:tr>
        <w:trPr>
          <w:trHeight w:val="216"/>
        </w:trPr>
        <w:tc>
          <w:tcPr>
            <w:tcW w:w="4820" w:type="dxa"/>
            <w:vAlign w:val="bottom"/>
            <w:tcBorders>
              <w:bottom w:val="single" w:sz="8" w:color="2D53A6"/>
              <w:right w:val="single" w:sz="8" w:color="2D53A6"/>
            </w:tcBorders>
            <w:shd w:val="clear" w:color="auto" w:fill="E6E6E6"/>
          </w:tcPr>
          <w:p>
            <w:pPr>
              <w:spacing w:after="0"/>
              <w:rPr>
                <w:sz w:val="20"/>
                <w:szCs w:val="20"/>
                <w:color w:val="auto"/>
              </w:rPr>
            </w:pPr>
            <w:r>
              <w:rPr>
                <w:rFonts w:ascii="Arial" w:cs="Arial" w:eastAsia="Arial" w:hAnsi="Arial"/>
                <w:sz w:val="18"/>
                <w:szCs w:val="18"/>
                <w:i w:val="1"/>
                <w:iCs w:val="1"/>
                <w:color w:val="auto"/>
              </w:rPr>
              <w:t>General Counsel &amp; Secretary</w:t>
            </w:r>
          </w:p>
        </w:tc>
        <w:tc>
          <w:tcPr>
            <w:tcW w:w="1100" w:type="dxa"/>
            <w:vAlign w:val="bottom"/>
            <w:tcBorders>
              <w:bottom w:val="single" w:sz="8" w:color="2D53A6"/>
              <w:right w:val="single" w:sz="8" w:color="2D53A6"/>
            </w:tcBorders>
            <w:shd w:val="clear" w:color="auto" w:fill="E6E6E6"/>
          </w:tcPr>
          <w:p>
            <w:pPr>
              <w:ind w:left="360"/>
              <w:spacing w:after="0"/>
              <w:rPr>
                <w:sz w:val="20"/>
                <w:szCs w:val="20"/>
                <w:color w:val="auto"/>
              </w:rPr>
            </w:pPr>
            <w:r>
              <w:rPr>
                <w:rFonts w:ascii="Arial" w:cs="Arial" w:eastAsia="Arial" w:hAnsi="Arial"/>
                <w:sz w:val="18"/>
                <w:szCs w:val="18"/>
                <w:color w:val="auto"/>
              </w:rPr>
              <w:t>2019</w:t>
            </w:r>
          </w:p>
        </w:tc>
        <w:tc>
          <w:tcPr>
            <w:tcW w:w="180" w:type="dxa"/>
            <w:vAlign w:val="bottom"/>
            <w:tcBorders>
              <w:bottom w:val="single" w:sz="8" w:color="2D53A6"/>
            </w:tcBorders>
            <w:shd w:val="clear" w:color="auto" w:fill="E6E6E6"/>
          </w:tcPr>
          <w:p>
            <w:pPr>
              <w:spacing w:after="0"/>
              <w:rPr>
                <w:sz w:val="18"/>
                <w:szCs w:val="18"/>
                <w:color w:val="auto"/>
              </w:rPr>
            </w:pPr>
          </w:p>
        </w:tc>
        <w:tc>
          <w:tcPr>
            <w:tcW w:w="900" w:type="dxa"/>
            <w:vAlign w:val="bottom"/>
            <w:tcBorders>
              <w:bottom w:val="single" w:sz="8" w:color="2D53A6"/>
              <w:right w:val="single" w:sz="8" w:color="2D53A6"/>
            </w:tcBorders>
            <w:shd w:val="clear" w:color="auto" w:fill="E6E6E6"/>
          </w:tcPr>
          <w:p>
            <w:pPr>
              <w:ind w:left="80"/>
              <w:spacing w:after="0"/>
              <w:rPr>
                <w:sz w:val="20"/>
                <w:szCs w:val="20"/>
                <w:color w:val="auto"/>
              </w:rPr>
            </w:pPr>
            <w:r>
              <w:rPr>
                <w:rFonts w:ascii="Arial" w:cs="Arial" w:eastAsia="Arial" w:hAnsi="Arial"/>
                <w:sz w:val="18"/>
                <w:szCs w:val="18"/>
                <w:color w:val="auto"/>
              </w:rPr>
              <w:t>326,964</w:t>
            </w:r>
          </w:p>
        </w:tc>
        <w:tc>
          <w:tcPr>
            <w:tcW w:w="110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89"/>
              </w:rPr>
              <w:t>349,779</w:t>
            </w:r>
          </w:p>
        </w:tc>
        <w:tc>
          <w:tcPr>
            <w:tcW w:w="108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0"/>
              </w:rPr>
              <w:t>75,117</w:t>
            </w:r>
          </w:p>
        </w:tc>
        <w:tc>
          <w:tcPr>
            <w:tcW w:w="108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90"/>
              </w:rPr>
              <w:t>18,106</w:t>
            </w:r>
          </w:p>
        </w:tc>
        <w:tc>
          <w:tcPr>
            <w:tcW w:w="980" w:type="dxa"/>
            <w:vAlign w:val="bottom"/>
            <w:tcBorders>
              <w:bottom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89"/>
              </w:rPr>
              <w:t>769,966</w:t>
            </w:r>
          </w:p>
        </w:tc>
        <w:tc>
          <w:tcPr>
            <w:tcW w:w="0" w:type="dxa"/>
            <w:vAlign w:val="bottom"/>
          </w:tcPr>
          <w:p>
            <w:pPr>
              <w:spacing w:after="0"/>
              <w:rPr>
                <w:sz w:val="1"/>
                <w:szCs w:val="1"/>
                <w:color w:val="auto"/>
              </w:rPr>
            </w:pPr>
          </w:p>
        </w:tc>
      </w:tr>
      <w:tr>
        <w:trPr>
          <w:trHeight w:val="195"/>
        </w:trPr>
        <w:tc>
          <w:tcPr>
            <w:tcW w:w="4820" w:type="dxa"/>
            <w:vAlign w:val="bottom"/>
            <w:tcBorders>
              <w:right w:val="single" w:sz="8" w:color="2D53A6"/>
            </w:tcBorders>
          </w:tcPr>
          <w:p>
            <w:pPr>
              <w:spacing w:after="0" w:line="195" w:lineRule="exact"/>
              <w:rPr>
                <w:sz w:val="20"/>
                <w:szCs w:val="20"/>
                <w:color w:val="auto"/>
              </w:rPr>
            </w:pPr>
            <w:r>
              <w:rPr>
                <w:rFonts w:ascii="Arial" w:cs="Arial" w:eastAsia="Arial" w:hAnsi="Arial"/>
                <w:sz w:val="14"/>
                <w:szCs w:val="14"/>
                <w:color w:val="auto"/>
              </w:rPr>
              <w:t xml:space="preserve">Ian P. Lawee </w:t>
            </w:r>
            <w:r>
              <w:rPr>
                <w:rFonts w:ascii="Arial" w:cs="Arial" w:eastAsia="Arial" w:hAnsi="Arial"/>
                <w:sz w:val="22"/>
                <w:szCs w:val="22"/>
                <w:color w:val="auto"/>
                <w:vertAlign w:val="superscript"/>
              </w:rPr>
              <w:t>(4)</w:t>
            </w:r>
          </w:p>
        </w:tc>
        <w:tc>
          <w:tcPr>
            <w:tcW w:w="1100" w:type="dxa"/>
            <w:vAlign w:val="bottom"/>
            <w:tcBorders>
              <w:right w:val="single" w:sz="8" w:color="2D53A6"/>
            </w:tcBorders>
          </w:tcPr>
          <w:p>
            <w:pPr>
              <w:ind w:left="360"/>
              <w:spacing w:after="0" w:line="195" w:lineRule="exact"/>
              <w:rPr>
                <w:sz w:val="20"/>
                <w:szCs w:val="20"/>
                <w:color w:val="auto"/>
              </w:rPr>
            </w:pPr>
            <w:r>
              <w:rPr>
                <w:rFonts w:ascii="Arial" w:cs="Arial" w:eastAsia="Arial" w:hAnsi="Arial"/>
                <w:sz w:val="18"/>
                <w:szCs w:val="18"/>
                <w:color w:val="auto"/>
              </w:rPr>
              <w:t>2021</w:t>
            </w:r>
          </w:p>
        </w:tc>
        <w:tc>
          <w:tcPr>
            <w:tcW w:w="180" w:type="dxa"/>
            <w:vAlign w:val="bottom"/>
          </w:tcPr>
          <w:p>
            <w:pPr>
              <w:spacing w:after="0"/>
              <w:rPr>
                <w:sz w:val="16"/>
                <w:szCs w:val="16"/>
                <w:color w:val="auto"/>
              </w:rPr>
            </w:pPr>
          </w:p>
        </w:tc>
        <w:tc>
          <w:tcPr>
            <w:tcW w:w="900" w:type="dxa"/>
            <w:vAlign w:val="bottom"/>
            <w:tcBorders>
              <w:right w:val="single" w:sz="8" w:color="2D53A6"/>
            </w:tcBorders>
          </w:tcPr>
          <w:p>
            <w:pPr>
              <w:ind w:left="80"/>
              <w:spacing w:after="0" w:line="195" w:lineRule="exact"/>
              <w:rPr>
                <w:sz w:val="20"/>
                <w:szCs w:val="20"/>
                <w:color w:val="auto"/>
              </w:rPr>
            </w:pPr>
            <w:r>
              <w:rPr>
                <w:rFonts w:ascii="Arial" w:cs="Arial" w:eastAsia="Arial" w:hAnsi="Arial"/>
                <w:sz w:val="18"/>
                <w:szCs w:val="18"/>
                <w:color w:val="auto"/>
              </w:rPr>
              <w:t>308,333</w:t>
            </w:r>
          </w:p>
        </w:tc>
        <w:tc>
          <w:tcPr>
            <w:tcW w:w="1100" w:type="dxa"/>
            <w:vAlign w:val="bottom"/>
            <w:tcBorders>
              <w:right w:val="single" w:sz="8" w:color="2D53A6"/>
            </w:tcBorders>
          </w:tcPr>
          <w:p>
            <w:pPr>
              <w:jc w:val="center"/>
              <w:spacing w:after="0" w:line="195" w:lineRule="exact"/>
              <w:rPr>
                <w:sz w:val="20"/>
                <w:szCs w:val="20"/>
                <w:color w:val="auto"/>
              </w:rPr>
            </w:pPr>
            <w:r>
              <w:rPr>
                <w:rFonts w:ascii="Arial" w:cs="Arial" w:eastAsia="Arial" w:hAnsi="Arial"/>
                <w:sz w:val="18"/>
                <w:szCs w:val="18"/>
                <w:color w:val="auto"/>
                <w:w w:val="89"/>
              </w:rPr>
              <w:t>404,765</w:t>
            </w:r>
          </w:p>
        </w:tc>
        <w:tc>
          <w:tcPr>
            <w:tcW w:w="1080" w:type="dxa"/>
            <w:vAlign w:val="bottom"/>
            <w:tcBorders>
              <w:right w:val="single" w:sz="8" w:color="2D53A6"/>
            </w:tcBorders>
          </w:tcPr>
          <w:p>
            <w:pPr>
              <w:jc w:val="center"/>
              <w:spacing w:after="0" w:line="195" w:lineRule="exact"/>
              <w:rPr>
                <w:sz w:val="20"/>
                <w:szCs w:val="20"/>
                <w:color w:val="auto"/>
              </w:rPr>
            </w:pPr>
            <w:r>
              <w:rPr>
                <w:rFonts w:ascii="Arial" w:cs="Arial" w:eastAsia="Arial" w:hAnsi="Arial"/>
                <w:sz w:val="18"/>
                <w:szCs w:val="18"/>
                <w:color w:val="auto"/>
                <w:w w:val="89"/>
              </w:rPr>
              <w:t>288,091</w:t>
            </w:r>
          </w:p>
        </w:tc>
        <w:tc>
          <w:tcPr>
            <w:tcW w:w="1080" w:type="dxa"/>
            <w:vAlign w:val="bottom"/>
            <w:tcBorders>
              <w:right w:val="single" w:sz="8" w:color="2D53A6"/>
            </w:tcBorders>
          </w:tcPr>
          <w:p>
            <w:pPr>
              <w:jc w:val="center"/>
              <w:spacing w:after="0" w:line="195" w:lineRule="exact"/>
              <w:rPr>
                <w:sz w:val="20"/>
                <w:szCs w:val="20"/>
                <w:color w:val="auto"/>
              </w:rPr>
            </w:pPr>
            <w:r>
              <w:rPr>
                <w:rFonts w:ascii="Arial" w:cs="Arial" w:eastAsia="Arial" w:hAnsi="Arial"/>
                <w:sz w:val="18"/>
                <w:szCs w:val="18"/>
                <w:color w:val="auto"/>
                <w:w w:val="90"/>
              </w:rPr>
              <w:t>18,991</w:t>
            </w:r>
          </w:p>
        </w:tc>
        <w:tc>
          <w:tcPr>
            <w:tcW w:w="980" w:type="dxa"/>
            <w:vAlign w:val="bottom"/>
          </w:tcPr>
          <w:p>
            <w:pPr>
              <w:jc w:val="center"/>
              <w:spacing w:after="0" w:line="195" w:lineRule="exact"/>
              <w:rPr>
                <w:sz w:val="20"/>
                <w:szCs w:val="20"/>
                <w:color w:val="auto"/>
              </w:rPr>
            </w:pPr>
            <w:r>
              <w:rPr>
                <w:rFonts w:ascii="Arial" w:cs="Arial" w:eastAsia="Arial" w:hAnsi="Arial"/>
                <w:sz w:val="18"/>
                <w:szCs w:val="18"/>
                <w:color w:val="auto"/>
                <w:w w:val="89"/>
              </w:rPr>
              <w:t>1,020,180</w:t>
            </w:r>
          </w:p>
        </w:tc>
        <w:tc>
          <w:tcPr>
            <w:tcW w:w="0" w:type="dxa"/>
            <w:vAlign w:val="bottom"/>
          </w:tcPr>
          <w:p>
            <w:pPr>
              <w:spacing w:after="0"/>
              <w:rPr>
                <w:sz w:val="1"/>
                <w:szCs w:val="1"/>
                <w:color w:val="auto"/>
              </w:rPr>
            </w:pPr>
          </w:p>
        </w:tc>
      </w:tr>
      <w:tr>
        <w:trPr>
          <w:trHeight w:val="216"/>
        </w:trPr>
        <w:tc>
          <w:tcPr>
            <w:tcW w:w="4820" w:type="dxa"/>
            <w:vAlign w:val="bottom"/>
            <w:tcBorders>
              <w:right w:val="single" w:sz="8" w:color="2D53A6"/>
            </w:tcBorders>
          </w:tcPr>
          <w:p>
            <w:pPr>
              <w:spacing w:after="0"/>
              <w:rPr>
                <w:sz w:val="20"/>
                <w:szCs w:val="20"/>
                <w:color w:val="auto"/>
              </w:rPr>
            </w:pPr>
            <w:r>
              <w:rPr>
                <w:rFonts w:ascii="Arial" w:cs="Arial" w:eastAsia="Arial" w:hAnsi="Arial"/>
                <w:sz w:val="18"/>
                <w:szCs w:val="18"/>
                <w:i w:val="1"/>
                <w:iCs w:val="1"/>
                <w:color w:val="auto"/>
              </w:rPr>
              <w:t>Sr. Vice President &amp; General Manager,</w:t>
            </w:r>
          </w:p>
        </w:tc>
        <w:tc>
          <w:tcPr>
            <w:tcW w:w="1100" w:type="dxa"/>
            <w:vAlign w:val="bottom"/>
            <w:tcBorders>
              <w:right w:val="single" w:sz="8" w:color="2D53A6"/>
            </w:tcBorders>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Borders>
              <w:right w:val="single" w:sz="8" w:color="2D53A6"/>
            </w:tcBorders>
          </w:tcPr>
          <w:p>
            <w:pPr>
              <w:spacing w:after="0"/>
              <w:rPr>
                <w:sz w:val="18"/>
                <w:szCs w:val="18"/>
                <w:color w:val="auto"/>
              </w:rPr>
            </w:pPr>
          </w:p>
        </w:tc>
        <w:tc>
          <w:tcPr>
            <w:tcW w:w="1100" w:type="dxa"/>
            <w:vAlign w:val="bottom"/>
            <w:tcBorders>
              <w:right w:val="single" w:sz="8" w:color="2D53A6"/>
            </w:tcBorders>
          </w:tcPr>
          <w:p>
            <w:pPr>
              <w:spacing w:after="0"/>
              <w:rPr>
                <w:sz w:val="18"/>
                <w:szCs w:val="18"/>
                <w:color w:val="auto"/>
              </w:rPr>
            </w:pPr>
          </w:p>
        </w:tc>
        <w:tc>
          <w:tcPr>
            <w:tcW w:w="1080" w:type="dxa"/>
            <w:vAlign w:val="bottom"/>
            <w:tcBorders>
              <w:right w:val="single" w:sz="8" w:color="2D53A6"/>
            </w:tcBorders>
          </w:tcPr>
          <w:p>
            <w:pPr>
              <w:spacing w:after="0"/>
              <w:rPr>
                <w:sz w:val="18"/>
                <w:szCs w:val="18"/>
                <w:color w:val="auto"/>
              </w:rPr>
            </w:pPr>
          </w:p>
        </w:tc>
        <w:tc>
          <w:tcPr>
            <w:tcW w:w="1080" w:type="dxa"/>
            <w:vAlign w:val="bottom"/>
            <w:tcBorders>
              <w:right w:val="single" w:sz="8" w:color="2D53A6"/>
            </w:tcBorders>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20" w:type="dxa"/>
            <w:vAlign w:val="bottom"/>
            <w:tcBorders>
              <w:bottom w:val="single" w:sz="8" w:color="2D53A6"/>
              <w:right w:val="single" w:sz="8" w:color="2D53A6"/>
            </w:tcBorders>
          </w:tcPr>
          <w:p>
            <w:pPr>
              <w:spacing w:after="0"/>
              <w:rPr>
                <w:sz w:val="20"/>
                <w:szCs w:val="20"/>
                <w:color w:val="auto"/>
              </w:rPr>
            </w:pPr>
            <w:r>
              <w:rPr>
                <w:rFonts w:ascii="Arial" w:cs="Arial" w:eastAsia="Arial" w:hAnsi="Arial"/>
                <w:sz w:val="18"/>
                <w:szCs w:val="18"/>
                <w:i w:val="1"/>
                <w:iCs w:val="1"/>
                <w:color w:val="auto"/>
              </w:rPr>
              <w:t>Semiconductor Test Group</w:t>
            </w:r>
          </w:p>
        </w:tc>
        <w:tc>
          <w:tcPr>
            <w:tcW w:w="1100" w:type="dxa"/>
            <w:vAlign w:val="bottom"/>
            <w:tcBorders>
              <w:bottom w:val="single" w:sz="8" w:color="2D53A6"/>
              <w:right w:val="single" w:sz="8" w:color="2D53A6"/>
            </w:tcBorders>
          </w:tcPr>
          <w:p>
            <w:pPr>
              <w:spacing w:after="0"/>
              <w:rPr>
                <w:sz w:val="20"/>
                <w:szCs w:val="20"/>
                <w:color w:val="auto"/>
              </w:rPr>
            </w:pPr>
          </w:p>
        </w:tc>
        <w:tc>
          <w:tcPr>
            <w:tcW w:w="180" w:type="dxa"/>
            <w:vAlign w:val="bottom"/>
            <w:tcBorders>
              <w:bottom w:val="single" w:sz="8" w:color="2D53A6"/>
            </w:tcBorders>
          </w:tcPr>
          <w:p>
            <w:pPr>
              <w:spacing w:after="0"/>
              <w:rPr>
                <w:sz w:val="20"/>
                <w:szCs w:val="20"/>
                <w:color w:val="auto"/>
              </w:rPr>
            </w:pPr>
          </w:p>
        </w:tc>
        <w:tc>
          <w:tcPr>
            <w:tcW w:w="900" w:type="dxa"/>
            <w:vAlign w:val="bottom"/>
            <w:tcBorders>
              <w:bottom w:val="single" w:sz="8" w:color="2D53A6"/>
              <w:right w:val="single" w:sz="8" w:color="2D53A6"/>
            </w:tcBorders>
          </w:tcPr>
          <w:p>
            <w:pPr>
              <w:spacing w:after="0"/>
              <w:rPr>
                <w:sz w:val="20"/>
                <w:szCs w:val="20"/>
                <w:color w:val="auto"/>
              </w:rPr>
            </w:pPr>
          </w:p>
        </w:tc>
        <w:tc>
          <w:tcPr>
            <w:tcW w:w="1100" w:type="dxa"/>
            <w:vAlign w:val="bottom"/>
            <w:tcBorders>
              <w:bottom w:val="single" w:sz="8" w:color="2D53A6"/>
              <w:right w:val="single" w:sz="8" w:color="2D53A6"/>
            </w:tcBorders>
          </w:tcPr>
          <w:p>
            <w:pPr>
              <w:spacing w:after="0"/>
              <w:rPr>
                <w:sz w:val="20"/>
                <w:szCs w:val="20"/>
                <w:color w:val="auto"/>
              </w:rPr>
            </w:pPr>
          </w:p>
        </w:tc>
        <w:tc>
          <w:tcPr>
            <w:tcW w:w="1080" w:type="dxa"/>
            <w:vAlign w:val="bottom"/>
            <w:tcBorders>
              <w:bottom w:val="single" w:sz="8" w:color="2D53A6"/>
              <w:right w:val="single" w:sz="8" w:color="2D53A6"/>
            </w:tcBorders>
          </w:tcPr>
          <w:p>
            <w:pPr>
              <w:spacing w:after="0"/>
              <w:rPr>
                <w:sz w:val="20"/>
                <w:szCs w:val="20"/>
                <w:color w:val="auto"/>
              </w:rPr>
            </w:pPr>
          </w:p>
        </w:tc>
        <w:tc>
          <w:tcPr>
            <w:tcW w:w="1080" w:type="dxa"/>
            <w:vAlign w:val="bottom"/>
            <w:tcBorders>
              <w:bottom w:val="single" w:sz="8" w:color="2D53A6"/>
              <w:right w:val="single" w:sz="8" w:color="2D53A6"/>
            </w:tcBorders>
          </w:tcPr>
          <w:p>
            <w:pPr>
              <w:spacing w:after="0"/>
              <w:rPr>
                <w:sz w:val="20"/>
                <w:szCs w:val="20"/>
                <w:color w:val="auto"/>
              </w:rPr>
            </w:pPr>
          </w:p>
        </w:tc>
        <w:tc>
          <w:tcPr>
            <w:tcW w:w="980" w:type="dxa"/>
            <w:vAlign w:val="bottom"/>
            <w:tcBorders>
              <w:bottom w:val="single" w:sz="8" w:color="2D53A6"/>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right="20" w:hanging="332"/>
        <w:spacing w:after="0" w:line="284" w:lineRule="auto"/>
        <w:tabs>
          <w:tab w:leader="none" w:pos="3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Amounts shown do not reflect compensation actually received by the NEOs. Instead, the amounts shown above are the grant date fair value for stock awards issued in the form of RSUs and PSUs granted in fiscal 2021, 2020, and 2019, calculated in accordance with FASB Topic ASC 718 without regard to estimated forfeitures. The assumptions used to calculate the grant date fair value of the stock awards are set forth in Note 6, “Employee Benefit Plans”, included in Part IV, Item 15(a) of Cohu’s Annual Report on Form 10-K for the year ended December 25, 2021, filed with the SEC. The derived grant date fair value for the stock award is recognized, for financial statement purposes, over the number of days of service required for the award to vest in full. No stock options were granted to the NEOs during the three-year period ended December 25, 2021. Assuming the highest level of performance conditions are achieved, the grant date fair values for performance-based stock awards made in fiscal 2021 would be $3,283,167, $1,076,866, $709,111, $525,233 and $459,579 for Dr. Müller and Messrs. Jones, Bohrson, Kampfer and Lawee, respectively.</w:t>
      </w:r>
    </w:p>
    <w:p>
      <w:pPr>
        <w:ind w:left="340" w:right="640" w:hanging="332"/>
        <w:spacing w:after="0" w:line="250"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Amounts consist of performance-based cash incentives received by the NEO earned for services rendered in fiscal 2021, 2020, and 2019. Such amounts were paid under the 2005 Plan in February or March of the following fiscal year.</w:t>
      </w: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amounts shown in this column reflect the following for each NEO:</w:t>
      </w:r>
    </w:p>
    <w:p>
      <w:pPr>
        <w:spacing w:after="0" w:line="210" w:lineRule="exact"/>
        <w:rPr>
          <w:rFonts w:ascii="Arial" w:cs="Arial" w:eastAsia="Arial" w:hAnsi="Arial"/>
          <w:sz w:val="18"/>
          <w:szCs w:val="18"/>
          <w:color w:val="auto"/>
        </w:rPr>
      </w:pPr>
    </w:p>
    <w:p>
      <w:pPr>
        <w:jc w:val="both"/>
        <w:ind w:left="660" w:right="640" w:hanging="328"/>
        <w:spacing w:after="0" w:line="255" w:lineRule="auto"/>
        <w:tabs>
          <w:tab w:leader="none" w:pos="6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For U.S. based NEOs, includes amounts of Cohu’s matching contributions in fiscal 2021 under the Cohu 401(k) Plan (which is more fully described elsewhere herein under the heading “Retirement Benefits Under the 401(k) Plan, Executive Perquisites and Generally Available Benefits”).</w:t>
      </w:r>
    </w:p>
    <w:p>
      <w:pPr>
        <w:spacing w:after="0" w:line="2" w:lineRule="exact"/>
        <w:rPr>
          <w:rFonts w:ascii="Arial" w:cs="Arial" w:eastAsia="Arial" w:hAnsi="Arial"/>
          <w:sz w:val="18"/>
          <w:szCs w:val="18"/>
          <w:color w:val="auto"/>
        </w:rPr>
      </w:pPr>
    </w:p>
    <w:p>
      <w:pPr>
        <w:ind w:left="660" w:hanging="328"/>
        <w:spacing w:after="0"/>
        <w:tabs>
          <w:tab w:leader="none" w:pos="6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value attributable to life insurance benefits provided by Cohu (such amount is taxable to the recipient).</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Monthly automobile expense allowance paid by Cohu (such amount is taxable to the recipient).</w:t>
      </w:r>
    </w:p>
    <w:p>
      <w:pPr>
        <w:spacing w:after="0" w:line="36" w:lineRule="exact"/>
        <w:rPr>
          <w:rFonts w:ascii="Arial" w:cs="Arial" w:eastAsia="Arial" w:hAnsi="Arial"/>
          <w:sz w:val="18"/>
          <w:szCs w:val="18"/>
          <w:color w:val="auto"/>
        </w:rPr>
      </w:pPr>
    </w:p>
    <w:p>
      <w:pPr>
        <w:ind w:left="660" w:right="140" w:hanging="328"/>
        <w:spacing w:after="0" w:line="277" w:lineRule="auto"/>
        <w:tabs>
          <w:tab w:leader="none" w:pos="6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Except as noted above, the amount attributable to each such perquisite or benefit for each NEO does not exceed the greater of $25,000 or 10% of the total amount of perquisites and personal benefits received by such NEO.</w:t>
      </w:r>
    </w:p>
    <w:p>
      <w:pPr>
        <w:spacing w:after="0" w:line="170" w:lineRule="exact"/>
        <w:rPr>
          <w:rFonts w:ascii="Arial" w:cs="Arial" w:eastAsia="Arial" w:hAnsi="Arial"/>
          <w:sz w:val="18"/>
          <w:szCs w:val="18"/>
          <w:color w:val="auto"/>
        </w:rPr>
      </w:pPr>
    </w:p>
    <w:p>
      <w:pPr>
        <w:ind w:left="340" w:right="60" w:hanging="332"/>
        <w:spacing w:after="0" w:line="277"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Mr. Lawee joined Cohu in 2019 but did not become an NEO until the filing of this proxy statement and therefore only 2021 compensation information is provided.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6" w:name="page47"/>
    <w:bookmarkEnd w:id="46"/>
    <w:p>
      <w:pPr>
        <w:ind w:right="40"/>
        <w:spacing w:after="0" w:line="263" w:lineRule="auto"/>
        <w:rPr>
          <w:sz w:val="20"/>
          <w:szCs w:val="20"/>
          <w:color w:val="auto"/>
        </w:rPr>
      </w:pPr>
      <w:r>
        <w:rPr>
          <w:rFonts w:ascii="Arial" w:cs="Arial" w:eastAsia="Arial" w:hAnsi="Arial"/>
          <w:sz w:val="18"/>
          <w:szCs w:val="18"/>
          <w:color w:val="auto"/>
        </w:rPr>
        <w:t>We do not have employment agreements with our NEOs. The material terms of stock awards granted to our NEOs in 2021 and performance-based cash incentives earned by our NEOs for 2021 are described in more detail in “Long-Term Incentive Compensation” and “Annual Cash Incentive”, respectively, above.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CEO Pay Ratio</w:t>
      </w:r>
    </w:p>
    <w:p>
      <w:pPr>
        <w:spacing w:after="0" w:line="229"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As required by Section 953(b) of the Dodd-Frank Wall Street Reform and Consumer Protection Act, and Item 401(u) of Regulation S-K, we are providing the following information about the relationship of the annual total compensation of our employees and the annual total compensation of Dr. Luis Müller, our CEO.</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For 2021, our last completed fiscal year:</w:t>
      </w:r>
    </w:p>
    <w:p>
      <w:pPr>
        <w:spacing w:after="0" w:line="23"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median of the annual total compensation of all employees of our company (other than our CEO), was $39,091; and</w:t>
      </w:r>
    </w:p>
    <w:p>
      <w:pPr>
        <w:spacing w:after="0" w:line="9" w:lineRule="exact"/>
        <w:rPr>
          <w:rFonts w:ascii="Arial" w:cs="Arial" w:eastAsia="Arial" w:hAnsi="Arial"/>
          <w:sz w:val="18"/>
          <w:szCs w:val="18"/>
          <w:color w:val="auto"/>
        </w:rPr>
      </w:pPr>
    </w:p>
    <w:p>
      <w:pPr>
        <w:ind w:left="660" w:right="200" w:hanging="328"/>
        <w:spacing w:after="0" w:line="260"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annual total compensation of our CEO, as reported in the Summary Compensation Table presented elsewhere in this Proxy Statement, was $4,582,416.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132320" cy="6858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685800"/>
                    </a:xfrm>
                    <a:prstGeom prst="rect">
                      <a:avLst/>
                    </a:prstGeom>
                    <a:noFill/>
                  </pic:spPr>
                </pic:pic>
              </a:graphicData>
            </a:graphic>
          </wp:anchor>
        </w:drawing>
      </w: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FFFFFF"/>
        </w:rPr>
        <w:t>Based on this information, for 2021 the ratio of the annual total</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FFFFFF"/>
        </w:rPr>
        <w:t>compensation of Dr. M</w:t>
      </w:r>
      <w:r>
        <w:rPr>
          <w:rFonts w:ascii="Arial" w:cs="Arial" w:eastAsia="Arial" w:hAnsi="Arial"/>
          <w:sz w:val="18"/>
          <w:szCs w:val="18"/>
          <w:color w:val="FFFFFF"/>
        </w:rPr>
        <w:t>ü</w:t>
      </w:r>
      <w:r>
        <w:rPr>
          <w:rFonts w:ascii="Arial" w:cs="Arial" w:eastAsia="Arial" w:hAnsi="Arial"/>
          <w:sz w:val="18"/>
          <w:szCs w:val="18"/>
          <w:b w:val="1"/>
          <w:bCs w:val="1"/>
          <w:color w:val="FFFFFF"/>
        </w:rPr>
        <w:t>ller, our CEO, to the median of the annual</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FFFFFF"/>
        </w:rPr>
        <w:t>total compensation of all our employees was 117 to 1.</w:t>
      </w:r>
    </w:p>
    <w:p>
      <w:pPr>
        <w:spacing w:after="0" w:line="200" w:lineRule="exact"/>
        <w:rPr>
          <w:sz w:val="20"/>
          <w:szCs w:val="20"/>
          <w:color w:val="auto"/>
        </w:rPr>
      </w:pPr>
    </w:p>
    <w:p>
      <w:pPr>
        <w:spacing w:after="0" w:line="22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believe that this pay ratio is a reasonable estimate calculated in a manner consistent with SEC rules based on our payroll and employment records and the methodology described below.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compensation practices. As such, the pay ratio reported by other companies may not be comparable to the pay ratio reported above, as other companies may have different employment and compensation practices and may utilize different methodologies, exclusions, estimates and assumptions in calculating their own pay ratios.</w:t>
      </w:r>
    </w:p>
    <w:p>
      <w:pPr>
        <w:spacing w:after="0" w:line="178"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For the purposes of establishing the median total compensation of all employees in 2021, we determined that the balance of the global workforce remained substantially similar to 2019 and therefore as allowed under SEC rules, we would use the same median compensated employee as identified in 2019.</w:t>
      </w:r>
    </w:p>
    <w:p>
      <w:pPr>
        <w:spacing w:after="0" w:line="12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To identify the median compensated employee in 2019, we determined that, as of November 1, 2019, our employee population consisted of approximately 3,100 individuals globally, with 21% of these individuals located in the Americas, 20% located in Europe (primarily in Germany and Switzerland), and 59% located in Asia (primarily in Malaysia and the Philippines). This population includes employees that joined Cohu via the acquisition of Xcerra Corporation on October 1, 2018.</w:t>
      </w:r>
    </w:p>
    <w:p>
      <w:pPr>
        <w:spacing w:after="0" w:line="18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selected November 1, 2019, which is within the last three months of 2019, as the date upon which we would identify the “median employee” to allow sufficient time to identify the median employee given the global scope of our operations. We excluded equity compensation as a factor in identifying the median employee as less than 10% of our employee population receives equity grants as part of their compensation. Additionally, we used forecasted 2019 compensation (actual compensation paid January through October 2019 plus estimated compensation for November through December 2019) based on salary or wages, overtime pay, monthly allowances, statutory bonuses, and incentive pay received. Due to the geographical distribution of our employee populations, we also excluded social program contributions and other benefits as these vary greatly from country to country.</w:t>
      </w:r>
    </w:p>
    <w:p>
      <w:pPr>
        <w:spacing w:after="0" w:line="16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Using this methodology, we determined that the “median employee” was a full-time, salaried employee located in Japan. The median employee’s actual annual total compensation for the 12-month period ending December 31, 2021, was $39,091. This amount includes all wages, overtime pay, statutory and variable incentive payments, allowances and localized personal benefits, and mandatory payments to the government regarding pension, healthcare and housing converted to U.S. Dollars.</w:t>
      </w:r>
    </w:p>
    <w:p>
      <w:pPr>
        <w:spacing w:after="0" w:line="1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584" w:right="41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2021 Grants of Plan-Based Awards</w:t>
      </w:r>
    </w:p>
    <w:p>
      <w:pPr>
        <w:spacing w:after="0" w:line="229"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The following table shows all plan-based awards granted to our NEOs during fiscal 2021, which ended on December 25, 2021. The stock awards identified in the table below are also reported in the “Outstanding Equity Awards at 2021” table included herein. Cohu did not grant any stock options to NEOs under the 2005 Plan in fiscal 2021.</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20" w:type="dxa"/>
            <w:vAlign w:val="bottom"/>
            <w:tcBorders>
              <w:right w:val="single" w:sz="8" w:color="333333"/>
            </w:tcBorders>
            <w:shd w:val="clear" w:color="auto" w:fill="2D53A6"/>
          </w:tcPr>
          <w:p>
            <w:pPr>
              <w:spacing w:after="0"/>
              <w:rPr>
                <w:sz w:val="17"/>
                <w:szCs w:val="17"/>
                <w:color w:val="auto"/>
              </w:rPr>
            </w:pPr>
          </w:p>
        </w:tc>
        <w:tc>
          <w:tcPr>
            <w:tcW w:w="2160" w:type="dxa"/>
            <w:vAlign w:val="bottom"/>
            <w:tcBorders>
              <w:right w:val="single" w:sz="8" w:color="333333"/>
            </w:tcBorders>
            <w:shd w:val="clear" w:color="auto" w:fill="2D53A6"/>
          </w:tcPr>
          <w:p>
            <w:pPr>
              <w:spacing w:after="0"/>
              <w:rPr>
                <w:sz w:val="17"/>
                <w:szCs w:val="17"/>
                <w:color w:val="auto"/>
              </w:rPr>
            </w:pPr>
          </w:p>
        </w:tc>
        <w:tc>
          <w:tcPr>
            <w:tcW w:w="3720" w:type="dxa"/>
            <w:vAlign w:val="bottom"/>
            <w:tcBorders>
              <w:right w:val="single" w:sz="8" w:color="333333"/>
            </w:tcBorders>
            <w:gridSpan w:val="4"/>
            <w:vMerge w:val="restart"/>
            <w:shd w:val="clear" w:color="auto" w:fill="2D53A6"/>
          </w:tcPr>
          <w:p>
            <w:pPr>
              <w:jc w:val="right"/>
              <w:ind w:right="510"/>
              <w:spacing w:after="0"/>
              <w:rPr>
                <w:sz w:val="20"/>
                <w:szCs w:val="20"/>
                <w:color w:val="auto"/>
              </w:rPr>
            </w:pPr>
            <w:r>
              <w:rPr>
                <w:rFonts w:ascii="Arial" w:cs="Arial" w:eastAsia="Arial" w:hAnsi="Arial"/>
                <w:sz w:val="18"/>
                <w:szCs w:val="18"/>
                <w:b w:val="1"/>
                <w:bCs w:val="1"/>
                <w:color w:val="FFFFFF"/>
              </w:rPr>
              <w:t>Estimated Future Payouts Under</w:t>
            </w:r>
          </w:p>
        </w:tc>
        <w:tc>
          <w:tcPr>
            <w:tcW w:w="2420" w:type="dxa"/>
            <w:vAlign w:val="bottom"/>
            <w:tcBorders>
              <w:right w:val="single" w:sz="8" w:color="333333"/>
            </w:tcBorders>
            <w:gridSpan w:val="4"/>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90"/>
              </w:rPr>
              <w:t>Estimated Future Payouts</w:t>
            </w:r>
          </w:p>
        </w:tc>
        <w:tc>
          <w:tcPr>
            <w:tcW w:w="820" w:type="dxa"/>
            <w:vAlign w:val="bottom"/>
            <w:tcBorders>
              <w:right w:val="single" w:sz="8" w:color="333333"/>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7"/>
              </w:rPr>
              <w:t>All Other</w:t>
            </w:r>
          </w:p>
        </w:tc>
        <w:tc>
          <w:tcPr>
            <w:tcW w:w="900" w:type="dxa"/>
            <w:vAlign w:val="bottom"/>
            <w:shd w:val="clear" w:color="auto" w:fill="2D53A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4"/>
        </w:trPr>
        <w:tc>
          <w:tcPr>
            <w:tcW w:w="1220" w:type="dxa"/>
            <w:vAlign w:val="bottom"/>
            <w:tcBorders>
              <w:right w:val="single" w:sz="8" w:color="333333"/>
            </w:tcBorders>
            <w:shd w:val="clear" w:color="auto" w:fill="2D53A6"/>
          </w:tcPr>
          <w:p>
            <w:pPr>
              <w:spacing w:after="0"/>
              <w:rPr>
                <w:sz w:val="8"/>
                <w:szCs w:val="8"/>
                <w:color w:val="auto"/>
              </w:rPr>
            </w:pPr>
          </w:p>
        </w:tc>
        <w:tc>
          <w:tcPr>
            <w:tcW w:w="2160" w:type="dxa"/>
            <w:vAlign w:val="bottom"/>
            <w:tcBorders>
              <w:right w:val="single" w:sz="8" w:color="333333"/>
            </w:tcBorders>
            <w:shd w:val="clear" w:color="auto" w:fill="2D53A6"/>
          </w:tcPr>
          <w:p>
            <w:pPr>
              <w:spacing w:after="0"/>
              <w:rPr>
                <w:sz w:val="8"/>
                <w:szCs w:val="8"/>
                <w:color w:val="auto"/>
              </w:rPr>
            </w:pPr>
          </w:p>
        </w:tc>
        <w:tc>
          <w:tcPr>
            <w:tcW w:w="3720" w:type="dxa"/>
            <w:vAlign w:val="bottom"/>
            <w:tcBorders>
              <w:right w:val="single" w:sz="8" w:color="333333"/>
            </w:tcBorders>
            <w:gridSpan w:val="4"/>
            <w:vMerge w:val="continue"/>
            <w:shd w:val="clear" w:color="auto" w:fill="2D53A6"/>
          </w:tcPr>
          <w:p>
            <w:pPr>
              <w:spacing w:after="0"/>
              <w:rPr>
                <w:sz w:val="8"/>
                <w:szCs w:val="8"/>
                <w:color w:val="auto"/>
              </w:rPr>
            </w:pPr>
          </w:p>
        </w:tc>
        <w:tc>
          <w:tcPr>
            <w:tcW w:w="2420" w:type="dxa"/>
            <w:vAlign w:val="bottom"/>
            <w:tcBorders>
              <w:right w:val="single" w:sz="8" w:color="333333"/>
            </w:tcBorders>
            <w:gridSpan w:val="4"/>
            <w:vMerge w:val="continue"/>
            <w:shd w:val="clear" w:color="auto" w:fill="2D53A6"/>
          </w:tcPr>
          <w:p>
            <w:pPr>
              <w:spacing w:after="0"/>
              <w:rPr>
                <w:sz w:val="8"/>
                <w:szCs w:val="8"/>
                <w:color w:val="auto"/>
              </w:rPr>
            </w:pPr>
          </w:p>
        </w:tc>
        <w:tc>
          <w:tcPr>
            <w:tcW w:w="820" w:type="dxa"/>
            <w:vAlign w:val="bottom"/>
            <w:tcBorders>
              <w:right w:val="single" w:sz="8" w:color="333333"/>
            </w:tcBorders>
            <w:vMerge w:val="restart"/>
            <w:shd w:val="clear" w:color="auto" w:fill="2D53A6"/>
          </w:tcPr>
          <w:p>
            <w:pPr>
              <w:jc w:val="center"/>
              <w:spacing w:after="0" w:line="202" w:lineRule="exact"/>
              <w:rPr>
                <w:sz w:val="20"/>
                <w:szCs w:val="20"/>
                <w:color w:val="auto"/>
              </w:rPr>
            </w:pPr>
            <w:r>
              <w:rPr>
                <w:rFonts w:ascii="Arial" w:cs="Arial" w:eastAsia="Arial" w:hAnsi="Arial"/>
                <w:sz w:val="18"/>
                <w:szCs w:val="18"/>
                <w:b w:val="1"/>
                <w:bCs w:val="1"/>
                <w:color w:val="FFFFFF"/>
                <w:w w:val="89"/>
              </w:rPr>
              <w:t>Stock</w:t>
            </w:r>
          </w:p>
        </w:tc>
        <w:tc>
          <w:tcPr>
            <w:tcW w:w="900" w:type="dxa"/>
            <w:vAlign w:val="bottom"/>
            <w:vMerge w:val="restart"/>
            <w:shd w:val="clear" w:color="auto" w:fill="2D53A6"/>
          </w:tcPr>
          <w:p>
            <w:pPr>
              <w:jc w:val="center"/>
              <w:spacing w:after="0" w:line="202" w:lineRule="exact"/>
              <w:rPr>
                <w:sz w:val="20"/>
                <w:szCs w:val="20"/>
                <w:color w:val="auto"/>
              </w:rPr>
            </w:pPr>
            <w:r>
              <w:rPr>
                <w:rFonts w:ascii="Arial" w:cs="Arial" w:eastAsia="Arial" w:hAnsi="Arial"/>
                <w:sz w:val="18"/>
                <w:szCs w:val="18"/>
                <w:b w:val="1"/>
                <w:bCs w:val="1"/>
                <w:color w:val="FFFFFF"/>
                <w:w w:val="95"/>
              </w:rPr>
              <w:t>Grant</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220" w:type="dxa"/>
            <w:vAlign w:val="bottom"/>
            <w:tcBorders>
              <w:right w:val="single" w:sz="8" w:color="333333"/>
            </w:tcBorders>
            <w:shd w:val="clear" w:color="auto" w:fill="2D53A6"/>
          </w:tcPr>
          <w:p>
            <w:pPr>
              <w:spacing w:after="0"/>
              <w:rPr>
                <w:sz w:val="9"/>
                <w:szCs w:val="9"/>
                <w:color w:val="auto"/>
              </w:rPr>
            </w:pPr>
          </w:p>
        </w:tc>
        <w:tc>
          <w:tcPr>
            <w:tcW w:w="2160" w:type="dxa"/>
            <w:vAlign w:val="bottom"/>
            <w:tcBorders>
              <w:right w:val="single" w:sz="8" w:color="333333"/>
            </w:tcBorders>
            <w:shd w:val="clear" w:color="auto" w:fill="2D53A6"/>
          </w:tcPr>
          <w:p>
            <w:pPr>
              <w:spacing w:after="0"/>
              <w:rPr>
                <w:sz w:val="9"/>
                <w:szCs w:val="9"/>
                <w:color w:val="auto"/>
              </w:rPr>
            </w:pPr>
          </w:p>
        </w:tc>
        <w:tc>
          <w:tcPr>
            <w:tcW w:w="3720" w:type="dxa"/>
            <w:vAlign w:val="bottom"/>
            <w:tcBorders>
              <w:right w:val="single" w:sz="8" w:color="333333"/>
            </w:tcBorders>
            <w:gridSpan w:val="4"/>
            <w:vMerge w:val="continue"/>
            <w:shd w:val="clear" w:color="auto" w:fill="2D53A6"/>
          </w:tcPr>
          <w:p>
            <w:pPr>
              <w:spacing w:after="0"/>
              <w:rPr>
                <w:sz w:val="9"/>
                <w:szCs w:val="9"/>
                <w:color w:val="auto"/>
              </w:rPr>
            </w:pPr>
          </w:p>
        </w:tc>
        <w:tc>
          <w:tcPr>
            <w:tcW w:w="2420" w:type="dxa"/>
            <w:vAlign w:val="bottom"/>
            <w:tcBorders>
              <w:right w:val="single" w:sz="8" w:color="333333"/>
            </w:tcBorders>
            <w:gridSpan w:val="4"/>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92"/>
              </w:rPr>
              <w:t>Under Equity Incentive Plan</w:t>
            </w:r>
          </w:p>
        </w:tc>
        <w:tc>
          <w:tcPr>
            <w:tcW w:w="820" w:type="dxa"/>
            <w:vAlign w:val="bottom"/>
            <w:tcBorders>
              <w:right w:val="single" w:sz="8" w:color="333333"/>
            </w:tcBorders>
            <w:vMerge w:val="continue"/>
            <w:shd w:val="clear" w:color="auto" w:fill="2D53A6"/>
          </w:tcPr>
          <w:p>
            <w:pPr>
              <w:spacing w:after="0"/>
              <w:rPr>
                <w:sz w:val="9"/>
                <w:szCs w:val="9"/>
                <w:color w:val="auto"/>
              </w:rPr>
            </w:pPr>
          </w:p>
        </w:tc>
        <w:tc>
          <w:tcPr>
            <w:tcW w:w="900" w:type="dxa"/>
            <w:vAlign w:val="bottom"/>
            <w:vMerge w:val="continue"/>
            <w:shd w:val="clear" w:color="auto" w:fill="2D53A6"/>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4"/>
        </w:trPr>
        <w:tc>
          <w:tcPr>
            <w:tcW w:w="1220" w:type="dxa"/>
            <w:vAlign w:val="bottom"/>
            <w:tcBorders>
              <w:right w:val="single" w:sz="8" w:color="333333"/>
            </w:tcBorders>
            <w:shd w:val="clear" w:color="auto" w:fill="2D53A6"/>
          </w:tcPr>
          <w:p>
            <w:pPr>
              <w:spacing w:after="0"/>
              <w:rPr>
                <w:sz w:val="16"/>
                <w:szCs w:val="16"/>
                <w:color w:val="auto"/>
              </w:rPr>
            </w:pPr>
          </w:p>
        </w:tc>
        <w:tc>
          <w:tcPr>
            <w:tcW w:w="2160" w:type="dxa"/>
            <w:vAlign w:val="bottom"/>
            <w:tcBorders>
              <w:right w:val="single" w:sz="8" w:color="333333"/>
            </w:tcBorders>
            <w:shd w:val="clear" w:color="auto" w:fill="2D53A6"/>
          </w:tcPr>
          <w:p>
            <w:pPr>
              <w:spacing w:after="0"/>
              <w:rPr>
                <w:sz w:val="16"/>
                <w:szCs w:val="16"/>
                <w:color w:val="auto"/>
              </w:rPr>
            </w:pPr>
          </w:p>
        </w:tc>
        <w:tc>
          <w:tcPr>
            <w:tcW w:w="3720" w:type="dxa"/>
            <w:vAlign w:val="bottom"/>
            <w:tcBorders>
              <w:right w:val="single" w:sz="8" w:color="333333"/>
            </w:tcBorders>
            <w:gridSpan w:val="4"/>
            <w:shd w:val="clear" w:color="auto" w:fill="2D53A6"/>
          </w:tcPr>
          <w:p>
            <w:pPr>
              <w:jc w:val="right"/>
              <w:ind w:right="330"/>
              <w:spacing w:after="0" w:line="193" w:lineRule="exact"/>
              <w:rPr>
                <w:sz w:val="20"/>
                <w:szCs w:val="20"/>
                <w:color w:val="auto"/>
              </w:rPr>
            </w:pPr>
            <w:r>
              <w:rPr>
                <w:rFonts w:ascii="Arial" w:cs="Arial" w:eastAsia="Arial" w:hAnsi="Arial"/>
                <w:sz w:val="14"/>
                <w:szCs w:val="14"/>
                <w:b w:val="1"/>
                <w:bCs w:val="1"/>
                <w:color w:val="FFFFFF"/>
              </w:rPr>
              <w:t xml:space="preserve">Non-Equity Incentive Plan Awards </w:t>
            </w:r>
            <w:r>
              <w:rPr>
                <w:rFonts w:ascii="Arial" w:cs="Arial" w:eastAsia="Arial" w:hAnsi="Arial"/>
                <w:sz w:val="22"/>
                <w:szCs w:val="22"/>
                <w:b w:val="1"/>
                <w:bCs w:val="1"/>
                <w:color w:val="FFFFFF"/>
                <w:vertAlign w:val="superscript"/>
              </w:rPr>
              <w:t>(1)</w:t>
            </w:r>
          </w:p>
        </w:tc>
        <w:tc>
          <w:tcPr>
            <w:tcW w:w="2420" w:type="dxa"/>
            <w:vAlign w:val="bottom"/>
            <w:tcBorders>
              <w:right w:val="single" w:sz="8" w:color="333333"/>
            </w:tcBorders>
            <w:gridSpan w:val="4"/>
            <w:vMerge w:val="continue"/>
            <w:shd w:val="clear" w:color="auto" w:fill="2D53A6"/>
          </w:tcPr>
          <w:p>
            <w:pPr>
              <w:spacing w:after="0"/>
              <w:rPr>
                <w:sz w:val="16"/>
                <w:szCs w:val="16"/>
                <w:color w:val="auto"/>
              </w:rPr>
            </w:pPr>
          </w:p>
        </w:tc>
        <w:tc>
          <w:tcPr>
            <w:tcW w:w="820" w:type="dxa"/>
            <w:vAlign w:val="bottom"/>
            <w:tcBorders>
              <w:right w:val="single" w:sz="8" w:color="333333"/>
            </w:tcBorders>
            <w:shd w:val="clear" w:color="auto" w:fill="2D53A6"/>
          </w:tcPr>
          <w:p>
            <w:pPr>
              <w:jc w:val="center"/>
              <w:spacing w:after="0" w:line="194" w:lineRule="exact"/>
              <w:rPr>
                <w:sz w:val="20"/>
                <w:szCs w:val="20"/>
                <w:color w:val="auto"/>
              </w:rPr>
            </w:pPr>
            <w:r>
              <w:rPr>
                <w:rFonts w:ascii="Arial" w:cs="Arial" w:eastAsia="Arial" w:hAnsi="Arial"/>
                <w:sz w:val="18"/>
                <w:szCs w:val="18"/>
                <w:b w:val="1"/>
                <w:bCs w:val="1"/>
                <w:color w:val="FFFFFF"/>
                <w:w w:val="90"/>
              </w:rPr>
              <w:t>Awards:</w:t>
            </w:r>
          </w:p>
        </w:tc>
        <w:tc>
          <w:tcPr>
            <w:tcW w:w="900" w:type="dxa"/>
            <w:vAlign w:val="bottom"/>
            <w:shd w:val="clear" w:color="auto" w:fill="2D53A6"/>
          </w:tcPr>
          <w:p>
            <w:pPr>
              <w:jc w:val="center"/>
              <w:spacing w:after="0" w:line="194" w:lineRule="exact"/>
              <w:rPr>
                <w:sz w:val="20"/>
                <w:szCs w:val="20"/>
                <w:color w:val="auto"/>
              </w:rPr>
            </w:pPr>
            <w:r>
              <w:rPr>
                <w:rFonts w:ascii="Arial" w:cs="Arial" w:eastAsia="Arial" w:hAnsi="Arial"/>
                <w:sz w:val="18"/>
                <w:szCs w:val="18"/>
                <w:b w:val="1"/>
                <w:bCs w:val="1"/>
                <w:color w:val="FFFFFF"/>
                <w:w w:val="96"/>
              </w:rPr>
              <w:t>Date Fair</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1220" w:type="dxa"/>
            <w:vAlign w:val="bottom"/>
            <w:tcBorders>
              <w:bottom w:val="single" w:sz="8" w:color="2D53A6"/>
              <w:right w:val="single" w:sz="8" w:color="333333"/>
            </w:tcBorders>
            <w:shd w:val="clear" w:color="auto" w:fill="2D53A6"/>
          </w:tcPr>
          <w:p>
            <w:pPr>
              <w:spacing w:after="0"/>
              <w:rPr>
                <w:sz w:val="20"/>
                <w:szCs w:val="20"/>
                <w:color w:val="auto"/>
              </w:rPr>
            </w:pPr>
            <w:r>
              <w:rPr>
                <w:rFonts w:ascii="Arial" w:cs="Arial" w:eastAsia="Arial" w:hAnsi="Arial"/>
                <w:sz w:val="18"/>
                <w:szCs w:val="18"/>
                <w:b w:val="1"/>
                <w:bCs w:val="1"/>
                <w:color w:val="FFFFFF"/>
              </w:rPr>
              <w:t>Named</w:t>
            </w:r>
          </w:p>
        </w:tc>
        <w:tc>
          <w:tcPr>
            <w:tcW w:w="2160" w:type="dxa"/>
            <w:vAlign w:val="bottom"/>
            <w:tcBorders>
              <w:bottom w:val="single" w:sz="8" w:color="2D53A6"/>
              <w:right w:val="single" w:sz="8" w:color="333333"/>
            </w:tcBorders>
            <w:shd w:val="clear" w:color="auto" w:fill="2D53A6"/>
          </w:tcPr>
          <w:p>
            <w:pPr>
              <w:spacing w:after="0"/>
              <w:rPr>
                <w:sz w:val="22"/>
                <w:szCs w:val="22"/>
                <w:color w:val="auto"/>
              </w:rPr>
            </w:pPr>
          </w:p>
        </w:tc>
        <w:tc>
          <w:tcPr>
            <w:tcW w:w="1040" w:type="dxa"/>
            <w:vAlign w:val="bottom"/>
            <w:tcBorders>
              <w:bottom w:val="single" w:sz="8" w:color="2D53A6"/>
              <w:right w:val="single" w:sz="8" w:color="2D53A6"/>
            </w:tcBorders>
            <w:shd w:val="clear" w:color="auto" w:fill="2D53A6"/>
          </w:tcPr>
          <w:p>
            <w:pPr>
              <w:spacing w:after="0"/>
              <w:rPr>
                <w:sz w:val="22"/>
                <w:szCs w:val="22"/>
                <w:color w:val="auto"/>
              </w:rPr>
            </w:pPr>
          </w:p>
        </w:tc>
        <w:tc>
          <w:tcPr>
            <w:tcW w:w="780" w:type="dxa"/>
            <w:vAlign w:val="bottom"/>
            <w:tcBorders>
              <w:bottom w:val="single" w:sz="8" w:color="2D53A6"/>
              <w:right w:val="single" w:sz="8" w:color="2D53A6"/>
            </w:tcBorders>
            <w:shd w:val="clear" w:color="auto" w:fill="2D53A6"/>
          </w:tcPr>
          <w:p>
            <w:pPr>
              <w:spacing w:after="0"/>
              <w:rPr>
                <w:sz w:val="22"/>
                <w:szCs w:val="22"/>
                <w:color w:val="auto"/>
              </w:rPr>
            </w:pPr>
          </w:p>
        </w:tc>
        <w:tc>
          <w:tcPr>
            <w:tcW w:w="920" w:type="dxa"/>
            <w:vAlign w:val="bottom"/>
            <w:tcBorders>
              <w:bottom w:val="single" w:sz="8" w:color="2D53A6"/>
              <w:right w:val="single" w:sz="8" w:color="2D53A6"/>
            </w:tcBorders>
            <w:shd w:val="clear" w:color="auto" w:fill="2D53A6"/>
          </w:tcPr>
          <w:p>
            <w:pPr>
              <w:spacing w:after="0"/>
              <w:rPr>
                <w:sz w:val="22"/>
                <w:szCs w:val="22"/>
                <w:color w:val="auto"/>
              </w:rPr>
            </w:pPr>
          </w:p>
        </w:tc>
        <w:tc>
          <w:tcPr>
            <w:tcW w:w="980" w:type="dxa"/>
            <w:vAlign w:val="bottom"/>
            <w:tcBorders>
              <w:bottom w:val="single" w:sz="8" w:color="2D53A6"/>
              <w:right w:val="single" w:sz="8" w:color="333333"/>
            </w:tcBorders>
            <w:shd w:val="clear" w:color="auto" w:fill="2D53A6"/>
          </w:tcPr>
          <w:p>
            <w:pPr>
              <w:spacing w:after="0"/>
              <w:rPr>
                <w:sz w:val="22"/>
                <w:szCs w:val="22"/>
                <w:color w:val="auto"/>
              </w:rPr>
            </w:pPr>
          </w:p>
        </w:tc>
        <w:tc>
          <w:tcPr>
            <w:tcW w:w="780" w:type="dxa"/>
            <w:vAlign w:val="bottom"/>
            <w:tcBorders>
              <w:bottom w:val="single" w:sz="8" w:color="2D53A6"/>
              <w:right w:val="single" w:sz="8" w:color="2D53A6"/>
            </w:tcBorders>
            <w:shd w:val="clear" w:color="auto" w:fill="2D53A6"/>
          </w:tcPr>
          <w:p>
            <w:pPr>
              <w:spacing w:after="0"/>
              <w:rPr>
                <w:sz w:val="22"/>
                <w:szCs w:val="22"/>
                <w:color w:val="auto"/>
              </w:rPr>
            </w:pPr>
          </w:p>
        </w:tc>
        <w:tc>
          <w:tcPr>
            <w:tcW w:w="900" w:type="dxa"/>
            <w:vAlign w:val="bottom"/>
            <w:tcBorders>
              <w:bottom w:val="single" w:sz="8" w:color="2D53A6"/>
            </w:tcBorders>
            <w:gridSpan w:val="2"/>
            <w:shd w:val="clear" w:color="auto" w:fill="2D53A6"/>
          </w:tcPr>
          <w:p>
            <w:pPr>
              <w:jc w:val="center"/>
              <w:ind w:right="60"/>
              <w:spacing w:after="0" w:line="216" w:lineRule="exact"/>
              <w:rPr>
                <w:sz w:val="20"/>
                <w:szCs w:val="20"/>
                <w:color w:val="auto"/>
              </w:rPr>
            </w:pPr>
            <w:r>
              <w:rPr>
                <w:rFonts w:ascii="Arial" w:cs="Arial" w:eastAsia="Arial" w:hAnsi="Arial"/>
                <w:sz w:val="16"/>
                <w:szCs w:val="16"/>
                <w:b w:val="1"/>
                <w:bCs w:val="1"/>
                <w:color w:val="FFFFFF"/>
                <w:w w:val="96"/>
              </w:rPr>
              <w:t xml:space="preserve">Awards </w:t>
            </w:r>
            <w:r>
              <w:rPr>
                <w:rFonts w:ascii="Arial" w:cs="Arial" w:eastAsia="Arial" w:hAnsi="Arial"/>
                <w:sz w:val="25"/>
                <w:szCs w:val="25"/>
                <w:b w:val="1"/>
                <w:bCs w:val="1"/>
                <w:color w:val="FFFFFF"/>
                <w:w w:val="96"/>
                <w:vertAlign w:val="superscript"/>
              </w:rPr>
              <w:t>(2)</w:t>
            </w:r>
          </w:p>
        </w:tc>
        <w:tc>
          <w:tcPr>
            <w:tcW w:w="740" w:type="dxa"/>
            <w:vAlign w:val="bottom"/>
            <w:tcBorders>
              <w:bottom w:val="single" w:sz="8" w:color="2D53A6"/>
              <w:right w:val="single" w:sz="8" w:color="333333"/>
            </w:tcBorders>
            <w:shd w:val="clear" w:color="auto" w:fill="2D53A6"/>
          </w:tcPr>
          <w:p>
            <w:pPr>
              <w:spacing w:after="0"/>
              <w:rPr>
                <w:sz w:val="22"/>
                <w:szCs w:val="22"/>
                <w:color w:val="auto"/>
              </w:rPr>
            </w:pPr>
          </w:p>
        </w:tc>
        <w:tc>
          <w:tcPr>
            <w:tcW w:w="820" w:type="dxa"/>
            <w:vAlign w:val="bottom"/>
            <w:tcBorders>
              <w:bottom w:val="single" w:sz="8" w:color="2D53A6"/>
              <w:right w:val="single" w:sz="8" w:color="333333"/>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4"/>
              </w:rPr>
              <w:t>Number</w:t>
            </w:r>
          </w:p>
        </w:tc>
        <w:tc>
          <w:tcPr>
            <w:tcW w:w="900" w:type="dxa"/>
            <w:vAlign w:val="bottom"/>
            <w:tcBorders>
              <w:bottom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88"/>
              </w:rPr>
              <w:t>Value of</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1220" w:type="dxa"/>
            <w:vAlign w:val="bottom"/>
            <w:tcBorders>
              <w:top w:val="single" w:sz="8" w:color="2D53A6"/>
              <w:right w:val="single" w:sz="8" w:color="2D53A6"/>
            </w:tcBorders>
            <w:shd w:val="clear" w:color="auto" w:fill="2D53A6"/>
          </w:tcPr>
          <w:p>
            <w:pPr>
              <w:spacing w:after="0" w:line="191" w:lineRule="exact"/>
              <w:rPr>
                <w:sz w:val="20"/>
                <w:szCs w:val="20"/>
                <w:color w:val="auto"/>
              </w:rPr>
            </w:pPr>
            <w:r>
              <w:rPr>
                <w:rFonts w:ascii="Arial" w:cs="Arial" w:eastAsia="Arial" w:hAnsi="Arial"/>
                <w:sz w:val="18"/>
                <w:szCs w:val="18"/>
                <w:b w:val="1"/>
                <w:bCs w:val="1"/>
                <w:color w:val="FFFFFF"/>
              </w:rPr>
              <w:t>Executive</w:t>
            </w:r>
          </w:p>
        </w:tc>
        <w:tc>
          <w:tcPr>
            <w:tcW w:w="2160" w:type="dxa"/>
            <w:vAlign w:val="bottom"/>
            <w:tcBorders>
              <w:top w:val="single" w:sz="8" w:color="2D53A6"/>
              <w:right w:val="single" w:sz="8" w:color="333333"/>
            </w:tcBorders>
            <w:shd w:val="clear" w:color="auto" w:fill="2D53A6"/>
          </w:tcPr>
          <w:p>
            <w:pPr>
              <w:ind w:left="600"/>
              <w:spacing w:after="0" w:line="191" w:lineRule="exact"/>
              <w:rPr>
                <w:sz w:val="20"/>
                <w:szCs w:val="20"/>
                <w:color w:val="auto"/>
              </w:rPr>
            </w:pPr>
            <w:r>
              <w:rPr>
                <w:rFonts w:ascii="Arial" w:cs="Arial" w:eastAsia="Arial" w:hAnsi="Arial"/>
                <w:sz w:val="18"/>
                <w:szCs w:val="18"/>
                <w:b w:val="1"/>
                <w:bCs w:val="1"/>
                <w:color w:val="FFFFFF"/>
              </w:rPr>
              <w:t>Award Type</w:t>
            </w:r>
          </w:p>
        </w:tc>
        <w:tc>
          <w:tcPr>
            <w:tcW w:w="1040" w:type="dxa"/>
            <w:vAlign w:val="bottom"/>
            <w:tcBorders>
              <w:top w:val="single" w:sz="8" w:color="333333"/>
              <w:right w:val="single" w:sz="8" w:color="2D53A6"/>
            </w:tcBorders>
            <w:shd w:val="clear" w:color="auto" w:fill="2D53A6"/>
          </w:tcPr>
          <w:p>
            <w:pPr>
              <w:spacing w:after="0"/>
              <w:rPr>
                <w:sz w:val="16"/>
                <w:szCs w:val="16"/>
                <w:color w:val="auto"/>
              </w:rPr>
            </w:pPr>
          </w:p>
        </w:tc>
        <w:tc>
          <w:tcPr>
            <w:tcW w:w="780" w:type="dxa"/>
            <w:vAlign w:val="bottom"/>
            <w:tcBorders>
              <w:top w:val="single" w:sz="8" w:color="333333"/>
              <w:right w:val="single" w:sz="8" w:color="2D53A6"/>
            </w:tcBorders>
            <w:shd w:val="clear" w:color="auto" w:fill="2D53A6"/>
          </w:tcPr>
          <w:p>
            <w:pPr>
              <w:spacing w:after="0"/>
              <w:rPr>
                <w:sz w:val="16"/>
                <w:szCs w:val="16"/>
                <w:color w:val="auto"/>
              </w:rPr>
            </w:pPr>
          </w:p>
        </w:tc>
        <w:tc>
          <w:tcPr>
            <w:tcW w:w="920" w:type="dxa"/>
            <w:vAlign w:val="bottom"/>
            <w:tcBorders>
              <w:top w:val="single" w:sz="8" w:color="333333"/>
              <w:right w:val="single" w:sz="8" w:color="2D53A6"/>
            </w:tcBorders>
            <w:shd w:val="clear" w:color="auto" w:fill="2D53A6"/>
          </w:tcPr>
          <w:p>
            <w:pPr>
              <w:spacing w:after="0"/>
              <w:rPr>
                <w:sz w:val="16"/>
                <w:szCs w:val="16"/>
                <w:color w:val="auto"/>
              </w:rPr>
            </w:pPr>
          </w:p>
        </w:tc>
        <w:tc>
          <w:tcPr>
            <w:tcW w:w="980" w:type="dxa"/>
            <w:vAlign w:val="bottom"/>
            <w:tcBorders>
              <w:top w:val="single" w:sz="8" w:color="333333"/>
              <w:right w:val="single" w:sz="8" w:color="2D53A6"/>
            </w:tcBorders>
            <w:shd w:val="clear" w:color="auto" w:fill="2D53A6"/>
          </w:tcPr>
          <w:p>
            <w:pPr>
              <w:spacing w:after="0"/>
              <w:rPr>
                <w:sz w:val="16"/>
                <w:szCs w:val="16"/>
                <w:color w:val="auto"/>
              </w:rPr>
            </w:pPr>
          </w:p>
        </w:tc>
        <w:tc>
          <w:tcPr>
            <w:tcW w:w="780" w:type="dxa"/>
            <w:vAlign w:val="bottom"/>
            <w:tcBorders>
              <w:top w:val="single" w:sz="8" w:color="333333"/>
              <w:right w:val="single" w:sz="8" w:color="2D53A6"/>
            </w:tcBorders>
            <w:shd w:val="clear" w:color="auto" w:fill="2D53A6"/>
          </w:tcPr>
          <w:p>
            <w:pPr>
              <w:spacing w:after="0"/>
              <w:rPr>
                <w:sz w:val="16"/>
                <w:szCs w:val="16"/>
                <w:color w:val="auto"/>
              </w:rPr>
            </w:pPr>
          </w:p>
        </w:tc>
        <w:tc>
          <w:tcPr>
            <w:tcW w:w="820" w:type="dxa"/>
            <w:vAlign w:val="bottom"/>
            <w:tcBorders>
              <w:top w:val="single" w:sz="8" w:color="333333"/>
              <w:right w:val="single" w:sz="8" w:color="2D53A6"/>
            </w:tcBorders>
            <w:shd w:val="clear" w:color="auto" w:fill="2D53A6"/>
          </w:tcPr>
          <w:p>
            <w:pPr>
              <w:spacing w:after="0"/>
              <w:rPr>
                <w:sz w:val="16"/>
                <w:szCs w:val="16"/>
                <w:color w:val="auto"/>
              </w:rPr>
            </w:pPr>
          </w:p>
        </w:tc>
        <w:tc>
          <w:tcPr>
            <w:tcW w:w="80" w:type="dxa"/>
            <w:vAlign w:val="bottom"/>
            <w:tcBorders>
              <w:top w:val="single" w:sz="8" w:color="333333"/>
            </w:tcBorders>
            <w:shd w:val="clear" w:color="auto" w:fill="2D53A6"/>
          </w:tcPr>
          <w:p>
            <w:pPr>
              <w:spacing w:after="0"/>
              <w:rPr>
                <w:sz w:val="16"/>
                <w:szCs w:val="16"/>
                <w:color w:val="auto"/>
              </w:rPr>
            </w:pPr>
          </w:p>
        </w:tc>
        <w:tc>
          <w:tcPr>
            <w:tcW w:w="740" w:type="dxa"/>
            <w:vAlign w:val="bottom"/>
            <w:tcBorders>
              <w:top w:val="single" w:sz="8" w:color="333333"/>
              <w:right w:val="single" w:sz="8" w:color="2D53A6"/>
            </w:tcBorders>
            <w:shd w:val="clear" w:color="auto" w:fill="2D53A6"/>
          </w:tcPr>
          <w:p>
            <w:pPr>
              <w:spacing w:after="0"/>
              <w:rPr>
                <w:sz w:val="16"/>
                <w:szCs w:val="16"/>
                <w:color w:val="auto"/>
              </w:rPr>
            </w:pPr>
          </w:p>
        </w:tc>
        <w:tc>
          <w:tcPr>
            <w:tcW w:w="820" w:type="dxa"/>
            <w:vAlign w:val="bottom"/>
            <w:tcBorders>
              <w:top w:val="single" w:sz="8" w:color="2D53A6"/>
              <w:right w:val="single" w:sz="8" w:color="2D53A6"/>
            </w:tcBorders>
            <w:shd w:val="clear" w:color="auto" w:fill="2D53A6"/>
          </w:tcPr>
          <w:p>
            <w:pPr>
              <w:jc w:val="center"/>
              <w:spacing w:after="0" w:line="191" w:lineRule="exact"/>
              <w:rPr>
                <w:sz w:val="20"/>
                <w:szCs w:val="20"/>
                <w:color w:val="auto"/>
              </w:rPr>
            </w:pPr>
            <w:r>
              <w:rPr>
                <w:rFonts w:ascii="Arial" w:cs="Arial" w:eastAsia="Arial" w:hAnsi="Arial"/>
                <w:sz w:val="18"/>
                <w:szCs w:val="18"/>
                <w:b w:val="1"/>
                <w:bCs w:val="1"/>
                <w:color w:val="FFFFFF"/>
                <w:w w:val="93"/>
              </w:rPr>
              <w:t>of</w:t>
            </w:r>
          </w:p>
        </w:tc>
        <w:tc>
          <w:tcPr>
            <w:tcW w:w="900" w:type="dxa"/>
            <w:vAlign w:val="bottom"/>
            <w:tcBorders>
              <w:top w:val="single" w:sz="8" w:color="2D53A6"/>
            </w:tcBorders>
            <w:shd w:val="clear" w:color="auto" w:fill="2D53A6"/>
          </w:tcPr>
          <w:p>
            <w:pPr>
              <w:jc w:val="center"/>
              <w:spacing w:after="0" w:line="191" w:lineRule="exact"/>
              <w:rPr>
                <w:sz w:val="20"/>
                <w:szCs w:val="20"/>
                <w:color w:val="auto"/>
              </w:rPr>
            </w:pPr>
            <w:r>
              <w:rPr>
                <w:rFonts w:ascii="Arial" w:cs="Arial" w:eastAsia="Arial" w:hAnsi="Arial"/>
                <w:sz w:val="18"/>
                <w:szCs w:val="18"/>
                <w:b w:val="1"/>
                <w:bCs w:val="1"/>
                <w:color w:val="FFFFFF"/>
                <w:w w:val="90"/>
              </w:rPr>
              <w:t>Stock and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20" w:type="dxa"/>
            <w:vAlign w:val="bottom"/>
            <w:tcBorders>
              <w:right w:val="single" w:sz="8" w:color="2D53A6"/>
            </w:tcBorders>
            <w:shd w:val="clear" w:color="auto" w:fill="2D53A6"/>
          </w:tcPr>
          <w:p>
            <w:pPr>
              <w:spacing w:after="0"/>
              <w:rPr>
                <w:sz w:val="20"/>
                <w:szCs w:val="20"/>
                <w:color w:val="auto"/>
              </w:rPr>
            </w:pPr>
            <w:r>
              <w:rPr>
                <w:rFonts w:ascii="Arial" w:cs="Arial" w:eastAsia="Arial" w:hAnsi="Arial"/>
                <w:sz w:val="18"/>
                <w:szCs w:val="18"/>
                <w:b w:val="1"/>
                <w:bCs w:val="1"/>
                <w:color w:val="FFFFFF"/>
              </w:rPr>
              <w:t>Officer</w:t>
            </w:r>
          </w:p>
        </w:tc>
        <w:tc>
          <w:tcPr>
            <w:tcW w:w="2160" w:type="dxa"/>
            <w:vAlign w:val="bottom"/>
            <w:tcBorders>
              <w:right w:val="single" w:sz="8" w:color="333333"/>
            </w:tcBorders>
            <w:shd w:val="clear" w:color="auto" w:fill="2D53A6"/>
          </w:tcPr>
          <w:p>
            <w:pPr>
              <w:spacing w:after="0"/>
              <w:rPr>
                <w:sz w:val="18"/>
                <w:szCs w:val="18"/>
                <w:color w:val="auto"/>
              </w:rPr>
            </w:pPr>
          </w:p>
        </w:tc>
        <w:tc>
          <w:tcPr>
            <w:tcW w:w="1040" w:type="dxa"/>
            <w:vAlign w:val="bottom"/>
            <w:tcBorders>
              <w:right w:val="single" w:sz="8" w:color="2D53A6"/>
            </w:tcBorders>
            <w:shd w:val="clear" w:color="auto" w:fill="2D53A6"/>
          </w:tcPr>
          <w:p>
            <w:pPr>
              <w:spacing w:after="0"/>
              <w:rPr>
                <w:sz w:val="18"/>
                <w:szCs w:val="18"/>
                <w:color w:val="auto"/>
              </w:rPr>
            </w:pPr>
          </w:p>
        </w:tc>
        <w:tc>
          <w:tcPr>
            <w:tcW w:w="78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0"/>
              </w:rPr>
              <w:t>Thres-</w:t>
            </w:r>
          </w:p>
        </w:tc>
        <w:tc>
          <w:tcPr>
            <w:tcW w:w="920" w:type="dxa"/>
            <w:vAlign w:val="bottom"/>
            <w:tcBorders>
              <w:right w:val="single" w:sz="8" w:color="2D53A6"/>
            </w:tcBorders>
            <w:vMerge w:val="restart"/>
            <w:shd w:val="clear" w:color="auto" w:fill="2D53A6"/>
          </w:tcPr>
          <w:p>
            <w:pPr>
              <w:jc w:val="right"/>
              <w:ind w:right="130"/>
              <w:spacing w:after="0"/>
              <w:rPr>
                <w:sz w:val="20"/>
                <w:szCs w:val="20"/>
                <w:color w:val="auto"/>
              </w:rPr>
            </w:pPr>
            <w:r>
              <w:rPr>
                <w:rFonts w:ascii="Arial" w:cs="Arial" w:eastAsia="Arial" w:hAnsi="Arial"/>
                <w:sz w:val="18"/>
                <w:szCs w:val="18"/>
                <w:b w:val="1"/>
                <w:bCs w:val="1"/>
                <w:color w:val="FFFFFF"/>
              </w:rPr>
              <w:t>Target</w:t>
            </w:r>
          </w:p>
        </w:tc>
        <w:tc>
          <w:tcPr>
            <w:tcW w:w="980" w:type="dxa"/>
            <w:vAlign w:val="bottom"/>
            <w:tcBorders>
              <w:right w:val="single" w:sz="8" w:color="2D53A6"/>
            </w:tcBorders>
            <w:vMerge w:val="restart"/>
            <w:shd w:val="clear" w:color="auto" w:fill="2D53A6"/>
          </w:tcPr>
          <w:p>
            <w:pPr>
              <w:jc w:val="right"/>
              <w:ind w:right="170"/>
              <w:spacing w:after="0"/>
              <w:rPr>
                <w:sz w:val="20"/>
                <w:szCs w:val="20"/>
                <w:color w:val="auto"/>
              </w:rPr>
            </w:pPr>
            <w:r>
              <w:rPr>
                <w:rFonts w:ascii="Arial" w:cs="Arial" w:eastAsia="Arial" w:hAnsi="Arial"/>
                <w:sz w:val="18"/>
                <w:szCs w:val="18"/>
                <w:b w:val="1"/>
                <w:bCs w:val="1"/>
                <w:color w:val="FFFFFF"/>
              </w:rPr>
              <w:t>Maxi-</w:t>
            </w:r>
          </w:p>
        </w:tc>
        <w:tc>
          <w:tcPr>
            <w:tcW w:w="78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0"/>
              </w:rPr>
              <w:t>Thres-</w:t>
            </w:r>
          </w:p>
        </w:tc>
        <w:tc>
          <w:tcPr>
            <w:tcW w:w="900" w:type="dxa"/>
            <w:vAlign w:val="bottom"/>
            <w:gridSpan w:val="2"/>
            <w:vMerge w:val="restart"/>
            <w:shd w:val="clear" w:color="auto" w:fill="2D53A6"/>
          </w:tcPr>
          <w:p>
            <w:pPr>
              <w:ind w:left="140"/>
              <w:spacing w:after="0"/>
              <w:rPr>
                <w:sz w:val="20"/>
                <w:szCs w:val="20"/>
                <w:color w:val="auto"/>
              </w:rPr>
            </w:pPr>
            <w:r>
              <w:rPr>
                <w:rFonts w:ascii="Arial" w:cs="Arial" w:eastAsia="Arial" w:hAnsi="Arial"/>
                <w:sz w:val="18"/>
                <w:szCs w:val="18"/>
                <w:b w:val="1"/>
                <w:bCs w:val="1"/>
                <w:color w:val="FFFFFF"/>
              </w:rPr>
              <w:t>Target</w:t>
            </w:r>
          </w:p>
        </w:tc>
        <w:tc>
          <w:tcPr>
            <w:tcW w:w="740" w:type="dxa"/>
            <w:vAlign w:val="bottom"/>
            <w:tcBorders>
              <w:right w:val="single" w:sz="8" w:color="2D53A6"/>
            </w:tcBorders>
            <w:shd w:val="clear" w:color="auto" w:fill="2D53A6"/>
          </w:tcPr>
          <w:p>
            <w:pPr>
              <w:jc w:val="center"/>
              <w:ind w:right="30"/>
              <w:spacing w:after="0"/>
              <w:rPr>
                <w:sz w:val="20"/>
                <w:szCs w:val="20"/>
                <w:color w:val="auto"/>
              </w:rPr>
            </w:pPr>
            <w:r>
              <w:rPr>
                <w:rFonts w:ascii="Arial" w:cs="Arial" w:eastAsia="Arial" w:hAnsi="Arial"/>
                <w:sz w:val="18"/>
                <w:szCs w:val="18"/>
                <w:b w:val="1"/>
                <w:bCs w:val="1"/>
                <w:color w:val="FFFFFF"/>
                <w:w w:val="99"/>
              </w:rPr>
              <w:t>Maxi-</w:t>
            </w:r>
          </w:p>
        </w:tc>
        <w:tc>
          <w:tcPr>
            <w:tcW w:w="82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86"/>
              </w:rPr>
              <w:t>Shares</w:t>
            </w:r>
          </w:p>
        </w:tc>
        <w:tc>
          <w:tcPr>
            <w:tcW w:w="900" w:type="dxa"/>
            <w:vAlign w:val="bottom"/>
            <w:shd w:val="clear" w:color="auto" w:fill="2D53A6"/>
          </w:tcPr>
          <w:p>
            <w:pPr>
              <w:jc w:val="center"/>
              <w:spacing w:after="0"/>
              <w:rPr>
                <w:sz w:val="20"/>
                <w:szCs w:val="20"/>
                <w:color w:val="auto"/>
              </w:rPr>
            </w:pPr>
            <w:r>
              <w:rPr>
                <w:rFonts w:ascii="Arial" w:cs="Arial" w:eastAsia="Arial" w:hAnsi="Arial"/>
                <w:sz w:val="18"/>
                <w:szCs w:val="18"/>
                <w:b w:val="1"/>
                <w:bCs w:val="1"/>
                <w:color w:val="FFFFFF"/>
                <w:w w:val="93"/>
              </w:rPr>
              <w:t>Option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220" w:type="dxa"/>
            <w:vAlign w:val="bottom"/>
            <w:tcBorders>
              <w:right w:val="single" w:sz="8" w:color="2D53A6"/>
            </w:tcBorders>
            <w:shd w:val="clear" w:color="auto" w:fill="2D53A6"/>
          </w:tcPr>
          <w:p>
            <w:pPr>
              <w:spacing w:after="0"/>
              <w:rPr>
                <w:sz w:val="9"/>
                <w:szCs w:val="9"/>
                <w:color w:val="auto"/>
              </w:rPr>
            </w:pPr>
          </w:p>
        </w:tc>
        <w:tc>
          <w:tcPr>
            <w:tcW w:w="2160" w:type="dxa"/>
            <w:vAlign w:val="bottom"/>
            <w:tcBorders>
              <w:right w:val="single" w:sz="8" w:color="333333"/>
            </w:tcBorders>
            <w:shd w:val="clear" w:color="auto" w:fill="2D53A6"/>
          </w:tcPr>
          <w:p>
            <w:pPr>
              <w:spacing w:after="0"/>
              <w:rPr>
                <w:sz w:val="9"/>
                <w:szCs w:val="9"/>
                <w:color w:val="auto"/>
              </w:rPr>
            </w:pPr>
          </w:p>
        </w:tc>
        <w:tc>
          <w:tcPr>
            <w:tcW w:w="1040" w:type="dxa"/>
            <w:vAlign w:val="bottom"/>
            <w:tcBorders>
              <w:right w:val="single" w:sz="8" w:color="2D53A6"/>
            </w:tcBorders>
            <w:vMerge w:val="restart"/>
            <w:shd w:val="clear" w:color="auto" w:fill="2D53A6"/>
          </w:tcPr>
          <w:p>
            <w:pPr>
              <w:jc w:val="right"/>
              <w:ind w:right="11"/>
              <w:spacing w:after="0"/>
              <w:rPr>
                <w:sz w:val="20"/>
                <w:szCs w:val="20"/>
                <w:color w:val="auto"/>
              </w:rPr>
            </w:pPr>
            <w:r>
              <w:rPr>
                <w:rFonts w:ascii="Arial" w:cs="Arial" w:eastAsia="Arial" w:hAnsi="Arial"/>
                <w:sz w:val="18"/>
                <w:szCs w:val="18"/>
                <w:b w:val="1"/>
                <w:bCs w:val="1"/>
                <w:color w:val="FFFFFF"/>
                <w:w w:val="99"/>
              </w:rPr>
              <w:t>Grant Date</w:t>
            </w:r>
          </w:p>
        </w:tc>
        <w:tc>
          <w:tcPr>
            <w:tcW w:w="78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89"/>
              </w:rPr>
              <w:t>hold</w:t>
            </w:r>
          </w:p>
        </w:tc>
        <w:tc>
          <w:tcPr>
            <w:tcW w:w="920" w:type="dxa"/>
            <w:vAlign w:val="bottom"/>
            <w:tcBorders>
              <w:right w:val="single" w:sz="8" w:color="2D53A6"/>
            </w:tcBorders>
            <w:vMerge w:val="continue"/>
            <w:shd w:val="clear" w:color="auto" w:fill="2D53A6"/>
          </w:tcPr>
          <w:p>
            <w:pPr>
              <w:spacing w:after="0"/>
              <w:rPr>
                <w:sz w:val="9"/>
                <w:szCs w:val="9"/>
                <w:color w:val="auto"/>
              </w:rPr>
            </w:pPr>
          </w:p>
        </w:tc>
        <w:tc>
          <w:tcPr>
            <w:tcW w:w="980" w:type="dxa"/>
            <w:vAlign w:val="bottom"/>
            <w:tcBorders>
              <w:right w:val="single" w:sz="8" w:color="2D53A6"/>
            </w:tcBorders>
            <w:vMerge w:val="continue"/>
            <w:shd w:val="clear" w:color="auto" w:fill="2D53A6"/>
          </w:tcPr>
          <w:p>
            <w:pPr>
              <w:spacing w:after="0"/>
              <w:rPr>
                <w:sz w:val="9"/>
                <w:szCs w:val="9"/>
                <w:color w:val="auto"/>
              </w:rPr>
            </w:pPr>
          </w:p>
        </w:tc>
        <w:tc>
          <w:tcPr>
            <w:tcW w:w="78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89"/>
              </w:rPr>
              <w:t>hold</w:t>
            </w:r>
          </w:p>
        </w:tc>
        <w:tc>
          <w:tcPr>
            <w:tcW w:w="900" w:type="dxa"/>
            <w:vAlign w:val="bottom"/>
            <w:gridSpan w:val="2"/>
            <w:vMerge w:val="continue"/>
            <w:shd w:val="clear" w:color="auto" w:fill="2D53A6"/>
          </w:tcPr>
          <w:p>
            <w:pPr>
              <w:spacing w:after="0"/>
              <w:rPr>
                <w:sz w:val="9"/>
                <w:szCs w:val="9"/>
                <w:color w:val="auto"/>
              </w:rPr>
            </w:pPr>
          </w:p>
        </w:tc>
        <w:tc>
          <w:tcPr>
            <w:tcW w:w="740" w:type="dxa"/>
            <w:vAlign w:val="bottom"/>
            <w:tcBorders>
              <w:right w:val="single" w:sz="8" w:color="2D53A6"/>
            </w:tcBorders>
            <w:vMerge w:val="restart"/>
            <w:shd w:val="clear" w:color="auto" w:fill="2D53A6"/>
          </w:tcPr>
          <w:p>
            <w:pPr>
              <w:jc w:val="center"/>
              <w:ind w:right="10"/>
              <w:spacing w:after="0"/>
              <w:rPr>
                <w:sz w:val="20"/>
                <w:szCs w:val="20"/>
                <w:color w:val="auto"/>
              </w:rPr>
            </w:pPr>
            <w:r>
              <w:rPr>
                <w:rFonts w:ascii="Arial" w:cs="Arial" w:eastAsia="Arial" w:hAnsi="Arial"/>
                <w:sz w:val="18"/>
                <w:szCs w:val="18"/>
                <w:b w:val="1"/>
                <w:bCs w:val="1"/>
                <w:color w:val="FFFFFF"/>
                <w:w w:val="92"/>
              </w:rPr>
              <w:t>mum</w:t>
            </w:r>
          </w:p>
        </w:tc>
        <w:tc>
          <w:tcPr>
            <w:tcW w:w="82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87"/>
              </w:rPr>
              <w:t>of Stock</w:t>
            </w:r>
          </w:p>
        </w:tc>
        <w:tc>
          <w:tcPr>
            <w:tcW w:w="900" w:type="dxa"/>
            <w:vAlign w:val="bottom"/>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89"/>
              </w:rPr>
              <w:t>Awards</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20" w:type="dxa"/>
            <w:vAlign w:val="bottom"/>
            <w:tcBorders>
              <w:right w:val="single" w:sz="8" w:color="2D53A6"/>
            </w:tcBorders>
            <w:shd w:val="clear" w:color="auto" w:fill="2D53A6"/>
          </w:tcPr>
          <w:p>
            <w:pPr>
              <w:spacing w:after="0"/>
              <w:rPr>
                <w:sz w:val="9"/>
                <w:szCs w:val="9"/>
                <w:color w:val="auto"/>
              </w:rPr>
            </w:pPr>
          </w:p>
        </w:tc>
        <w:tc>
          <w:tcPr>
            <w:tcW w:w="2160" w:type="dxa"/>
            <w:vAlign w:val="bottom"/>
            <w:tcBorders>
              <w:right w:val="single" w:sz="8" w:color="333333"/>
            </w:tcBorders>
            <w:shd w:val="clear" w:color="auto" w:fill="2D53A6"/>
          </w:tcPr>
          <w:p>
            <w:pPr>
              <w:spacing w:after="0"/>
              <w:rPr>
                <w:sz w:val="9"/>
                <w:szCs w:val="9"/>
                <w:color w:val="auto"/>
              </w:rPr>
            </w:pPr>
          </w:p>
        </w:tc>
        <w:tc>
          <w:tcPr>
            <w:tcW w:w="1040" w:type="dxa"/>
            <w:vAlign w:val="bottom"/>
            <w:tcBorders>
              <w:right w:val="single" w:sz="8" w:color="2D53A6"/>
            </w:tcBorders>
            <w:vMerge w:val="continue"/>
            <w:shd w:val="clear" w:color="auto" w:fill="2D53A6"/>
          </w:tcPr>
          <w:p>
            <w:pPr>
              <w:spacing w:after="0"/>
              <w:rPr>
                <w:sz w:val="9"/>
                <w:szCs w:val="9"/>
                <w:color w:val="auto"/>
              </w:rPr>
            </w:pPr>
          </w:p>
        </w:tc>
        <w:tc>
          <w:tcPr>
            <w:tcW w:w="780" w:type="dxa"/>
            <w:vAlign w:val="bottom"/>
            <w:tcBorders>
              <w:right w:val="single" w:sz="8" w:color="2D53A6"/>
            </w:tcBorders>
            <w:vMerge w:val="continue"/>
            <w:shd w:val="clear" w:color="auto" w:fill="2D53A6"/>
          </w:tcPr>
          <w:p>
            <w:pPr>
              <w:spacing w:after="0"/>
              <w:rPr>
                <w:sz w:val="9"/>
                <w:szCs w:val="9"/>
                <w:color w:val="auto"/>
              </w:rPr>
            </w:pPr>
          </w:p>
        </w:tc>
        <w:tc>
          <w:tcPr>
            <w:tcW w:w="920" w:type="dxa"/>
            <w:vAlign w:val="bottom"/>
            <w:tcBorders>
              <w:right w:val="single" w:sz="8" w:color="2D53A6"/>
            </w:tcBorders>
            <w:vMerge w:val="restart"/>
            <w:shd w:val="clear" w:color="auto" w:fill="2D53A6"/>
          </w:tcPr>
          <w:p>
            <w:pPr>
              <w:jc w:val="right"/>
              <w:ind w:right="270"/>
              <w:spacing w:after="0"/>
              <w:rPr>
                <w:sz w:val="20"/>
                <w:szCs w:val="20"/>
                <w:color w:val="auto"/>
              </w:rPr>
            </w:pPr>
            <w:r>
              <w:rPr>
                <w:rFonts w:ascii="Arial" w:cs="Arial" w:eastAsia="Arial" w:hAnsi="Arial"/>
                <w:sz w:val="18"/>
                <w:szCs w:val="18"/>
                <w:b w:val="1"/>
                <w:bCs w:val="1"/>
                <w:color w:val="FFFFFF"/>
              </w:rPr>
              <w:t>($)</w:t>
            </w:r>
          </w:p>
        </w:tc>
        <w:tc>
          <w:tcPr>
            <w:tcW w:w="980" w:type="dxa"/>
            <w:vAlign w:val="bottom"/>
            <w:tcBorders>
              <w:right w:val="single" w:sz="8" w:color="2D53A6"/>
            </w:tcBorders>
            <w:vMerge w:val="restart"/>
            <w:shd w:val="clear" w:color="auto" w:fill="2D53A6"/>
          </w:tcPr>
          <w:p>
            <w:pPr>
              <w:jc w:val="right"/>
              <w:ind w:right="70"/>
              <w:spacing w:after="0"/>
              <w:rPr>
                <w:sz w:val="20"/>
                <w:szCs w:val="20"/>
                <w:color w:val="auto"/>
              </w:rPr>
            </w:pPr>
            <w:r>
              <w:rPr>
                <w:rFonts w:ascii="Arial" w:cs="Arial" w:eastAsia="Arial" w:hAnsi="Arial"/>
                <w:sz w:val="18"/>
                <w:szCs w:val="18"/>
                <w:b w:val="1"/>
                <w:bCs w:val="1"/>
                <w:color w:val="FFFFFF"/>
              </w:rPr>
              <w:t>mum ($)</w:t>
            </w:r>
          </w:p>
        </w:tc>
        <w:tc>
          <w:tcPr>
            <w:tcW w:w="780" w:type="dxa"/>
            <w:vAlign w:val="bottom"/>
            <w:tcBorders>
              <w:right w:val="single" w:sz="8" w:color="2D53A6"/>
            </w:tcBorders>
            <w:vMerge w:val="continue"/>
            <w:shd w:val="clear" w:color="auto" w:fill="2D53A6"/>
          </w:tcPr>
          <w:p>
            <w:pPr>
              <w:spacing w:after="0"/>
              <w:rPr>
                <w:sz w:val="9"/>
                <w:szCs w:val="9"/>
                <w:color w:val="auto"/>
              </w:rPr>
            </w:pPr>
          </w:p>
        </w:tc>
        <w:tc>
          <w:tcPr>
            <w:tcW w:w="820" w:type="dxa"/>
            <w:vAlign w:val="bottom"/>
            <w:tcBorders>
              <w:right w:val="single" w:sz="8" w:color="2D53A6"/>
            </w:tcBorders>
            <w:vMerge w:val="restart"/>
            <w:shd w:val="clear" w:color="auto" w:fill="2D53A6"/>
          </w:tcPr>
          <w:p>
            <w:pPr>
              <w:jc w:val="right"/>
              <w:ind w:right="231"/>
              <w:spacing w:after="0"/>
              <w:rPr>
                <w:sz w:val="20"/>
                <w:szCs w:val="20"/>
                <w:color w:val="auto"/>
              </w:rPr>
            </w:pPr>
            <w:r>
              <w:rPr>
                <w:rFonts w:ascii="Arial" w:cs="Arial" w:eastAsia="Arial" w:hAnsi="Arial"/>
                <w:sz w:val="18"/>
                <w:szCs w:val="18"/>
                <w:b w:val="1"/>
                <w:bCs w:val="1"/>
                <w:color w:val="FFFFFF"/>
              </w:rPr>
              <w:t>(#)</w:t>
            </w:r>
          </w:p>
        </w:tc>
        <w:tc>
          <w:tcPr>
            <w:tcW w:w="80" w:type="dxa"/>
            <w:vAlign w:val="bottom"/>
            <w:shd w:val="clear" w:color="auto" w:fill="2D53A6"/>
          </w:tcPr>
          <w:p>
            <w:pPr>
              <w:spacing w:after="0"/>
              <w:rPr>
                <w:sz w:val="9"/>
                <w:szCs w:val="9"/>
                <w:color w:val="auto"/>
              </w:rPr>
            </w:pPr>
          </w:p>
        </w:tc>
        <w:tc>
          <w:tcPr>
            <w:tcW w:w="740" w:type="dxa"/>
            <w:vAlign w:val="bottom"/>
            <w:tcBorders>
              <w:right w:val="single" w:sz="8" w:color="2D53A6"/>
            </w:tcBorders>
            <w:vMerge w:val="continue"/>
            <w:shd w:val="clear" w:color="auto" w:fill="2D53A6"/>
          </w:tcPr>
          <w:p>
            <w:pPr>
              <w:spacing w:after="0"/>
              <w:rPr>
                <w:sz w:val="9"/>
                <w:szCs w:val="9"/>
                <w:color w:val="auto"/>
              </w:rPr>
            </w:pPr>
          </w:p>
        </w:tc>
        <w:tc>
          <w:tcPr>
            <w:tcW w:w="820" w:type="dxa"/>
            <w:vAlign w:val="bottom"/>
            <w:tcBorders>
              <w:right w:val="single" w:sz="8" w:color="2D53A6"/>
            </w:tcBorders>
            <w:vMerge w:val="continue"/>
            <w:shd w:val="clear" w:color="auto" w:fill="2D53A6"/>
          </w:tcPr>
          <w:p>
            <w:pPr>
              <w:spacing w:after="0"/>
              <w:rPr>
                <w:sz w:val="9"/>
                <w:szCs w:val="9"/>
                <w:color w:val="auto"/>
              </w:rPr>
            </w:pPr>
          </w:p>
        </w:tc>
        <w:tc>
          <w:tcPr>
            <w:tcW w:w="900" w:type="dxa"/>
            <w:vAlign w:val="bottom"/>
            <w:vMerge w:val="continue"/>
            <w:shd w:val="clear" w:color="auto" w:fill="2D53A6"/>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220" w:type="dxa"/>
            <w:vAlign w:val="bottom"/>
            <w:tcBorders>
              <w:right w:val="single" w:sz="8" w:color="2D53A6"/>
            </w:tcBorders>
            <w:shd w:val="clear" w:color="auto" w:fill="2D53A6"/>
          </w:tcPr>
          <w:p>
            <w:pPr>
              <w:spacing w:after="0"/>
              <w:rPr>
                <w:sz w:val="10"/>
                <w:szCs w:val="10"/>
                <w:color w:val="auto"/>
              </w:rPr>
            </w:pPr>
          </w:p>
        </w:tc>
        <w:tc>
          <w:tcPr>
            <w:tcW w:w="2160" w:type="dxa"/>
            <w:vAlign w:val="bottom"/>
            <w:tcBorders>
              <w:right w:val="single" w:sz="8" w:color="333333"/>
            </w:tcBorders>
            <w:shd w:val="clear" w:color="auto" w:fill="2D53A6"/>
          </w:tcPr>
          <w:p>
            <w:pPr>
              <w:spacing w:after="0"/>
              <w:rPr>
                <w:sz w:val="10"/>
                <w:szCs w:val="10"/>
                <w:color w:val="auto"/>
              </w:rPr>
            </w:pPr>
          </w:p>
        </w:tc>
        <w:tc>
          <w:tcPr>
            <w:tcW w:w="1040" w:type="dxa"/>
            <w:vAlign w:val="bottom"/>
            <w:tcBorders>
              <w:right w:val="single" w:sz="8" w:color="2D53A6"/>
            </w:tcBorders>
            <w:shd w:val="clear" w:color="auto" w:fill="2D53A6"/>
          </w:tcPr>
          <w:p>
            <w:pPr>
              <w:spacing w:after="0"/>
              <w:rPr>
                <w:sz w:val="10"/>
                <w:szCs w:val="10"/>
                <w:color w:val="auto"/>
              </w:rPr>
            </w:pPr>
          </w:p>
        </w:tc>
        <w:tc>
          <w:tcPr>
            <w:tcW w:w="78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99"/>
              </w:rPr>
              <w:t>($)</w:t>
            </w:r>
          </w:p>
        </w:tc>
        <w:tc>
          <w:tcPr>
            <w:tcW w:w="920" w:type="dxa"/>
            <w:vAlign w:val="bottom"/>
            <w:tcBorders>
              <w:right w:val="single" w:sz="8" w:color="2D53A6"/>
            </w:tcBorders>
            <w:vMerge w:val="continue"/>
            <w:shd w:val="clear" w:color="auto" w:fill="2D53A6"/>
          </w:tcPr>
          <w:p>
            <w:pPr>
              <w:spacing w:after="0"/>
              <w:rPr>
                <w:sz w:val="10"/>
                <w:szCs w:val="10"/>
                <w:color w:val="auto"/>
              </w:rPr>
            </w:pPr>
          </w:p>
        </w:tc>
        <w:tc>
          <w:tcPr>
            <w:tcW w:w="980" w:type="dxa"/>
            <w:vAlign w:val="bottom"/>
            <w:tcBorders>
              <w:right w:val="single" w:sz="8" w:color="2D53A6"/>
            </w:tcBorders>
            <w:vMerge w:val="continue"/>
            <w:shd w:val="clear" w:color="auto" w:fill="2D53A6"/>
          </w:tcPr>
          <w:p>
            <w:pPr>
              <w:spacing w:after="0"/>
              <w:rPr>
                <w:sz w:val="10"/>
                <w:szCs w:val="10"/>
                <w:color w:val="auto"/>
              </w:rPr>
            </w:pPr>
          </w:p>
        </w:tc>
        <w:tc>
          <w:tcPr>
            <w:tcW w:w="78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99"/>
              </w:rPr>
              <w:t>(#)</w:t>
            </w:r>
          </w:p>
        </w:tc>
        <w:tc>
          <w:tcPr>
            <w:tcW w:w="820" w:type="dxa"/>
            <w:vAlign w:val="bottom"/>
            <w:tcBorders>
              <w:right w:val="single" w:sz="8" w:color="2D53A6"/>
            </w:tcBorders>
            <w:vMerge w:val="continue"/>
            <w:shd w:val="clear" w:color="auto" w:fill="2D53A6"/>
          </w:tcPr>
          <w:p>
            <w:pPr>
              <w:spacing w:after="0"/>
              <w:rPr>
                <w:sz w:val="10"/>
                <w:szCs w:val="10"/>
                <w:color w:val="auto"/>
              </w:rPr>
            </w:pPr>
          </w:p>
        </w:tc>
        <w:tc>
          <w:tcPr>
            <w:tcW w:w="80" w:type="dxa"/>
            <w:vAlign w:val="bottom"/>
            <w:shd w:val="clear" w:color="auto" w:fill="2D53A6"/>
          </w:tcPr>
          <w:p>
            <w:pPr>
              <w:spacing w:after="0"/>
              <w:rPr>
                <w:sz w:val="10"/>
                <w:szCs w:val="10"/>
                <w:color w:val="auto"/>
              </w:rPr>
            </w:pPr>
          </w:p>
        </w:tc>
        <w:tc>
          <w:tcPr>
            <w:tcW w:w="740" w:type="dxa"/>
            <w:vAlign w:val="bottom"/>
            <w:tcBorders>
              <w:right w:val="single" w:sz="8" w:color="2D53A6"/>
            </w:tcBorders>
            <w:vMerge w:val="restart"/>
            <w:shd w:val="clear" w:color="auto" w:fill="2D53A6"/>
          </w:tcPr>
          <w:p>
            <w:pPr>
              <w:jc w:val="center"/>
              <w:ind w:right="30"/>
              <w:spacing w:after="0"/>
              <w:rPr>
                <w:sz w:val="20"/>
                <w:szCs w:val="20"/>
                <w:color w:val="auto"/>
              </w:rPr>
            </w:pPr>
            <w:r>
              <w:rPr>
                <w:rFonts w:ascii="Arial" w:cs="Arial" w:eastAsia="Arial" w:hAnsi="Arial"/>
                <w:sz w:val="18"/>
                <w:szCs w:val="18"/>
                <w:b w:val="1"/>
                <w:bCs w:val="1"/>
                <w:color w:val="FFFFFF"/>
                <w:w w:val="99"/>
              </w:rPr>
              <w:t>(#)</w:t>
            </w:r>
          </w:p>
        </w:tc>
        <w:tc>
          <w:tcPr>
            <w:tcW w:w="82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91"/>
              </w:rPr>
              <w:t>or Units</w:t>
            </w:r>
          </w:p>
        </w:tc>
        <w:tc>
          <w:tcPr>
            <w:tcW w:w="900" w:type="dxa"/>
            <w:vAlign w:val="bottom"/>
            <w:vMerge w:val="restart"/>
            <w:shd w:val="clear" w:color="auto" w:fill="2D53A6"/>
          </w:tcPr>
          <w:p>
            <w:pPr>
              <w:jc w:val="center"/>
              <w:spacing w:after="0" w:line="216" w:lineRule="exact"/>
              <w:rPr>
                <w:sz w:val="20"/>
                <w:szCs w:val="20"/>
                <w:color w:val="auto"/>
              </w:rPr>
            </w:pPr>
            <w:r>
              <w:rPr>
                <w:rFonts w:ascii="Arial" w:cs="Arial" w:eastAsia="Arial" w:hAnsi="Arial"/>
                <w:sz w:val="16"/>
                <w:szCs w:val="16"/>
                <w:b w:val="1"/>
                <w:bCs w:val="1"/>
                <w:color w:val="FFFFFF"/>
                <w:w w:val="94"/>
              </w:rPr>
              <w:t xml:space="preserve">($) </w:t>
            </w:r>
            <w:r>
              <w:rPr>
                <w:rFonts w:ascii="Arial" w:cs="Arial" w:eastAsia="Arial" w:hAnsi="Arial"/>
                <w:sz w:val="25"/>
                <w:szCs w:val="25"/>
                <w:b w:val="1"/>
                <w:bCs w:val="1"/>
                <w:color w:val="FFFFFF"/>
                <w:w w:val="94"/>
                <w:vertAlign w:val="superscript"/>
              </w:rPr>
              <w:t>(4)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220" w:type="dxa"/>
            <w:vAlign w:val="bottom"/>
            <w:tcBorders>
              <w:right w:val="single" w:sz="8" w:color="2D53A6"/>
            </w:tcBorders>
            <w:shd w:val="clear" w:color="auto" w:fill="2D53A6"/>
          </w:tcPr>
          <w:p>
            <w:pPr>
              <w:spacing w:after="0"/>
              <w:rPr>
                <w:sz w:val="7"/>
                <w:szCs w:val="7"/>
                <w:color w:val="auto"/>
              </w:rPr>
            </w:pPr>
          </w:p>
        </w:tc>
        <w:tc>
          <w:tcPr>
            <w:tcW w:w="2160" w:type="dxa"/>
            <w:vAlign w:val="bottom"/>
            <w:tcBorders>
              <w:right w:val="single" w:sz="8" w:color="333333"/>
            </w:tcBorders>
            <w:shd w:val="clear" w:color="auto" w:fill="2D53A6"/>
          </w:tcPr>
          <w:p>
            <w:pPr>
              <w:spacing w:after="0"/>
              <w:rPr>
                <w:sz w:val="7"/>
                <w:szCs w:val="7"/>
                <w:color w:val="auto"/>
              </w:rPr>
            </w:pPr>
          </w:p>
        </w:tc>
        <w:tc>
          <w:tcPr>
            <w:tcW w:w="1040" w:type="dxa"/>
            <w:vAlign w:val="bottom"/>
            <w:tcBorders>
              <w:right w:val="single" w:sz="8" w:color="2D53A6"/>
            </w:tcBorders>
            <w:shd w:val="clear" w:color="auto" w:fill="2D53A6"/>
          </w:tcPr>
          <w:p>
            <w:pPr>
              <w:spacing w:after="0"/>
              <w:rPr>
                <w:sz w:val="7"/>
                <w:szCs w:val="7"/>
                <w:color w:val="auto"/>
              </w:rPr>
            </w:pPr>
          </w:p>
        </w:tc>
        <w:tc>
          <w:tcPr>
            <w:tcW w:w="780" w:type="dxa"/>
            <w:vAlign w:val="bottom"/>
            <w:tcBorders>
              <w:right w:val="single" w:sz="8" w:color="2D53A6"/>
            </w:tcBorders>
            <w:vMerge w:val="continue"/>
            <w:shd w:val="clear" w:color="auto" w:fill="2D53A6"/>
          </w:tcPr>
          <w:p>
            <w:pPr>
              <w:spacing w:after="0"/>
              <w:rPr>
                <w:sz w:val="7"/>
                <w:szCs w:val="7"/>
                <w:color w:val="auto"/>
              </w:rPr>
            </w:pPr>
          </w:p>
        </w:tc>
        <w:tc>
          <w:tcPr>
            <w:tcW w:w="920" w:type="dxa"/>
            <w:vAlign w:val="bottom"/>
            <w:tcBorders>
              <w:right w:val="single" w:sz="8" w:color="2D53A6"/>
            </w:tcBorders>
            <w:shd w:val="clear" w:color="auto" w:fill="2D53A6"/>
          </w:tcPr>
          <w:p>
            <w:pPr>
              <w:spacing w:after="0"/>
              <w:rPr>
                <w:sz w:val="7"/>
                <w:szCs w:val="7"/>
                <w:color w:val="auto"/>
              </w:rPr>
            </w:pPr>
          </w:p>
        </w:tc>
        <w:tc>
          <w:tcPr>
            <w:tcW w:w="980" w:type="dxa"/>
            <w:vAlign w:val="bottom"/>
            <w:tcBorders>
              <w:right w:val="single" w:sz="8" w:color="2D53A6"/>
            </w:tcBorders>
            <w:shd w:val="clear" w:color="auto" w:fill="2D53A6"/>
          </w:tcPr>
          <w:p>
            <w:pPr>
              <w:spacing w:after="0"/>
              <w:rPr>
                <w:sz w:val="7"/>
                <w:szCs w:val="7"/>
                <w:color w:val="auto"/>
              </w:rPr>
            </w:pPr>
          </w:p>
        </w:tc>
        <w:tc>
          <w:tcPr>
            <w:tcW w:w="780" w:type="dxa"/>
            <w:vAlign w:val="bottom"/>
            <w:tcBorders>
              <w:right w:val="single" w:sz="8" w:color="2D53A6"/>
            </w:tcBorders>
            <w:vMerge w:val="continue"/>
            <w:shd w:val="clear" w:color="auto" w:fill="2D53A6"/>
          </w:tcPr>
          <w:p>
            <w:pPr>
              <w:spacing w:after="0"/>
              <w:rPr>
                <w:sz w:val="7"/>
                <w:szCs w:val="7"/>
                <w:color w:val="auto"/>
              </w:rPr>
            </w:pPr>
          </w:p>
        </w:tc>
        <w:tc>
          <w:tcPr>
            <w:tcW w:w="820" w:type="dxa"/>
            <w:vAlign w:val="bottom"/>
            <w:tcBorders>
              <w:right w:val="single" w:sz="8" w:color="2D53A6"/>
            </w:tcBorders>
            <w:shd w:val="clear" w:color="auto" w:fill="2D53A6"/>
          </w:tcPr>
          <w:p>
            <w:pPr>
              <w:spacing w:after="0"/>
              <w:rPr>
                <w:sz w:val="7"/>
                <w:szCs w:val="7"/>
                <w:color w:val="auto"/>
              </w:rPr>
            </w:pPr>
          </w:p>
        </w:tc>
        <w:tc>
          <w:tcPr>
            <w:tcW w:w="80" w:type="dxa"/>
            <w:vAlign w:val="bottom"/>
            <w:shd w:val="clear" w:color="auto" w:fill="2D53A6"/>
          </w:tcPr>
          <w:p>
            <w:pPr>
              <w:spacing w:after="0"/>
              <w:rPr>
                <w:sz w:val="7"/>
                <w:szCs w:val="7"/>
                <w:color w:val="auto"/>
              </w:rPr>
            </w:pPr>
          </w:p>
        </w:tc>
        <w:tc>
          <w:tcPr>
            <w:tcW w:w="740" w:type="dxa"/>
            <w:vAlign w:val="bottom"/>
            <w:tcBorders>
              <w:right w:val="single" w:sz="8" w:color="2D53A6"/>
            </w:tcBorders>
            <w:vMerge w:val="continue"/>
            <w:shd w:val="clear" w:color="auto" w:fill="2D53A6"/>
          </w:tcPr>
          <w:p>
            <w:pPr>
              <w:spacing w:after="0"/>
              <w:rPr>
                <w:sz w:val="7"/>
                <w:szCs w:val="7"/>
                <w:color w:val="auto"/>
              </w:rPr>
            </w:pPr>
          </w:p>
        </w:tc>
        <w:tc>
          <w:tcPr>
            <w:tcW w:w="820" w:type="dxa"/>
            <w:vAlign w:val="bottom"/>
            <w:tcBorders>
              <w:right w:val="single" w:sz="8" w:color="2D53A6"/>
            </w:tcBorders>
            <w:vMerge w:val="continue"/>
            <w:shd w:val="clear" w:color="auto" w:fill="2D53A6"/>
          </w:tcPr>
          <w:p>
            <w:pPr>
              <w:spacing w:after="0"/>
              <w:rPr>
                <w:sz w:val="7"/>
                <w:szCs w:val="7"/>
                <w:color w:val="auto"/>
              </w:rPr>
            </w:pPr>
          </w:p>
        </w:tc>
        <w:tc>
          <w:tcPr>
            <w:tcW w:w="900" w:type="dxa"/>
            <w:vAlign w:val="bottom"/>
            <w:vMerge w:val="continue"/>
            <w:shd w:val="clear" w:color="auto" w:fill="2D53A6"/>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4"/>
        </w:trPr>
        <w:tc>
          <w:tcPr>
            <w:tcW w:w="1220" w:type="dxa"/>
            <w:vAlign w:val="bottom"/>
            <w:tcBorders>
              <w:bottom w:val="single" w:sz="8" w:color="2D53A6"/>
              <w:right w:val="single" w:sz="8" w:color="2D53A6"/>
            </w:tcBorders>
            <w:shd w:val="clear" w:color="auto" w:fill="2D53A6"/>
          </w:tcPr>
          <w:p>
            <w:pPr>
              <w:spacing w:after="0"/>
              <w:rPr>
                <w:sz w:val="22"/>
                <w:szCs w:val="22"/>
                <w:color w:val="auto"/>
              </w:rPr>
            </w:pPr>
          </w:p>
        </w:tc>
        <w:tc>
          <w:tcPr>
            <w:tcW w:w="2160" w:type="dxa"/>
            <w:vAlign w:val="bottom"/>
            <w:tcBorders>
              <w:bottom w:val="single" w:sz="8" w:color="333333"/>
              <w:right w:val="single" w:sz="8" w:color="333333"/>
            </w:tcBorders>
            <w:shd w:val="clear" w:color="auto" w:fill="2D53A6"/>
          </w:tcPr>
          <w:p>
            <w:pPr>
              <w:spacing w:after="0"/>
              <w:rPr>
                <w:sz w:val="22"/>
                <w:szCs w:val="22"/>
                <w:color w:val="auto"/>
              </w:rPr>
            </w:pPr>
          </w:p>
        </w:tc>
        <w:tc>
          <w:tcPr>
            <w:tcW w:w="1040" w:type="dxa"/>
            <w:vAlign w:val="bottom"/>
            <w:tcBorders>
              <w:bottom w:val="single" w:sz="8" w:color="2D53A6"/>
              <w:right w:val="single" w:sz="8" w:color="2D53A6"/>
            </w:tcBorders>
            <w:shd w:val="clear" w:color="auto" w:fill="2D53A6"/>
          </w:tcPr>
          <w:p>
            <w:pPr>
              <w:spacing w:after="0"/>
              <w:rPr>
                <w:sz w:val="22"/>
                <w:szCs w:val="22"/>
                <w:color w:val="auto"/>
              </w:rPr>
            </w:pPr>
          </w:p>
        </w:tc>
        <w:tc>
          <w:tcPr>
            <w:tcW w:w="780" w:type="dxa"/>
            <w:vAlign w:val="bottom"/>
            <w:tcBorders>
              <w:bottom w:val="single" w:sz="8" w:color="2D53A6"/>
              <w:right w:val="single" w:sz="8" w:color="2D53A6"/>
            </w:tcBorders>
            <w:shd w:val="clear" w:color="auto" w:fill="2D53A6"/>
          </w:tcPr>
          <w:p>
            <w:pPr>
              <w:spacing w:after="0"/>
              <w:rPr>
                <w:sz w:val="22"/>
                <w:szCs w:val="22"/>
                <w:color w:val="auto"/>
              </w:rPr>
            </w:pPr>
          </w:p>
        </w:tc>
        <w:tc>
          <w:tcPr>
            <w:tcW w:w="920" w:type="dxa"/>
            <w:vAlign w:val="bottom"/>
            <w:tcBorders>
              <w:bottom w:val="single" w:sz="8" w:color="2D53A6"/>
              <w:right w:val="single" w:sz="8" w:color="2D53A6"/>
            </w:tcBorders>
            <w:shd w:val="clear" w:color="auto" w:fill="2D53A6"/>
          </w:tcPr>
          <w:p>
            <w:pPr>
              <w:spacing w:after="0"/>
              <w:rPr>
                <w:sz w:val="22"/>
                <w:szCs w:val="22"/>
                <w:color w:val="auto"/>
              </w:rPr>
            </w:pPr>
          </w:p>
        </w:tc>
        <w:tc>
          <w:tcPr>
            <w:tcW w:w="980" w:type="dxa"/>
            <w:vAlign w:val="bottom"/>
            <w:tcBorders>
              <w:bottom w:val="single" w:sz="8" w:color="2D53A6"/>
              <w:right w:val="single" w:sz="8" w:color="2D53A6"/>
            </w:tcBorders>
            <w:shd w:val="clear" w:color="auto" w:fill="2D53A6"/>
          </w:tcPr>
          <w:p>
            <w:pPr>
              <w:spacing w:after="0"/>
              <w:rPr>
                <w:sz w:val="22"/>
                <w:szCs w:val="22"/>
                <w:color w:val="auto"/>
              </w:rPr>
            </w:pPr>
          </w:p>
        </w:tc>
        <w:tc>
          <w:tcPr>
            <w:tcW w:w="780" w:type="dxa"/>
            <w:vAlign w:val="bottom"/>
            <w:tcBorders>
              <w:bottom w:val="single" w:sz="8" w:color="2D53A6"/>
              <w:right w:val="single" w:sz="8" w:color="2D53A6"/>
            </w:tcBorders>
            <w:shd w:val="clear" w:color="auto" w:fill="2D53A6"/>
          </w:tcPr>
          <w:p>
            <w:pPr>
              <w:spacing w:after="0"/>
              <w:rPr>
                <w:sz w:val="22"/>
                <w:szCs w:val="22"/>
                <w:color w:val="auto"/>
              </w:rPr>
            </w:pPr>
          </w:p>
        </w:tc>
        <w:tc>
          <w:tcPr>
            <w:tcW w:w="820" w:type="dxa"/>
            <w:vAlign w:val="bottom"/>
            <w:tcBorders>
              <w:bottom w:val="single" w:sz="8" w:color="2D53A6"/>
              <w:right w:val="single" w:sz="8" w:color="2D53A6"/>
            </w:tcBorders>
            <w:shd w:val="clear" w:color="auto" w:fill="2D53A6"/>
          </w:tcPr>
          <w:p>
            <w:pPr>
              <w:spacing w:after="0"/>
              <w:rPr>
                <w:sz w:val="22"/>
                <w:szCs w:val="22"/>
                <w:color w:val="auto"/>
              </w:rPr>
            </w:pPr>
          </w:p>
        </w:tc>
        <w:tc>
          <w:tcPr>
            <w:tcW w:w="80" w:type="dxa"/>
            <w:vAlign w:val="bottom"/>
            <w:tcBorders>
              <w:bottom w:val="single" w:sz="8" w:color="2D53A6"/>
            </w:tcBorders>
            <w:shd w:val="clear" w:color="auto" w:fill="2D53A6"/>
          </w:tcPr>
          <w:p>
            <w:pPr>
              <w:spacing w:after="0"/>
              <w:rPr>
                <w:sz w:val="22"/>
                <w:szCs w:val="22"/>
                <w:color w:val="auto"/>
              </w:rPr>
            </w:pPr>
          </w:p>
        </w:tc>
        <w:tc>
          <w:tcPr>
            <w:tcW w:w="740" w:type="dxa"/>
            <w:vAlign w:val="bottom"/>
            <w:tcBorders>
              <w:bottom w:val="single" w:sz="8" w:color="2D53A6"/>
              <w:right w:val="single" w:sz="8" w:color="2D53A6"/>
            </w:tcBorders>
            <w:shd w:val="clear" w:color="auto" w:fill="2D53A6"/>
          </w:tcPr>
          <w:p>
            <w:pPr>
              <w:spacing w:after="0"/>
              <w:rPr>
                <w:sz w:val="22"/>
                <w:szCs w:val="22"/>
                <w:color w:val="auto"/>
              </w:rPr>
            </w:pPr>
          </w:p>
        </w:tc>
        <w:tc>
          <w:tcPr>
            <w:tcW w:w="820" w:type="dxa"/>
            <w:vAlign w:val="bottom"/>
            <w:tcBorders>
              <w:bottom w:val="single" w:sz="8" w:color="2D53A6"/>
              <w:right w:val="single" w:sz="8" w:color="2D53A6"/>
            </w:tcBorders>
            <w:shd w:val="clear" w:color="auto" w:fill="2D53A6"/>
          </w:tcPr>
          <w:p>
            <w:pPr>
              <w:jc w:val="center"/>
              <w:spacing w:after="0" w:line="235" w:lineRule="exact"/>
              <w:rPr>
                <w:sz w:val="20"/>
                <w:szCs w:val="20"/>
                <w:color w:val="auto"/>
              </w:rPr>
            </w:pPr>
            <w:r>
              <w:rPr>
                <w:rFonts w:ascii="Arial" w:cs="Arial" w:eastAsia="Arial" w:hAnsi="Arial"/>
                <w:sz w:val="17"/>
                <w:szCs w:val="17"/>
                <w:b w:val="1"/>
                <w:bCs w:val="1"/>
                <w:color w:val="FFFFFF"/>
                <w:w w:val="92"/>
              </w:rPr>
              <w:t xml:space="preserve">(#) </w:t>
            </w:r>
            <w:r>
              <w:rPr>
                <w:rFonts w:ascii="Arial" w:cs="Arial" w:eastAsia="Arial" w:hAnsi="Arial"/>
                <w:sz w:val="27"/>
                <w:szCs w:val="27"/>
                <w:b w:val="1"/>
                <w:bCs w:val="1"/>
                <w:color w:val="FFFFFF"/>
                <w:w w:val="92"/>
                <w:vertAlign w:val="superscript"/>
              </w:rPr>
              <w:t>(3)</w:t>
            </w:r>
          </w:p>
        </w:tc>
        <w:tc>
          <w:tcPr>
            <w:tcW w:w="900" w:type="dxa"/>
            <w:vAlign w:val="bottom"/>
            <w:tcBorders>
              <w:bottom w:val="single" w:sz="8" w:color="2D53A6"/>
            </w:tcBorders>
            <w:shd w:val="clear" w:color="auto" w:fill="2D53A6"/>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1220" w:type="dxa"/>
            <w:vAlign w:val="bottom"/>
            <w:tcBorders>
              <w:right w:val="single" w:sz="8" w:color="2D53A6"/>
            </w:tcBorders>
          </w:tcPr>
          <w:p>
            <w:pPr>
              <w:spacing w:after="0" w:line="189" w:lineRule="exact"/>
              <w:rPr>
                <w:sz w:val="20"/>
                <w:szCs w:val="20"/>
                <w:color w:val="auto"/>
              </w:rPr>
            </w:pPr>
            <w:r>
              <w:rPr>
                <w:rFonts w:ascii="Arial" w:cs="Arial" w:eastAsia="Arial" w:hAnsi="Arial"/>
                <w:sz w:val="18"/>
                <w:szCs w:val="18"/>
                <w:color w:val="auto"/>
              </w:rPr>
              <w:t>Luis A.</w:t>
            </w:r>
          </w:p>
        </w:tc>
        <w:tc>
          <w:tcPr>
            <w:tcW w:w="2160" w:type="dxa"/>
            <w:vAlign w:val="bottom"/>
            <w:tcBorders>
              <w:bottom w:val="single" w:sz="8" w:color="2D53A6"/>
              <w:right w:val="single" w:sz="8" w:color="2D53A6"/>
            </w:tcBorders>
          </w:tcPr>
          <w:p>
            <w:pPr>
              <w:spacing w:after="0" w:line="189" w:lineRule="exact"/>
              <w:rPr>
                <w:sz w:val="20"/>
                <w:szCs w:val="20"/>
                <w:color w:val="auto"/>
              </w:rPr>
            </w:pPr>
            <w:r>
              <w:rPr>
                <w:rFonts w:ascii="Arial" w:cs="Arial" w:eastAsia="Arial" w:hAnsi="Arial"/>
                <w:sz w:val="18"/>
                <w:szCs w:val="18"/>
                <w:color w:val="auto"/>
              </w:rPr>
              <w:t>Cash Incentives</w:t>
            </w:r>
          </w:p>
        </w:tc>
        <w:tc>
          <w:tcPr>
            <w:tcW w:w="1040" w:type="dxa"/>
            <w:vAlign w:val="bottom"/>
            <w:tcBorders>
              <w:bottom w:val="single" w:sz="8" w:color="2D53A6"/>
              <w:right w:val="single" w:sz="8" w:color="2D53A6"/>
            </w:tcBorders>
          </w:tcPr>
          <w:p>
            <w:pPr>
              <w:jc w:val="right"/>
              <w:spacing w:after="0" w:line="189"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2D53A6"/>
              <w:right w:val="single" w:sz="8" w:color="2D53A6"/>
            </w:tcBorders>
          </w:tcPr>
          <w:p>
            <w:pPr>
              <w:jc w:val="right"/>
              <w:spacing w:after="0" w:line="189" w:lineRule="exact"/>
              <w:rPr>
                <w:sz w:val="20"/>
                <w:szCs w:val="20"/>
                <w:color w:val="auto"/>
              </w:rPr>
            </w:pPr>
            <w:r>
              <w:rPr>
                <w:rFonts w:ascii="Arial" w:cs="Arial" w:eastAsia="Arial" w:hAnsi="Arial"/>
                <w:sz w:val="18"/>
                <w:szCs w:val="18"/>
                <w:color w:val="auto"/>
              </w:rPr>
              <w:t>0</w:t>
            </w:r>
          </w:p>
        </w:tc>
        <w:tc>
          <w:tcPr>
            <w:tcW w:w="920" w:type="dxa"/>
            <w:vAlign w:val="bottom"/>
            <w:tcBorders>
              <w:bottom w:val="single" w:sz="8" w:color="2D53A6"/>
              <w:right w:val="single" w:sz="8" w:color="2D53A6"/>
            </w:tcBorders>
          </w:tcPr>
          <w:p>
            <w:pPr>
              <w:jc w:val="right"/>
              <w:spacing w:after="0" w:line="189" w:lineRule="exact"/>
              <w:rPr>
                <w:sz w:val="20"/>
                <w:szCs w:val="20"/>
                <w:color w:val="auto"/>
              </w:rPr>
            </w:pPr>
            <w:r>
              <w:rPr>
                <w:rFonts w:ascii="Arial" w:cs="Arial" w:eastAsia="Arial" w:hAnsi="Arial"/>
                <w:sz w:val="18"/>
                <w:szCs w:val="18"/>
                <w:color w:val="auto"/>
              </w:rPr>
              <w:t>625,000</w:t>
            </w:r>
          </w:p>
        </w:tc>
        <w:tc>
          <w:tcPr>
            <w:tcW w:w="980" w:type="dxa"/>
            <w:vAlign w:val="bottom"/>
            <w:tcBorders>
              <w:bottom w:val="single" w:sz="8" w:color="2D53A6"/>
              <w:right w:val="single" w:sz="8" w:color="2D53A6"/>
            </w:tcBorders>
          </w:tcPr>
          <w:p>
            <w:pPr>
              <w:jc w:val="right"/>
              <w:spacing w:after="0" w:line="189" w:lineRule="exact"/>
              <w:rPr>
                <w:sz w:val="20"/>
                <w:szCs w:val="20"/>
                <w:color w:val="auto"/>
              </w:rPr>
            </w:pPr>
            <w:r>
              <w:rPr>
                <w:rFonts w:ascii="Arial" w:cs="Arial" w:eastAsia="Arial" w:hAnsi="Arial"/>
                <w:sz w:val="18"/>
                <w:szCs w:val="18"/>
                <w:color w:val="auto"/>
              </w:rPr>
              <w:t>1,250,000</w:t>
            </w:r>
          </w:p>
        </w:tc>
        <w:tc>
          <w:tcPr>
            <w:tcW w:w="780" w:type="dxa"/>
            <w:vAlign w:val="bottom"/>
            <w:tcBorders>
              <w:bottom w:val="single" w:sz="8" w:color="2D53A6"/>
              <w:right w:val="single" w:sz="8" w:color="2D53A6"/>
            </w:tcBorders>
          </w:tcPr>
          <w:p>
            <w:pPr>
              <w:jc w:val="right"/>
              <w:spacing w:after="0" w:line="189"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2D53A6"/>
              <w:right w:val="single" w:sz="8" w:color="2D53A6"/>
            </w:tcBorders>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tcBorders>
              <w:bottom w:val="single" w:sz="8" w:color="2D53A6"/>
            </w:tcBorders>
          </w:tcPr>
          <w:p>
            <w:pPr>
              <w:spacing w:after="0"/>
              <w:rPr>
                <w:sz w:val="16"/>
                <w:szCs w:val="16"/>
                <w:color w:val="auto"/>
              </w:rPr>
            </w:pPr>
          </w:p>
        </w:tc>
        <w:tc>
          <w:tcPr>
            <w:tcW w:w="740" w:type="dxa"/>
            <w:vAlign w:val="bottom"/>
            <w:tcBorders>
              <w:bottom w:val="single" w:sz="8" w:color="2D53A6"/>
              <w:right w:val="single" w:sz="8" w:color="2D53A6"/>
            </w:tcBorders>
          </w:tcPr>
          <w:p>
            <w:pPr>
              <w:jc w:val="right"/>
              <w:spacing w:after="0" w:line="189"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2D53A6"/>
              <w:right w:val="single" w:sz="8" w:color="2D53A6"/>
            </w:tcBorders>
          </w:tcPr>
          <w:p>
            <w:pPr>
              <w:jc w:val="right"/>
              <w:spacing w:after="0" w:line="189"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2D53A6"/>
            </w:tcBorders>
          </w:tcPr>
          <w:p>
            <w:pPr>
              <w:jc w:val="right"/>
              <w:spacing w:after="0" w:line="189" w:lineRule="exact"/>
              <w:rPr>
                <w:sz w:val="20"/>
                <w:szCs w:val="20"/>
                <w:color w:val="auto"/>
              </w:rPr>
            </w:pPr>
            <w:r>
              <w:rPr>
                <w:rFonts w:ascii="Arial" w:cs="Arial" w:eastAsia="Arial" w:hAnsi="Arial"/>
                <w:sz w:val="18"/>
                <w:szCs w:val="18"/>
                <w:color w:val="auto"/>
              </w:rPr>
              <w:t>-</w:t>
            </w:r>
          </w:p>
        </w:tc>
        <w:tc>
          <w:tcPr>
            <w:tcW w:w="20" w:type="dxa"/>
            <w:vAlign w:val="bottom"/>
            <w:tcBorders>
              <w:bottom w:val="single" w:sz="8" w:color="2D53A6"/>
            </w:tcBorders>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220" w:type="dxa"/>
            <w:vAlign w:val="bottom"/>
            <w:tcBorders>
              <w:right w:val="single" w:sz="8" w:color="2D53A6"/>
            </w:tcBorders>
          </w:tcPr>
          <w:p>
            <w:pPr>
              <w:spacing w:after="0"/>
              <w:rPr>
                <w:sz w:val="20"/>
                <w:szCs w:val="20"/>
                <w:color w:val="auto"/>
              </w:rPr>
            </w:pPr>
            <w:r>
              <w:rPr>
                <w:rFonts w:ascii="Arial" w:cs="Arial" w:eastAsia="Arial" w:hAnsi="Arial"/>
                <w:sz w:val="18"/>
                <w:szCs w:val="18"/>
                <w:color w:val="auto"/>
              </w:rPr>
              <w:t>Müller</w:t>
            </w:r>
          </w:p>
        </w:tc>
        <w:tc>
          <w:tcPr>
            <w:tcW w:w="2160" w:type="dxa"/>
            <w:vAlign w:val="bottom"/>
            <w:tcBorders>
              <w:bottom w:val="single" w:sz="8" w:color="2D53A6"/>
              <w:right w:val="single" w:sz="8" w:color="2D53A6"/>
            </w:tcBorders>
          </w:tcPr>
          <w:p>
            <w:pPr>
              <w:spacing w:after="0"/>
              <w:rPr>
                <w:sz w:val="20"/>
                <w:szCs w:val="20"/>
                <w:color w:val="auto"/>
              </w:rPr>
            </w:pPr>
            <w:r>
              <w:rPr>
                <w:rFonts w:ascii="Arial" w:cs="Arial" w:eastAsia="Arial" w:hAnsi="Arial"/>
                <w:sz w:val="18"/>
                <w:szCs w:val="18"/>
                <w:color w:val="auto"/>
              </w:rPr>
              <w:t>Time-based RSUs</w:t>
            </w:r>
          </w:p>
        </w:tc>
        <w:tc>
          <w:tcPr>
            <w:tcW w:w="104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03/15/2021</w:t>
            </w:r>
          </w:p>
        </w:tc>
        <w:tc>
          <w:tcPr>
            <w:tcW w:w="78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2D53A6"/>
            </w:tcBorders>
          </w:tcPr>
          <w:p>
            <w:pPr>
              <w:spacing w:after="0"/>
              <w:rPr>
                <w:sz w:val="18"/>
                <w:szCs w:val="18"/>
                <w:color w:val="auto"/>
              </w:rPr>
            </w:pPr>
          </w:p>
        </w:tc>
        <w:tc>
          <w:tcPr>
            <w:tcW w:w="74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28,604</w:t>
            </w:r>
          </w:p>
        </w:tc>
        <w:tc>
          <w:tcPr>
            <w:tcW w:w="920" w:type="dxa"/>
            <w:vAlign w:val="bottom"/>
            <w:tcBorders>
              <w:bottom w:val="single" w:sz="8" w:color="2D53A6"/>
            </w:tcBorders>
            <w:gridSpan w:val="2"/>
          </w:tcPr>
          <w:p>
            <w:pPr>
              <w:jc w:val="right"/>
              <w:ind w:right="20"/>
              <w:spacing w:after="0"/>
              <w:rPr>
                <w:sz w:val="20"/>
                <w:szCs w:val="20"/>
                <w:color w:val="auto"/>
              </w:rPr>
            </w:pPr>
            <w:r>
              <w:rPr>
                <w:rFonts w:ascii="Arial" w:cs="Arial" w:eastAsia="Arial" w:hAnsi="Arial"/>
                <w:sz w:val="18"/>
                <w:szCs w:val="18"/>
                <w:color w:val="auto"/>
              </w:rPr>
              <w:t>1,249,995</w:t>
            </w:r>
          </w:p>
        </w:tc>
        <w:tc>
          <w:tcPr>
            <w:tcW w:w="0" w:type="dxa"/>
            <w:vAlign w:val="bottom"/>
          </w:tcPr>
          <w:p>
            <w:pPr>
              <w:spacing w:after="0"/>
              <w:rPr>
                <w:sz w:val="1"/>
                <w:szCs w:val="1"/>
                <w:color w:val="auto"/>
              </w:rPr>
            </w:pPr>
          </w:p>
        </w:tc>
      </w:tr>
      <w:tr>
        <w:trPr>
          <w:trHeight w:val="209"/>
        </w:trPr>
        <w:tc>
          <w:tcPr>
            <w:tcW w:w="1220" w:type="dxa"/>
            <w:vAlign w:val="bottom"/>
            <w:tcBorders>
              <w:right w:val="single" w:sz="8" w:color="2D53A6"/>
            </w:tcBorders>
          </w:tcPr>
          <w:p>
            <w:pPr>
              <w:spacing w:after="0"/>
              <w:rPr>
                <w:sz w:val="18"/>
                <w:szCs w:val="18"/>
                <w:color w:val="auto"/>
              </w:rPr>
            </w:pPr>
          </w:p>
        </w:tc>
        <w:tc>
          <w:tcPr>
            <w:tcW w:w="2160" w:type="dxa"/>
            <w:vAlign w:val="bottom"/>
            <w:tcBorders>
              <w:right w:val="single" w:sz="8" w:color="2D53A6"/>
            </w:tcBorders>
          </w:tcPr>
          <w:p>
            <w:pPr>
              <w:spacing w:after="0"/>
              <w:rPr>
                <w:sz w:val="20"/>
                <w:szCs w:val="20"/>
                <w:color w:val="auto"/>
              </w:rPr>
            </w:pPr>
            <w:r>
              <w:rPr>
                <w:rFonts w:ascii="Arial" w:cs="Arial" w:eastAsia="Arial" w:hAnsi="Arial"/>
                <w:sz w:val="18"/>
                <w:szCs w:val="18"/>
                <w:color w:val="auto"/>
              </w:rPr>
              <w:t>Performance-based RSUs</w:t>
            </w:r>
          </w:p>
        </w:tc>
        <w:tc>
          <w:tcPr>
            <w:tcW w:w="1040" w:type="dxa"/>
            <w:vAlign w:val="bottom"/>
            <w:tcBorders>
              <w:right w:val="single" w:sz="8" w:color="2D53A6"/>
            </w:tcBorders>
          </w:tcPr>
          <w:p>
            <w:pPr>
              <w:jc w:val="right"/>
              <w:spacing w:after="0"/>
              <w:rPr>
                <w:sz w:val="20"/>
                <w:szCs w:val="20"/>
                <w:color w:val="auto"/>
              </w:rPr>
            </w:pPr>
            <w:r>
              <w:rPr>
                <w:rFonts w:ascii="Arial" w:cs="Arial" w:eastAsia="Arial" w:hAnsi="Arial"/>
                <w:sz w:val="18"/>
                <w:szCs w:val="18"/>
                <w:color w:val="auto"/>
              </w:rPr>
              <w:t>03/15/2021</w:t>
            </w:r>
          </w:p>
        </w:tc>
        <w:tc>
          <w:tcPr>
            <w:tcW w:w="780" w:type="dxa"/>
            <w:vAlign w:val="bottom"/>
            <w:tcBorders>
              <w:right w:val="single" w:sz="8" w:color="2D53A6"/>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2D53A6"/>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2D53A6"/>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2D53A6"/>
            </w:tcBorders>
          </w:tcPr>
          <w:p>
            <w:pPr>
              <w:jc w:val="right"/>
              <w:spacing w:after="0"/>
              <w:rPr>
                <w:sz w:val="20"/>
                <w:szCs w:val="20"/>
                <w:color w:val="auto"/>
              </w:rPr>
            </w:pPr>
            <w:r>
              <w:rPr>
                <w:rFonts w:ascii="Arial" w:cs="Arial" w:eastAsia="Arial" w:hAnsi="Arial"/>
                <w:sz w:val="18"/>
                <w:szCs w:val="18"/>
                <w:color w:val="auto"/>
              </w:rPr>
              <w:t>0</w:t>
            </w:r>
          </w:p>
        </w:tc>
        <w:tc>
          <w:tcPr>
            <w:tcW w:w="820" w:type="dxa"/>
            <w:vAlign w:val="bottom"/>
            <w:tcBorders>
              <w:right w:val="single" w:sz="8" w:color="2D53A6"/>
            </w:tcBorders>
          </w:tcPr>
          <w:p>
            <w:pPr>
              <w:jc w:val="right"/>
              <w:spacing w:after="0"/>
              <w:rPr>
                <w:sz w:val="20"/>
                <w:szCs w:val="20"/>
                <w:color w:val="auto"/>
              </w:rPr>
            </w:pPr>
            <w:r>
              <w:rPr>
                <w:rFonts w:ascii="Arial" w:cs="Arial" w:eastAsia="Arial" w:hAnsi="Arial"/>
                <w:sz w:val="18"/>
                <w:szCs w:val="18"/>
                <w:color w:val="auto"/>
              </w:rPr>
              <w:t>28,604</w:t>
            </w:r>
          </w:p>
        </w:tc>
        <w:tc>
          <w:tcPr>
            <w:tcW w:w="80" w:type="dxa"/>
            <w:vAlign w:val="bottom"/>
          </w:tcPr>
          <w:p>
            <w:pPr>
              <w:spacing w:after="0"/>
              <w:rPr>
                <w:sz w:val="18"/>
                <w:szCs w:val="18"/>
                <w:color w:val="auto"/>
              </w:rPr>
            </w:pPr>
          </w:p>
        </w:tc>
        <w:tc>
          <w:tcPr>
            <w:tcW w:w="740" w:type="dxa"/>
            <w:vAlign w:val="bottom"/>
            <w:tcBorders>
              <w:right w:val="single" w:sz="8" w:color="2D53A6"/>
            </w:tcBorders>
          </w:tcPr>
          <w:p>
            <w:pPr>
              <w:jc w:val="right"/>
              <w:spacing w:after="0"/>
              <w:rPr>
                <w:sz w:val="20"/>
                <w:szCs w:val="20"/>
                <w:color w:val="auto"/>
              </w:rPr>
            </w:pPr>
            <w:r>
              <w:rPr>
                <w:rFonts w:ascii="Arial" w:cs="Arial" w:eastAsia="Arial" w:hAnsi="Arial"/>
                <w:sz w:val="18"/>
                <w:szCs w:val="18"/>
                <w:color w:val="auto"/>
              </w:rPr>
              <w:t>57,208</w:t>
            </w:r>
          </w:p>
        </w:tc>
        <w:tc>
          <w:tcPr>
            <w:tcW w:w="820" w:type="dxa"/>
            <w:vAlign w:val="bottom"/>
            <w:tcBorders>
              <w:right w:val="single" w:sz="8" w:color="2D53A6"/>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1,641,584</w:t>
            </w:r>
          </w:p>
        </w:tc>
        <w:tc>
          <w:tcPr>
            <w:tcW w:w="0" w:type="dxa"/>
            <w:vAlign w:val="bottom"/>
          </w:tcPr>
          <w:p>
            <w:pPr>
              <w:spacing w:after="0"/>
              <w:rPr>
                <w:sz w:val="1"/>
                <w:szCs w:val="1"/>
                <w:color w:val="auto"/>
              </w:rPr>
            </w:pPr>
          </w:p>
        </w:tc>
      </w:tr>
      <w:tr>
        <w:trPr>
          <w:trHeight w:val="210"/>
        </w:trPr>
        <w:tc>
          <w:tcPr>
            <w:tcW w:w="1220" w:type="dxa"/>
            <w:vAlign w:val="bottom"/>
            <w:tcBorders>
              <w:top w:val="single" w:sz="8" w:color="2D53A6"/>
              <w:bottom w:val="single" w:sz="8" w:color="E6E6E6"/>
              <w:right w:val="single" w:sz="8" w:color="2D53A6"/>
            </w:tcBorders>
            <w:shd w:val="clear" w:color="auto" w:fill="E6E6E6"/>
          </w:tcPr>
          <w:p>
            <w:pPr>
              <w:spacing w:after="0"/>
              <w:rPr>
                <w:sz w:val="20"/>
                <w:szCs w:val="20"/>
                <w:color w:val="auto"/>
              </w:rPr>
            </w:pPr>
            <w:r>
              <w:rPr>
                <w:rFonts w:ascii="Arial" w:cs="Arial" w:eastAsia="Arial" w:hAnsi="Arial"/>
                <w:sz w:val="18"/>
                <w:szCs w:val="18"/>
                <w:color w:val="auto"/>
              </w:rPr>
              <w:t>Jeffrey D.</w:t>
            </w:r>
          </w:p>
        </w:tc>
        <w:tc>
          <w:tcPr>
            <w:tcW w:w="2160" w:type="dxa"/>
            <w:vAlign w:val="bottom"/>
            <w:tcBorders>
              <w:top w:val="single" w:sz="8" w:color="2D53A6"/>
              <w:bottom w:val="single" w:sz="8" w:color="2D53A6"/>
              <w:right w:val="single" w:sz="8" w:color="2D53A6"/>
            </w:tcBorders>
            <w:shd w:val="clear" w:color="auto" w:fill="E6E6E6"/>
          </w:tcPr>
          <w:p>
            <w:pPr>
              <w:spacing w:after="0"/>
              <w:rPr>
                <w:sz w:val="20"/>
                <w:szCs w:val="20"/>
                <w:color w:val="auto"/>
              </w:rPr>
            </w:pPr>
            <w:r>
              <w:rPr>
                <w:rFonts w:ascii="Arial" w:cs="Arial" w:eastAsia="Arial" w:hAnsi="Arial"/>
                <w:sz w:val="18"/>
                <w:szCs w:val="18"/>
                <w:color w:val="auto"/>
              </w:rPr>
              <w:t>Cash Incentives</w:t>
            </w:r>
          </w:p>
        </w:tc>
        <w:tc>
          <w:tcPr>
            <w:tcW w:w="1040" w:type="dxa"/>
            <w:vAlign w:val="bottom"/>
            <w:tcBorders>
              <w:top w:val="single" w:sz="8" w:color="2D53A6"/>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2D53A6"/>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0</w:t>
            </w:r>
          </w:p>
        </w:tc>
        <w:tc>
          <w:tcPr>
            <w:tcW w:w="920" w:type="dxa"/>
            <w:vAlign w:val="bottom"/>
            <w:tcBorders>
              <w:top w:val="single" w:sz="8" w:color="2D53A6"/>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287,000</w:t>
            </w:r>
          </w:p>
        </w:tc>
        <w:tc>
          <w:tcPr>
            <w:tcW w:w="980" w:type="dxa"/>
            <w:vAlign w:val="bottom"/>
            <w:tcBorders>
              <w:top w:val="single" w:sz="8" w:color="2D53A6"/>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574,000</w:t>
            </w:r>
          </w:p>
        </w:tc>
        <w:tc>
          <w:tcPr>
            <w:tcW w:w="780" w:type="dxa"/>
            <w:vAlign w:val="bottom"/>
            <w:tcBorders>
              <w:top w:val="single" w:sz="8" w:color="2D53A6"/>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2D53A6"/>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2D53A6"/>
              <w:bottom w:val="single" w:sz="8" w:color="2D53A6"/>
            </w:tcBorders>
            <w:shd w:val="clear" w:color="auto" w:fill="E6E6E6"/>
          </w:tcPr>
          <w:p>
            <w:pPr>
              <w:spacing w:after="0"/>
              <w:rPr>
                <w:sz w:val="18"/>
                <w:szCs w:val="18"/>
                <w:color w:val="auto"/>
              </w:rPr>
            </w:pPr>
          </w:p>
        </w:tc>
        <w:tc>
          <w:tcPr>
            <w:tcW w:w="740" w:type="dxa"/>
            <w:vAlign w:val="bottom"/>
            <w:tcBorders>
              <w:top w:val="single" w:sz="8" w:color="2D53A6"/>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2D53A6"/>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2D53A6"/>
              <w:bottom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20" w:type="dxa"/>
            <w:vAlign w:val="bottom"/>
            <w:tcBorders>
              <w:bottom w:val="single" w:sz="8" w:color="E6E6E6"/>
              <w:right w:val="single" w:sz="8" w:color="2D53A6"/>
            </w:tcBorders>
            <w:shd w:val="clear" w:color="auto" w:fill="E6E6E6"/>
          </w:tcPr>
          <w:p>
            <w:pPr>
              <w:spacing w:after="0"/>
              <w:rPr>
                <w:sz w:val="20"/>
                <w:szCs w:val="20"/>
                <w:color w:val="auto"/>
              </w:rPr>
            </w:pPr>
            <w:r>
              <w:rPr>
                <w:rFonts w:ascii="Arial" w:cs="Arial" w:eastAsia="Arial" w:hAnsi="Arial"/>
                <w:sz w:val="18"/>
                <w:szCs w:val="18"/>
                <w:color w:val="auto"/>
              </w:rPr>
              <w:t>Jones</w:t>
            </w:r>
          </w:p>
        </w:tc>
        <w:tc>
          <w:tcPr>
            <w:tcW w:w="2160" w:type="dxa"/>
            <w:vAlign w:val="bottom"/>
            <w:tcBorders>
              <w:bottom w:val="single" w:sz="8" w:color="2D53A6"/>
              <w:right w:val="single" w:sz="8" w:color="2D53A6"/>
            </w:tcBorders>
            <w:shd w:val="clear" w:color="auto" w:fill="E6E6E6"/>
          </w:tcPr>
          <w:p>
            <w:pPr>
              <w:spacing w:after="0"/>
              <w:rPr>
                <w:sz w:val="20"/>
                <w:szCs w:val="20"/>
                <w:color w:val="auto"/>
              </w:rPr>
            </w:pPr>
            <w:r>
              <w:rPr>
                <w:rFonts w:ascii="Arial" w:cs="Arial" w:eastAsia="Arial" w:hAnsi="Arial"/>
                <w:sz w:val="18"/>
                <w:szCs w:val="18"/>
                <w:color w:val="auto"/>
              </w:rPr>
              <w:t>Time-based RSUs</w:t>
            </w:r>
          </w:p>
        </w:tc>
        <w:tc>
          <w:tcPr>
            <w:tcW w:w="104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03/15/2021</w:t>
            </w:r>
          </w:p>
        </w:tc>
        <w:tc>
          <w:tcPr>
            <w:tcW w:w="78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2D53A6"/>
            </w:tcBorders>
            <w:shd w:val="clear" w:color="auto" w:fill="E6E6E6"/>
          </w:tcPr>
          <w:p>
            <w:pPr>
              <w:spacing w:after="0"/>
              <w:rPr>
                <w:sz w:val="18"/>
                <w:szCs w:val="18"/>
                <w:color w:val="auto"/>
              </w:rPr>
            </w:pPr>
          </w:p>
        </w:tc>
        <w:tc>
          <w:tcPr>
            <w:tcW w:w="74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9,382</w:t>
            </w:r>
          </w:p>
        </w:tc>
        <w:tc>
          <w:tcPr>
            <w:tcW w:w="900" w:type="dxa"/>
            <w:vAlign w:val="bottom"/>
            <w:tcBorders>
              <w:bottom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409,993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20" w:type="dxa"/>
            <w:vAlign w:val="bottom"/>
            <w:tcBorders>
              <w:bottom w:val="single" w:sz="8" w:color="2D53A6"/>
              <w:right w:val="single" w:sz="8" w:color="2D53A6"/>
            </w:tcBorders>
            <w:shd w:val="clear" w:color="auto" w:fill="E6E6E6"/>
          </w:tcPr>
          <w:p>
            <w:pPr>
              <w:spacing w:after="0"/>
              <w:rPr>
                <w:sz w:val="18"/>
                <w:szCs w:val="18"/>
                <w:color w:val="auto"/>
              </w:rPr>
            </w:pPr>
          </w:p>
        </w:tc>
        <w:tc>
          <w:tcPr>
            <w:tcW w:w="2160" w:type="dxa"/>
            <w:vAlign w:val="bottom"/>
            <w:tcBorders>
              <w:bottom w:val="single" w:sz="8" w:color="2D53A6"/>
              <w:right w:val="single" w:sz="8" w:color="2D53A6"/>
            </w:tcBorders>
            <w:shd w:val="clear" w:color="auto" w:fill="E6E6E6"/>
          </w:tcPr>
          <w:p>
            <w:pPr>
              <w:spacing w:after="0"/>
              <w:rPr>
                <w:sz w:val="20"/>
                <w:szCs w:val="20"/>
                <w:color w:val="auto"/>
              </w:rPr>
            </w:pPr>
            <w:r>
              <w:rPr>
                <w:rFonts w:ascii="Arial" w:cs="Arial" w:eastAsia="Arial" w:hAnsi="Arial"/>
                <w:sz w:val="18"/>
                <w:szCs w:val="18"/>
                <w:color w:val="auto"/>
              </w:rPr>
              <w:t>Performance-based RSUs</w:t>
            </w:r>
          </w:p>
        </w:tc>
        <w:tc>
          <w:tcPr>
            <w:tcW w:w="104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03/15/2021</w:t>
            </w:r>
          </w:p>
        </w:tc>
        <w:tc>
          <w:tcPr>
            <w:tcW w:w="78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0</w:t>
            </w:r>
          </w:p>
        </w:tc>
        <w:tc>
          <w:tcPr>
            <w:tcW w:w="82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9,382</w:t>
            </w:r>
          </w:p>
        </w:tc>
        <w:tc>
          <w:tcPr>
            <w:tcW w:w="80" w:type="dxa"/>
            <w:vAlign w:val="bottom"/>
            <w:tcBorders>
              <w:bottom w:val="single" w:sz="8" w:color="2D53A6"/>
            </w:tcBorders>
            <w:shd w:val="clear" w:color="auto" w:fill="E6E6E6"/>
          </w:tcPr>
          <w:p>
            <w:pPr>
              <w:spacing w:after="0"/>
              <w:rPr>
                <w:sz w:val="18"/>
                <w:szCs w:val="18"/>
                <w:color w:val="auto"/>
              </w:rPr>
            </w:pPr>
          </w:p>
        </w:tc>
        <w:tc>
          <w:tcPr>
            <w:tcW w:w="74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18,764</w:t>
            </w:r>
          </w:p>
        </w:tc>
        <w:tc>
          <w:tcPr>
            <w:tcW w:w="82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538,433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20" w:type="dxa"/>
            <w:vAlign w:val="bottom"/>
            <w:tcBorders>
              <w:right w:val="single" w:sz="8" w:color="2D53A6"/>
            </w:tcBorders>
          </w:tcPr>
          <w:p>
            <w:pPr>
              <w:spacing w:after="0"/>
              <w:rPr>
                <w:sz w:val="20"/>
                <w:szCs w:val="20"/>
                <w:color w:val="auto"/>
              </w:rPr>
            </w:pPr>
            <w:r>
              <w:rPr>
                <w:rFonts w:ascii="Arial" w:cs="Arial" w:eastAsia="Arial" w:hAnsi="Arial"/>
                <w:sz w:val="18"/>
                <w:szCs w:val="18"/>
                <w:color w:val="auto"/>
              </w:rPr>
              <w:t>Christopher</w:t>
            </w:r>
          </w:p>
        </w:tc>
        <w:tc>
          <w:tcPr>
            <w:tcW w:w="2160" w:type="dxa"/>
            <w:vAlign w:val="bottom"/>
            <w:tcBorders>
              <w:bottom w:val="single" w:sz="8" w:color="2D53A6"/>
              <w:right w:val="single" w:sz="8" w:color="2D53A6"/>
            </w:tcBorders>
          </w:tcPr>
          <w:p>
            <w:pPr>
              <w:spacing w:after="0"/>
              <w:rPr>
                <w:sz w:val="20"/>
                <w:szCs w:val="20"/>
                <w:color w:val="auto"/>
              </w:rPr>
            </w:pPr>
            <w:r>
              <w:rPr>
                <w:rFonts w:ascii="Arial" w:cs="Arial" w:eastAsia="Arial" w:hAnsi="Arial"/>
                <w:sz w:val="18"/>
                <w:szCs w:val="18"/>
                <w:color w:val="auto"/>
              </w:rPr>
              <w:t>Cash Incentives</w:t>
            </w:r>
          </w:p>
        </w:tc>
        <w:tc>
          <w:tcPr>
            <w:tcW w:w="104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0</w:t>
            </w:r>
          </w:p>
        </w:tc>
        <w:tc>
          <w:tcPr>
            <w:tcW w:w="92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256,200</w:t>
            </w:r>
          </w:p>
        </w:tc>
        <w:tc>
          <w:tcPr>
            <w:tcW w:w="98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512,400</w:t>
            </w:r>
          </w:p>
        </w:tc>
        <w:tc>
          <w:tcPr>
            <w:tcW w:w="78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2D53A6"/>
            </w:tcBorders>
          </w:tcPr>
          <w:p>
            <w:pPr>
              <w:spacing w:after="0"/>
              <w:rPr>
                <w:sz w:val="18"/>
                <w:szCs w:val="18"/>
                <w:color w:val="auto"/>
              </w:rPr>
            </w:pPr>
          </w:p>
        </w:tc>
        <w:tc>
          <w:tcPr>
            <w:tcW w:w="74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2D53A6"/>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2D53A6"/>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20" w:type="dxa"/>
            <w:vAlign w:val="bottom"/>
            <w:tcBorders>
              <w:right w:val="single" w:sz="8" w:color="2D53A6"/>
            </w:tcBorders>
          </w:tcPr>
          <w:p>
            <w:pPr>
              <w:spacing w:after="0"/>
              <w:rPr>
                <w:sz w:val="20"/>
                <w:szCs w:val="20"/>
                <w:color w:val="auto"/>
              </w:rPr>
            </w:pPr>
            <w:r>
              <w:rPr>
                <w:rFonts w:ascii="Arial" w:cs="Arial" w:eastAsia="Arial" w:hAnsi="Arial"/>
                <w:sz w:val="18"/>
                <w:szCs w:val="18"/>
                <w:color w:val="auto"/>
              </w:rPr>
              <w:t>G. Bohrson</w:t>
            </w:r>
          </w:p>
        </w:tc>
        <w:tc>
          <w:tcPr>
            <w:tcW w:w="2160" w:type="dxa"/>
            <w:vAlign w:val="bottom"/>
            <w:tcBorders>
              <w:bottom w:val="single" w:sz="8" w:color="2D53A6"/>
              <w:right w:val="single" w:sz="8" w:color="2D53A6"/>
            </w:tcBorders>
          </w:tcPr>
          <w:p>
            <w:pPr>
              <w:spacing w:after="0"/>
              <w:rPr>
                <w:sz w:val="20"/>
                <w:szCs w:val="20"/>
                <w:color w:val="auto"/>
              </w:rPr>
            </w:pPr>
            <w:r>
              <w:rPr>
                <w:rFonts w:ascii="Arial" w:cs="Arial" w:eastAsia="Arial" w:hAnsi="Arial"/>
                <w:sz w:val="18"/>
                <w:szCs w:val="18"/>
                <w:color w:val="auto"/>
              </w:rPr>
              <w:t>Time-based RSUs</w:t>
            </w:r>
          </w:p>
        </w:tc>
        <w:tc>
          <w:tcPr>
            <w:tcW w:w="104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03/15/2021</w:t>
            </w:r>
          </w:p>
        </w:tc>
        <w:tc>
          <w:tcPr>
            <w:tcW w:w="78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2D53A6"/>
            </w:tcBorders>
          </w:tcPr>
          <w:p>
            <w:pPr>
              <w:spacing w:after="0"/>
              <w:rPr>
                <w:sz w:val="18"/>
                <w:szCs w:val="18"/>
                <w:color w:val="auto"/>
              </w:rPr>
            </w:pPr>
          </w:p>
        </w:tc>
        <w:tc>
          <w:tcPr>
            <w:tcW w:w="74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6,178</w:t>
            </w:r>
          </w:p>
        </w:tc>
        <w:tc>
          <w:tcPr>
            <w:tcW w:w="920" w:type="dxa"/>
            <w:vAlign w:val="bottom"/>
            <w:tcBorders>
              <w:bottom w:val="single" w:sz="8" w:color="2D53A6"/>
            </w:tcBorders>
            <w:gridSpan w:val="2"/>
          </w:tcPr>
          <w:p>
            <w:pPr>
              <w:jc w:val="right"/>
              <w:ind w:right="20"/>
              <w:spacing w:after="0"/>
              <w:rPr>
                <w:sz w:val="20"/>
                <w:szCs w:val="20"/>
                <w:color w:val="auto"/>
              </w:rPr>
            </w:pPr>
            <w:r>
              <w:rPr>
                <w:rFonts w:ascii="Arial" w:cs="Arial" w:eastAsia="Arial" w:hAnsi="Arial"/>
                <w:sz w:val="18"/>
                <w:szCs w:val="18"/>
                <w:color w:val="auto"/>
              </w:rPr>
              <w:t>269,979</w:t>
            </w:r>
          </w:p>
        </w:tc>
        <w:tc>
          <w:tcPr>
            <w:tcW w:w="0" w:type="dxa"/>
            <w:vAlign w:val="bottom"/>
          </w:tcPr>
          <w:p>
            <w:pPr>
              <w:spacing w:after="0"/>
              <w:rPr>
                <w:sz w:val="1"/>
                <w:szCs w:val="1"/>
                <w:color w:val="auto"/>
              </w:rPr>
            </w:pPr>
          </w:p>
        </w:tc>
      </w:tr>
      <w:tr>
        <w:trPr>
          <w:trHeight w:val="209"/>
        </w:trPr>
        <w:tc>
          <w:tcPr>
            <w:tcW w:w="1220" w:type="dxa"/>
            <w:vAlign w:val="bottom"/>
            <w:tcBorders>
              <w:right w:val="single" w:sz="8" w:color="2D53A6"/>
            </w:tcBorders>
          </w:tcPr>
          <w:p>
            <w:pPr>
              <w:spacing w:after="0"/>
              <w:rPr>
                <w:sz w:val="18"/>
                <w:szCs w:val="18"/>
                <w:color w:val="auto"/>
              </w:rPr>
            </w:pPr>
          </w:p>
        </w:tc>
        <w:tc>
          <w:tcPr>
            <w:tcW w:w="2160" w:type="dxa"/>
            <w:vAlign w:val="bottom"/>
            <w:tcBorders>
              <w:right w:val="single" w:sz="8" w:color="2D53A6"/>
            </w:tcBorders>
          </w:tcPr>
          <w:p>
            <w:pPr>
              <w:spacing w:after="0"/>
              <w:rPr>
                <w:sz w:val="20"/>
                <w:szCs w:val="20"/>
                <w:color w:val="auto"/>
              </w:rPr>
            </w:pPr>
            <w:r>
              <w:rPr>
                <w:rFonts w:ascii="Arial" w:cs="Arial" w:eastAsia="Arial" w:hAnsi="Arial"/>
                <w:sz w:val="18"/>
                <w:szCs w:val="18"/>
                <w:color w:val="auto"/>
              </w:rPr>
              <w:t>Performance-based RSUs</w:t>
            </w:r>
          </w:p>
        </w:tc>
        <w:tc>
          <w:tcPr>
            <w:tcW w:w="1040" w:type="dxa"/>
            <w:vAlign w:val="bottom"/>
            <w:tcBorders>
              <w:right w:val="single" w:sz="8" w:color="2D53A6"/>
            </w:tcBorders>
          </w:tcPr>
          <w:p>
            <w:pPr>
              <w:jc w:val="right"/>
              <w:spacing w:after="0"/>
              <w:rPr>
                <w:sz w:val="20"/>
                <w:szCs w:val="20"/>
                <w:color w:val="auto"/>
              </w:rPr>
            </w:pPr>
            <w:r>
              <w:rPr>
                <w:rFonts w:ascii="Arial" w:cs="Arial" w:eastAsia="Arial" w:hAnsi="Arial"/>
                <w:sz w:val="18"/>
                <w:szCs w:val="18"/>
                <w:color w:val="auto"/>
              </w:rPr>
              <w:t>03/15/2021</w:t>
            </w:r>
          </w:p>
        </w:tc>
        <w:tc>
          <w:tcPr>
            <w:tcW w:w="780" w:type="dxa"/>
            <w:vAlign w:val="bottom"/>
            <w:tcBorders>
              <w:right w:val="single" w:sz="8" w:color="2D53A6"/>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2D53A6"/>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2D53A6"/>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2D53A6"/>
            </w:tcBorders>
          </w:tcPr>
          <w:p>
            <w:pPr>
              <w:jc w:val="right"/>
              <w:spacing w:after="0"/>
              <w:rPr>
                <w:sz w:val="20"/>
                <w:szCs w:val="20"/>
                <w:color w:val="auto"/>
              </w:rPr>
            </w:pPr>
            <w:r>
              <w:rPr>
                <w:rFonts w:ascii="Arial" w:cs="Arial" w:eastAsia="Arial" w:hAnsi="Arial"/>
                <w:sz w:val="18"/>
                <w:szCs w:val="18"/>
                <w:color w:val="auto"/>
              </w:rPr>
              <w:t>0</w:t>
            </w:r>
          </w:p>
        </w:tc>
        <w:tc>
          <w:tcPr>
            <w:tcW w:w="820" w:type="dxa"/>
            <w:vAlign w:val="bottom"/>
            <w:tcBorders>
              <w:right w:val="single" w:sz="8" w:color="2D53A6"/>
            </w:tcBorders>
          </w:tcPr>
          <w:p>
            <w:pPr>
              <w:jc w:val="right"/>
              <w:spacing w:after="0"/>
              <w:rPr>
                <w:sz w:val="20"/>
                <w:szCs w:val="20"/>
                <w:color w:val="auto"/>
              </w:rPr>
            </w:pPr>
            <w:r>
              <w:rPr>
                <w:rFonts w:ascii="Arial" w:cs="Arial" w:eastAsia="Arial" w:hAnsi="Arial"/>
                <w:sz w:val="18"/>
                <w:szCs w:val="18"/>
                <w:color w:val="auto"/>
              </w:rPr>
              <w:t>6,178</w:t>
            </w:r>
          </w:p>
        </w:tc>
        <w:tc>
          <w:tcPr>
            <w:tcW w:w="80" w:type="dxa"/>
            <w:vAlign w:val="bottom"/>
          </w:tcPr>
          <w:p>
            <w:pPr>
              <w:spacing w:after="0"/>
              <w:rPr>
                <w:sz w:val="18"/>
                <w:szCs w:val="18"/>
                <w:color w:val="auto"/>
              </w:rPr>
            </w:pPr>
          </w:p>
        </w:tc>
        <w:tc>
          <w:tcPr>
            <w:tcW w:w="740" w:type="dxa"/>
            <w:vAlign w:val="bottom"/>
            <w:tcBorders>
              <w:right w:val="single" w:sz="8" w:color="2D53A6"/>
            </w:tcBorders>
          </w:tcPr>
          <w:p>
            <w:pPr>
              <w:jc w:val="right"/>
              <w:spacing w:after="0"/>
              <w:rPr>
                <w:sz w:val="20"/>
                <w:szCs w:val="20"/>
                <w:color w:val="auto"/>
              </w:rPr>
            </w:pPr>
            <w:r>
              <w:rPr>
                <w:rFonts w:ascii="Arial" w:cs="Arial" w:eastAsia="Arial" w:hAnsi="Arial"/>
                <w:sz w:val="18"/>
                <w:szCs w:val="18"/>
                <w:color w:val="auto"/>
              </w:rPr>
              <w:t>12,356</w:t>
            </w:r>
          </w:p>
        </w:tc>
        <w:tc>
          <w:tcPr>
            <w:tcW w:w="820" w:type="dxa"/>
            <w:vAlign w:val="bottom"/>
            <w:tcBorders>
              <w:right w:val="single" w:sz="8" w:color="2D53A6"/>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354,555</w:t>
            </w:r>
          </w:p>
        </w:tc>
        <w:tc>
          <w:tcPr>
            <w:tcW w:w="0" w:type="dxa"/>
            <w:vAlign w:val="bottom"/>
          </w:tcPr>
          <w:p>
            <w:pPr>
              <w:spacing w:after="0"/>
              <w:rPr>
                <w:sz w:val="1"/>
                <w:szCs w:val="1"/>
                <w:color w:val="auto"/>
              </w:rPr>
            </w:pPr>
          </w:p>
        </w:tc>
      </w:tr>
      <w:tr>
        <w:trPr>
          <w:trHeight w:val="210"/>
        </w:trPr>
        <w:tc>
          <w:tcPr>
            <w:tcW w:w="1220" w:type="dxa"/>
            <w:vAlign w:val="bottom"/>
            <w:tcBorders>
              <w:top w:val="single" w:sz="8" w:color="2D53A6"/>
              <w:bottom w:val="single" w:sz="8" w:color="E6E6E6"/>
              <w:right w:val="single" w:sz="8" w:color="2D53A6"/>
            </w:tcBorders>
            <w:shd w:val="clear" w:color="auto" w:fill="E6E6E6"/>
          </w:tcPr>
          <w:p>
            <w:pPr>
              <w:spacing w:after="0"/>
              <w:rPr>
                <w:sz w:val="20"/>
                <w:szCs w:val="20"/>
                <w:color w:val="auto"/>
              </w:rPr>
            </w:pPr>
            <w:r>
              <w:rPr>
                <w:rFonts w:ascii="Arial" w:cs="Arial" w:eastAsia="Arial" w:hAnsi="Arial"/>
                <w:sz w:val="18"/>
                <w:szCs w:val="18"/>
                <w:color w:val="auto"/>
              </w:rPr>
              <w:t>Thomas D.</w:t>
            </w:r>
          </w:p>
        </w:tc>
        <w:tc>
          <w:tcPr>
            <w:tcW w:w="2160" w:type="dxa"/>
            <w:vAlign w:val="bottom"/>
            <w:tcBorders>
              <w:top w:val="single" w:sz="8" w:color="2D53A6"/>
              <w:bottom w:val="single" w:sz="8" w:color="2D53A6"/>
              <w:right w:val="single" w:sz="8" w:color="2D53A6"/>
            </w:tcBorders>
            <w:shd w:val="clear" w:color="auto" w:fill="E6E6E6"/>
          </w:tcPr>
          <w:p>
            <w:pPr>
              <w:spacing w:after="0"/>
              <w:rPr>
                <w:sz w:val="20"/>
                <w:szCs w:val="20"/>
                <w:color w:val="auto"/>
              </w:rPr>
            </w:pPr>
            <w:r>
              <w:rPr>
                <w:rFonts w:ascii="Arial" w:cs="Arial" w:eastAsia="Arial" w:hAnsi="Arial"/>
                <w:sz w:val="18"/>
                <w:szCs w:val="18"/>
                <w:color w:val="auto"/>
              </w:rPr>
              <w:t>Cash Incentives</w:t>
            </w:r>
          </w:p>
        </w:tc>
        <w:tc>
          <w:tcPr>
            <w:tcW w:w="1040" w:type="dxa"/>
            <w:vAlign w:val="bottom"/>
            <w:tcBorders>
              <w:top w:val="single" w:sz="8" w:color="2D53A6"/>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2D53A6"/>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0</w:t>
            </w:r>
          </w:p>
        </w:tc>
        <w:tc>
          <w:tcPr>
            <w:tcW w:w="920" w:type="dxa"/>
            <w:vAlign w:val="bottom"/>
            <w:tcBorders>
              <w:top w:val="single" w:sz="8" w:color="2D53A6"/>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177,500</w:t>
            </w:r>
          </w:p>
        </w:tc>
        <w:tc>
          <w:tcPr>
            <w:tcW w:w="980" w:type="dxa"/>
            <w:vAlign w:val="bottom"/>
            <w:tcBorders>
              <w:top w:val="single" w:sz="8" w:color="2D53A6"/>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355,000</w:t>
            </w:r>
          </w:p>
        </w:tc>
        <w:tc>
          <w:tcPr>
            <w:tcW w:w="780" w:type="dxa"/>
            <w:vAlign w:val="bottom"/>
            <w:tcBorders>
              <w:top w:val="single" w:sz="8" w:color="2D53A6"/>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2D53A6"/>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2D53A6"/>
              <w:bottom w:val="single" w:sz="8" w:color="2D53A6"/>
            </w:tcBorders>
            <w:shd w:val="clear" w:color="auto" w:fill="E6E6E6"/>
          </w:tcPr>
          <w:p>
            <w:pPr>
              <w:spacing w:after="0"/>
              <w:rPr>
                <w:sz w:val="18"/>
                <w:szCs w:val="18"/>
                <w:color w:val="auto"/>
              </w:rPr>
            </w:pPr>
          </w:p>
        </w:tc>
        <w:tc>
          <w:tcPr>
            <w:tcW w:w="740" w:type="dxa"/>
            <w:vAlign w:val="bottom"/>
            <w:tcBorders>
              <w:top w:val="single" w:sz="8" w:color="2D53A6"/>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2D53A6"/>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2D53A6"/>
              <w:bottom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20" w:type="dxa"/>
            <w:vAlign w:val="bottom"/>
            <w:tcBorders>
              <w:bottom w:val="single" w:sz="8" w:color="E6E6E6"/>
              <w:right w:val="single" w:sz="8" w:color="2D53A6"/>
            </w:tcBorders>
            <w:shd w:val="clear" w:color="auto" w:fill="E6E6E6"/>
          </w:tcPr>
          <w:p>
            <w:pPr>
              <w:spacing w:after="0"/>
              <w:rPr>
                <w:sz w:val="20"/>
                <w:szCs w:val="20"/>
                <w:color w:val="auto"/>
              </w:rPr>
            </w:pPr>
            <w:r>
              <w:rPr>
                <w:rFonts w:ascii="Arial" w:cs="Arial" w:eastAsia="Arial" w:hAnsi="Arial"/>
                <w:sz w:val="18"/>
                <w:szCs w:val="18"/>
                <w:color w:val="auto"/>
              </w:rPr>
              <w:t>Kampfer</w:t>
            </w:r>
          </w:p>
        </w:tc>
        <w:tc>
          <w:tcPr>
            <w:tcW w:w="2160" w:type="dxa"/>
            <w:vAlign w:val="bottom"/>
            <w:tcBorders>
              <w:bottom w:val="single" w:sz="8" w:color="2D53A6"/>
              <w:right w:val="single" w:sz="8" w:color="2D53A6"/>
            </w:tcBorders>
            <w:shd w:val="clear" w:color="auto" w:fill="E6E6E6"/>
          </w:tcPr>
          <w:p>
            <w:pPr>
              <w:spacing w:after="0"/>
              <w:rPr>
                <w:sz w:val="20"/>
                <w:szCs w:val="20"/>
                <w:color w:val="auto"/>
              </w:rPr>
            </w:pPr>
            <w:r>
              <w:rPr>
                <w:rFonts w:ascii="Arial" w:cs="Arial" w:eastAsia="Arial" w:hAnsi="Arial"/>
                <w:sz w:val="18"/>
                <w:szCs w:val="18"/>
                <w:color w:val="auto"/>
              </w:rPr>
              <w:t>Time-based RSUs</w:t>
            </w:r>
          </w:p>
        </w:tc>
        <w:tc>
          <w:tcPr>
            <w:tcW w:w="104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03/15/2021</w:t>
            </w:r>
          </w:p>
        </w:tc>
        <w:tc>
          <w:tcPr>
            <w:tcW w:w="78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2D53A6"/>
            </w:tcBorders>
            <w:shd w:val="clear" w:color="auto" w:fill="E6E6E6"/>
          </w:tcPr>
          <w:p>
            <w:pPr>
              <w:spacing w:after="0"/>
              <w:rPr>
                <w:sz w:val="18"/>
                <w:szCs w:val="18"/>
                <w:color w:val="auto"/>
              </w:rPr>
            </w:pPr>
          </w:p>
        </w:tc>
        <w:tc>
          <w:tcPr>
            <w:tcW w:w="74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4,576</w:t>
            </w:r>
          </w:p>
        </w:tc>
        <w:tc>
          <w:tcPr>
            <w:tcW w:w="900" w:type="dxa"/>
            <w:vAlign w:val="bottom"/>
            <w:tcBorders>
              <w:bottom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199,971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20" w:type="dxa"/>
            <w:vAlign w:val="bottom"/>
            <w:tcBorders>
              <w:bottom w:val="single" w:sz="8" w:color="2D53A6"/>
              <w:right w:val="single" w:sz="8" w:color="2D53A6"/>
            </w:tcBorders>
            <w:shd w:val="clear" w:color="auto" w:fill="E6E6E6"/>
          </w:tcPr>
          <w:p>
            <w:pPr>
              <w:spacing w:after="0"/>
              <w:rPr>
                <w:sz w:val="18"/>
                <w:szCs w:val="18"/>
                <w:color w:val="auto"/>
              </w:rPr>
            </w:pPr>
          </w:p>
        </w:tc>
        <w:tc>
          <w:tcPr>
            <w:tcW w:w="2160" w:type="dxa"/>
            <w:vAlign w:val="bottom"/>
            <w:tcBorders>
              <w:bottom w:val="single" w:sz="8" w:color="2D53A6"/>
              <w:right w:val="single" w:sz="8" w:color="2D53A6"/>
            </w:tcBorders>
            <w:shd w:val="clear" w:color="auto" w:fill="E6E6E6"/>
          </w:tcPr>
          <w:p>
            <w:pPr>
              <w:spacing w:after="0"/>
              <w:rPr>
                <w:sz w:val="20"/>
                <w:szCs w:val="20"/>
                <w:color w:val="auto"/>
              </w:rPr>
            </w:pPr>
            <w:r>
              <w:rPr>
                <w:rFonts w:ascii="Arial" w:cs="Arial" w:eastAsia="Arial" w:hAnsi="Arial"/>
                <w:sz w:val="18"/>
                <w:szCs w:val="18"/>
                <w:color w:val="auto"/>
              </w:rPr>
              <w:t>Performance-based RSUs</w:t>
            </w:r>
          </w:p>
        </w:tc>
        <w:tc>
          <w:tcPr>
            <w:tcW w:w="104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03/15/2021</w:t>
            </w:r>
          </w:p>
        </w:tc>
        <w:tc>
          <w:tcPr>
            <w:tcW w:w="78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0</w:t>
            </w:r>
          </w:p>
        </w:tc>
        <w:tc>
          <w:tcPr>
            <w:tcW w:w="82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4,576</w:t>
            </w:r>
          </w:p>
        </w:tc>
        <w:tc>
          <w:tcPr>
            <w:tcW w:w="80" w:type="dxa"/>
            <w:vAlign w:val="bottom"/>
            <w:tcBorders>
              <w:bottom w:val="single" w:sz="8" w:color="2D53A6"/>
            </w:tcBorders>
            <w:shd w:val="clear" w:color="auto" w:fill="E6E6E6"/>
          </w:tcPr>
          <w:p>
            <w:pPr>
              <w:spacing w:after="0"/>
              <w:rPr>
                <w:sz w:val="18"/>
                <w:szCs w:val="18"/>
                <w:color w:val="auto"/>
              </w:rPr>
            </w:pPr>
          </w:p>
        </w:tc>
        <w:tc>
          <w:tcPr>
            <w:tcW w:w="74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9,152</w:t>
            </w:r>
          </w:p>
        </w:tc>
        <w:tc>
          <w:tcPr>
            <w:tcW w:w="82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262,617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20" w:type="dxa"/>
            <w:vAlign w:val="bottom"/>
            <w:tcBorders>
              <w:right w:val="single" w:sz="8" w:color="2D53A6"/>
            </w:tcBorders>
          </w:tcPr>
          <w:p>
            <w:pPr>
              <w:spacing w:after="0"/>
              <w:rPr>
                <w:sz w:val="20"/>
                <w:szCs w:val="20"/>
                <w:color w:val="auto"/>
              </w:rPr>
            </w:pPr>
            <w:r>
              <w:rPr>
                <w:rFonts w:ascii="Arial" w:cs="Arial" w:eastAsia="Arial" w:hAnsi="Arial"/>
                <w:sz w:val="18"/>
                <w:szCs w:val="18"/>
                <w:color w:val="auto"/>
              </w:rPr>
              <w:t>Ian P.</w:t>
            </w:r>
          </w:p>
        </w:tc>
        <w:tc>
          <w:tcPr>
            <w:tcW w:w="2160" w:type="dxa"/>
            <w:vAlign w:val="bottom"/>
            <w:tcBorders>
              <w:bottom w:val="single" w:sz="8" w:color="2D53A6"/>
              <w:right w:val="single" w:sz="8" w:color="2D53A6"/>
            </w:tcBorders>
          </w:tcPr>
          <w:p>
            <w:pPr>
              <w:spacing w:after="0"/>
              <w:rPr>
                <w:sz w:val="20"/>
                <w:szCs w:val="20"/>
                <w:color w:val="auto"/>
              </w:rPr>
            </w:pPr>
            <w:r>
              <w:rPr>
                <w:rFonts w:ascii="Arial" w:cs="Arial" w:eastAsia="Arial" w:hAnsi="Arial"/>
                <w:sz w:val="18"/>
                <w:szCs w:val="18"/>
                <w:color w:val="auto"/>
              </w:rPr>
              <w:t>Cash Incentives</w:t>
            </w:r>
          </w:p>
        </w:tc>
        <w:tc>
          <w:tcPr>
            <w:tcW w:w="104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0</w:t>
            </w:r>
          </w:p>
        </w:tc>
        <w:tc>
          <w:tcPr>
            <w:tcW w:w="92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171,600</w:t>
            </w:r>
          </w:p>
        </w:tc>
        <w:tc>
          <w:tcPr>
            <w:tcW w:w="98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343,200</w:t>
            </w:r>
          </w:p>
        </w:tc>
        <w:tc>
          <w:tcPr>
            <w:tcW w:w="78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2D53A6"/>
            </w:tcBorders>
          </w:tcPr>
          <w:p>
            <w:pPr>
              <w:spacing w:after="0"/>
              <w:rPr>
                <w:sz w:val="18"/>
                <w:szCs w:val="18"/>
                <w:color w:val="auto"/>
              </w:rPr>
            </w:pPr>
          </w:p>
        </w:tc>
        <w:tc>
          <w:tcPr>
            <w:tcW w:w="74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2D53A6"/>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2D53A6"/>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20" w:type="dxa"/>
            <w:vAlign w:val="bottom"/>
            <w:tcBorders>
              <w:right w:val="single" w:sz="8" w:color="2D53A6"/>
            </w:tcBorders>
          </w:tcPr>
          <w:p>
            <w:pPr>
              <w:spacing w:after="0"/>
              <w:rPr>
                <w:sz w:val="20"/>
                <w:szCs w:val="20"/>
                <w:color w:val="auto"/>
              </w:rPr>
            </w:pPr>
            <w:r>
              <w:rPr>
                <w:rFonts w:ascii="Arial" w:cs="Arial" w:eastAsia="Arial" w:hAnsi="Arial"/>
                <w:sz w:val="18"/>
                <w:szCs w:val="18"/>
                <w:color w:val="auto"/>
              </w:rPr>
              <w:t>Lawee</w:t>
            </w:r>
          </w:p>
        </w:tc>
        <w:tc>
          <w:tcPr>
            <w:tcW w:w="2160" w:type="dxa"/>
            <w:vAlign w:val="bottom"/>
            <w:tcBorders>
              <w:bottom w:val="single" w:sz="8" w:color="2D53A6"/>
              <w:right w:val="single" w:sz="8" w:color="2D53A6"/>
            </w:tcBorders>
          </w:tcPr>
          <w:p>
            <w:pPr>
              <w:spacing w:after="0"/>
              <w:rPr>
                <w:sz w:val="20"/>
                <w:szCs w:val="20"/>
                <w:color w:val="auto"/>
              </w:rPr>
            </w:pPr>
            <w:r>
              <w:rPr>
                <w:rFonts w:ascii="Arial" w:cs="Arial" w:eastAsia="Arial" w:hAnsi="Arial"/>
                <w:sz w:val="18"/>
                <w:szCs w:val="18"/>
                <w:color w:val="auto"/>
              </w:rPr>
              <w:t>Time-based RSUs</w:t>
            </w:r>
          </w:p>
        </w:tc>
        <w:tc>
          <w:tcPr>
            <w:tcW w:w="104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03/15/2021</w:t>
            </w:r>
          </w:p>
        </w:tc>
        <w:tc>
          <w:tcPr>
            <w:tcW w:w="78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2D53A6"/>
            </w:tcBorders>
          </w:tcPr>
          <w:p>
            <w:pPr>
              <w:spacing w:after="0"/>
              <w:rPr>
                <w:sz w:val="18"/>
                <w:szCs w:val="18"/>
                <w:color w:val="auto"/>
              </w:rPr>
            </w:pPr>
          </w:p>
        </w:tc>
        <w:tc>
          <w:tcPr>
            <w:tcW w:w="74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4,004</w:t>
            </w:r>
          </w:p>
        </w:tc>
        <w:tc>
          <w:tcPr>
            <w:tcW w:w="920" w:type="dxa"/>
            <w:vAlign w:val="bottom"/>
            <w:tcBorders>
              <w:bottom w:val="single" w:sz="8" w:color="2D53A6"/>
            </w:tcBorders>
            <w:gridSpan w:val="2"/>
          </w:tcPr>
          <w:p>
            <w:pPr>
              <w:jc w:val="right"/>
              <w:ind w:right="20"/>
              <w:spacing w:after="0"/>
              <w:rPr>
                <w:sz w:val="20"/>
                <w:szCs w:val="20"/>
                <w:color w:val="auto"/>
              </w:rPr>
            </w:pPr>
            <w:r>
              <w:rPr>
                <w:rFonts w:ascii="Arial" w:cs="Arial" w:eastAsia="Arial" w:hAnsi="Arial"/>
                <w:sz w:val="18"/>
                <w:szCs w:val="18"/>
                <w:color w:val="auto"/>
              </w:rPr>
              <w:t>174,975</w:t>
            </w:r>
          </w:p>
        </w:tc>
        <w:tc>
          <w:tcPr>
            <w:tcW w:w="0" w:type="dxa"/>
            <w:vAlign w:val="bottom"/>
          </w:tcPr>
          <w:p>
            <w:pPr>
              <w:spacing w:after="0"/>
              <w:rPr>
                <w:sz w:val="1"/>
                <w:szCs w:val="1"/>
                <w:color w:val="auto"/>
              </w:rPr>
            </w:pPr>
          </w:p>
        </w:tc>
      </w:tr>
      <w:tr>
        <w:trPr>
          <w:trHeight w:val="209"/>
        </w:trPr>
        <w:tc>
          <w:tcPr>
            <w:tcW w:w="1220" w:type="dxa"/>
            <w:vAlign w:val="bottom"/>
            <w:tcBorders>
              <w:bottom w:val="single" w:sz="8" w:color="2D53A6"/>
              <w:right w:val="single" w:sz="8" w:color="2D53A6"/>
            </w:tcBorders>
          </w:tcPr>
          <w:p>
            <w:pPr>
              <w:spacing w:after="0"/>
              <w:rPr>
                <w:sz w:val="18"/>
                <w:szCs w:val="18"/>
                <w:color w:val="auto"/>
              </w:rPr>
            </w:pPr>
          </w:p>
        </w:tc>
        <w:tc>
          <w:tcPr>
            <w:tcW w:w="2160" w:type="dxa"/>
            <w:vAlign w:val="bottom"/>
            <w:tcBorders>
              <w:bottom w:val="single" w:sz="8" w:color="2D53A6"/>
              <w:right w:val="single" w:sz="8" w:color="2D53A6"/>
            </w:tcBorders>
          </w:tcPr>
          <w:p>
            <w:pPr>
              <w:spacing w:after="0"/>
              <w:rPr>
                <w:sz w:val="20"/>
                <w:szCs w:val="20"/>
                <w:color w:val="auto"/>
              </w:rPr>
            </w:pPr>
            <w:r>
              <w:rPr>
                <w:rFonts w:ascii="Arial" w:cs="Arial" w:eastAsia="Arial" w:hAnsi="Arial"/>
                <w:sz w:val="18"/>
                <w:szCs w:val="18"/>
                <w:color w:val="auto"/>
              </w:rPr>
              <w:t>Performance-based RSUs</w:t>
            </w:r>
          </w:p>
        </w:tc>
        <w:tc>
          <w:tcPr>
            <w:tcW w:w="104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03/15/2021</w:t>
            </w:r>
          </w:p>
        </w:tc>
        <w:tc>
          <w:tcPr>
            <w:tcW w:w="78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0</w:t>
            </w:r>
          </w:p>
        </w:tc>
        <w:tc>
          <w:tcPr>
            <w:tcW w:w="82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4,004</w:t>
            </w:r>
          </w:p>
        </w:tc>
        <w:tc>
          <w:tcPr>
            <w:tcW w:w="80" w:type="dxa"/>
            <w:vAlign w:val="bottom"/>
            <w:tcBorders>
              <w:bottom w:val="single" w:sz="8" w:color="2D53A6"/>
            </w:tcBorders>
          </w:tcPr>
          <w:p>
            <w:pPr>
              <w:spacing w:after="0"/>
              <w:rPr>
                <w:sz w:val="18"/>
                <w:szCs w:val="18"/>
                <w:color w:val="auto"/>
              </w:rPr>
            </w:pPr>
          </w:p>
        </w:tc>
        <w:tc>
          <w:tcPr>
            <w:tcW w:w="74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8,008</w:t>
            </w:r>
          </w:p>
        </w:tc>
        <w:tc>
          <w:tcPr>
            <w:tcW w:w="82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2D53A6"/>
            </w:tcBorders>
            <w:gridSpan w:val="2"/>
          </w:tcPr>
          <w:p>
            <w:pPr>
              <w:jc w:val="right"/>
              <w:ind w:right="20"/>
              <w:spacing w:after="0"/>
              <w:rPr>
                <w:sz w:val="20"/>
                <w:szCs w:val="20"/>
                <w:color w:val="auto"/>
              </w:rPr>
            </w:pPr>
            <w:r>
              <w:rPr>
                <w:rFonts w:ascii="Arial" w:cs="Arial" w:eastAsia="Arial" w:hAnsi="Arial"/>
                <w:sz w:val="18"/>
                <w:szCs w:val="18"/>
                <w:color w:val="auto"/>
              </w:rPr>
              <w:t>229,790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755015</wp:posOffset>
            </wp:positionH>
            <wp:positionV relativeFrom="paragraph">
              <wp:posOffset>-2892425</wp:posOffset>
            </wp:positionV>
            <wp:extent cx="34290" cy="7194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290" cy="719455"/>
                    </a:xfrm>
                    <a:prstGeom prst="rect">
                      <a:avLst/>
                    </a:prstGeom>
                    <a:noFill/>
                  </pic:spPr>
                </pic:pic>
              </a:graphicData>
            </a:graphic>
          </wp:anchor>
        </w:drawing>
        <w:drawing>
          <wp:anchor simplePos="0" relativeHeight="251657728" behindDoc="1" locked="0" layoutInCell="0" allowOverlap="1">
            <wp:simplePos x="0" y="0"/>
            <wp:positionH relativeFrom="column">
              <wp:posOffset>2778125</wp:posOffset>
            </wp:positionH>
            <wp:positionV relativeFrom="paragraph">
              <wp:posOffset>-2892425</wp:posOffset>
            </wp:positionV>
            <wp:extent cx="33655" cy="7194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655" cy="719455"/>
                    </a:xfrm>
                    <a:prstGeom prst="rect">
                      <a:avLst/>
                    </a:prstGeom>
                    <a:noFill/>
                  </pic:spPr>
                </pic:pic>
              </a:graphicData>
            </a:graphic>
          </wp:anchor>
        </w:drawing>
        <w:drawing>
          <wp:anchor simplePos="0" relativeHeight="251657728" behindDoc="1" locked="0" layoutInCell="0" allowOverlap="1">
            <wp:simplePos x="0" y="0"/>
            <wp:positionH relativeFrom="column">
              <wp:posOffset>3275330</wp:posOffset>
            </wp:positionH>
            <wp:positionV relativeFrom="paragraph">
              <wp:posOffset>-2892425</wp:posOffset>
            </wp:positionV>
            <wp:extent cx="34290" cy="7194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290" cy="719455"/>
                    </a:xfrm>
                    <a:prstGeom prst="rect">
                      <a:avLst/>
                    </a:prstGeom>
                    <a:noFill/>
                  </pic:spPr>
                </pic:pic>
              </a:graphicData>
            </a:graphic>
          </wp:anchor>
        </w:drawing>
        <w:drawing>
          <wp:anchor simplePos="0" relativeHeight="251657728" behindDoc="1" locked="0" layoutInCell="0" allowOverlap="1">
            <wp:simplePos x="0" y="0"/>
            <wp:positionH relativeFrom="column">
              <wp:posOffset>3867150</wp:posOffset>
            </wp:positionH>
            <wp:positionV relativeFrom="paragraph">
              <wp:posOffset>-2892425</wp:posOffset>
            </wp:positionV>
            <wp:extent cx="33655" cy="7194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655" cy="719455"/>
                    </a:xfrm>
                    <a:prstGeom prst="rect">
                      <a:avLst/>
                    </a:prstGeom>
                    <a:noFill/>
                  </pic:spPr>
                </pic:pic>
              </a:graphicData>
            </a:graphic>
          </wp:anchor>
        </w:drawing>
        <w:drawing>
          <wp:anchor simplePos="0" relativeHeight="251657728" behindDoc="1" locked="0" layoutInCell="0" allowOverlap="1">
            <wp:simplePos x="0" y="0"/>
            <wp:positionH relativeFrom="column">
              <wp:posOffset>4484370</wp:posOffset>
            </wp:positionH>
            <wp:positionV relativeFrom="paragraph">
              <wp:posOffset>-2892425</wp:posOffset>
            </wp:positionV>
            <wp:extent cx="34290" cy="7194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290" cy="719455"/>
                    </a:xfrm>
                    <a:prstGeom prst="rect">
                      <a:avLst/>
                    </a:prstGeom>
                    <a:noFill/>
                  </pic:spPr>
                </pic:pic>
              </a:graphicData>
            </a:graphic>
          </wp:anchor>
        </w:drawing>
        <w:drawing>
          <wp:anchor simplePos="0" relativeHeight="251657728" behindDoc="1" locked="0" layoutInCell="0" allowOverlap="1">
            <wp:simplePos x="0" y="0"/>
            <wp:positionH relativeFrom="column">
              <wp:posOffset>4972685</wp:posOffset>
            </wp:positionH>
            <wp:positionV relativeFrom="paragraph">
              <wp:posOffset>-2892425</wp:posOffset>
            </wp:positionV>
            <wp:extent cx="34290" cy="7194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290" cy="719455"/>
                    </a:xfrm>
                    <a:prstGeom prst="rect">
                      <a:avLst/>
                    </a:prstGeom>
                    <a:noFill/>
                  </pic:spPr>
                </pic:pic>
              </a:graphicData>
            </a:graphic>
          </wp:anchor>
        </w:drawing>
        <w:drawing>
          <wp:anchor simplePos="0" relativeHeight="251657728" behindDoc="1" locked="0" layoutInCell="0" allowOverlap="1">
            <wp:simplePos x="0" y="0"/>
            <wp:positionH relativeFrom="column">
              <wp:posOffset>5495925</wp:posOffset>
            </wp:positionH>
            <wp:positionV relativeFrom="paragraph">
              <wp:posOffset>-2892425</wp:posOffset>
            </wp:positionV>
            <wp:extent cx="34290" cy="7194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290" cy="719455"/>
                    </a:xfrm>
                    <a:prstGeom prst="rect">
                      <a:avLst/>
                    </a:prstGeom>
                    <a:noFill/>
                  </pic:spPr>
                </pic:pic>
              </a:graphicData>
            </a:graphic>
          </wp:anchor>
        </w:drawing>
        <w:drawing>
          <wp:anchor simplePos="0" relativeHeight="251657728" behindDoc="1" locked="0" layoutInCell="0" allowOverlap="1">
            <wp:simplePos x="0" y="0"/>
            <wp:positionH relativeFrom="column">
              <wp:posOffset>6018530</wp:posOffset>
            </wp:positionH>
            <wp:positionV relativeFrom="paragraph">
              <wp:posOffset>-2892425</wp:posOffset>
            </wp:positionV>
            <wp:extent cx="33655" cy="7194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655" cy="719455"/>
                    </a:xfrm>
                    <a:prstGeom prst="rect">
                      <a:avLst/>
                    </a:prstGeom>
                    <a:noFill/>
                  </pic:spPr>
                </pic:pic>
              </a:graphicData>
            </a:graphic>
          </wp:anchor>
        </w:drawing>
        <w:drawing>
          <wp:anchor simplePos="0" relativeHeight="251657728" behindDoc="1" locked="0" layoutInCell="0" allowOverlap="1">
            <wp:simplePos x="0" y="0"/>
            <wp:positionH relativeFrom="column">
              <wp:posOffset>6541770</wp:posOffset>
            </wp:positionH>
            <wp:positionV relativeFrom="paragraph">
              <wp:posOffset>-2892425</wp:posOffset>
            </wp:positionV>
            <wp:extent cx="34290" cy="7194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290" cy="719455"/>
                    </a:xfrm>
                    <a:prstGeom prst="rect">
                      <a:avLst/>
                    </a:prstGeom>
                    <a:noFill/>
                  </pic:spPr>
                </pic:pic>
              </a:graphicData>
            </a:graphic>
          </wp:anchor>
        </w:drawing>
      </w:r>
    </w:p>
    <w:p>
      <w:pPr>
        <w:spacing w:after="0" w:line="182" w:lineRule="exact"/>
        <w:rPr>
          <w:sz w:val="20"/>
          <w:szCs w:val="20"/>
          <w:color w:val="auto"/>
        </w:rPr>
      </w:pPr>
    </w:p>
    <w:p>
      <w:pPr>
        <w:ind w:left="340" w:right="160" w:hanging="332"/>
        <w:spacing w:after="0" w:line="253"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Amounts shown are estimated possible payouts for fiscal 2021 under the executive cash incentive plan. These amounts are based on the individual’s fiscal 2021 base salary amounts, and position. The maximum amount shown is 200% of the target amount for each of the NEOs. Actual cash incentives received by the NEOs for fiscal 2021 are reported in the Summary Compensation Table under the column entitled “Non-Equity Incentive Plan Compensation.” Amounts earned by our NEOs for performance in 2021 are based on the attainment of performance goals for both Cohu and the individual NEO, as described in more detail in “Annual Cash Incentives” above.</w:t>
      </w:r>
    </w:p>
    <w:p>
      <w:pPr>
        <w:spacing w:after="0" w:line="3" w:lineRule="exact"/>
        <w:rPr>
          <w:rFonts w:ascii="Arial" w:cs="Arial" w:eastAsia="Arial" w:hAnsi="Arial"/>
          <w:sz w:val="18"/>
          <w:szCs w:val="18"/>
          <w:color w:val="auto"/>
        </w:rPr>
      </w:pPr>
    </w:p>
    <w:p>
      <w:pPr>
        <w:ind w:left="340" w:right="20" w:hanging="332"/>
        <w:spacing w:after="0" w:line="250"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PSU awards granted to our NEOs in 2021 are subject to certain adjustments resulting from the performance of our total stockholder return (“TSR”) relative to a pre-selected comparator group over the three-year period following the date of grant. The PSU awards granted in 2021 vest 100% on the third anniversary of the date of grant.</w:t>
      </w:r>
    </w:p>
    <w:p>
      <w:pPr>
        <w:spacing w:after="0" w:line="1" w:lineRule="exact"/>
        <w:rPr>
          <w:rFonts w:ascii="Arial" w:cs="Arial" w:eastAsia="Arial" w:hAnsi="Arial"/>
          <w:sz w:val="18"/>
          <w:szCs w:val="18"/>
          <w:color w:val="auto"/>
        </w:rPr>
      </w:pPr>
    </w:p>
    <w:p>
      <w:pPr>
        <w:ind w:left="340" w:right="100" w:hanging="332"/>
        <w:spacing w:after="0" w:line="250"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amounts reflect the number of RSUs awarded to each NEO under the 2005 Plan. The RSU awards granted to our NEOs in 2021 vest at the rate of 25% of the shares of our common stock subject to the awards per year.</w:t>
      </w:r>
    </w:p>
    <w:p>
      <w:pPr>
        <w:ind w:left="340" w:right="200" w:hanging="332"/>
        <w:spacing w:after="0" w:line="255"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amounts shown are the grant date fair value for stock awards issued in fiscal 2021. The assumptions used to calculate the grant date fair value of the awards are set forth in Note 6, “Employee Benefit Plans”, included in Part IV, Item 15(a) of Cohu’s Annual Report on Form 10-K for the year ended December 25, 2021, filed with the SEC.</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Outstanding Equity Awards at December 25, 2021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all outstanding equity awards held by our NEOs at the end of fiscal 2021, which ended on December 25, 2021.</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80" w:type="dxa"/>
            <w:vAlign w:val="bottom"/>
            <w:tcBorders>
              <w:bottom w:val="single" w:sz="8" w:color="2D53A6"/>
              <w:right w:val="single" w:sz="8" w:color="auto"/>
            </w:tcBorders>
            <w:shd w:val="clear" w:color="auto" w:fill="2D53A6"/>
          </w:tcPr>
          <w:p>
            <w:pPr>
              <w:spacing w:after="0"/>
              <w:rPr>
                <w:sz w:val="18"/>
                <w:szCs w:val="18"/>
                <w:color w:val="auto"/>
              </w:rPr>
            </w:pPr>
          </w:p>
        </w:tc>
        <w:tc>
          <w:tcPr>
            <w:tcW w:w="2680" w:type="dxa"/>
            <w:vAlign w:val="bottom"/>
            <w:tcBorders>
              <w:bottom w:val="single" w:sz="8" w:color="auto"/>
            </w:tcBorders>
            <w:gridSpan w:val="3"/>
            <w:shd w:val="clear" w:color="auto" w:fill="2D53A6"/>
          </w:tcPr>
          <w:p>
            <w:pPr>
              <w:jc w:val="center"/>
              <w:ind w:left="992"/>
              <w:spacing w:after="0"/>
              <w:rPr>
                <w:sz w:val="20"/>
                <w:szCs w:val="20"/>
                <w:color w:val="auto"/>
              </w:rPr>
            </w:pPr>
            <w:r>
              <w:rPr>
                <w:rFonts w:ascii="Arial" w:cs="Arial" w:eastAsia="Arial" w:hAnsi="Arial"/>
                <w:sz w:val="18"/>
                <w:szCs w:val="18"/>
                <w:b w:val="1"/>
                <w:bCs w:val="1"/>
                <w:color w:val="FFFFFF"/>
                <w:w w:val="98"/>
              </w:rPr>
              <w:t>OPTION AWARDS</w:t>
            </w:r>
          </w:p>
        </w:tc>
        <w:tc>
          <w:tcPr>
            <w:tcW w:w="1080" w:type="dxa"/>
            <w:vAlign w:val="bottom"/>
            <w:tcBorders>
              <w:bottom w:val="single" w:sz="8" w:color="auto"/>
              <w:right w:val="single" w:sz="8" w:color="auto"/>
            </w:tcBorders>
            <w:shd w:val="clear" w:color="auto" w:fill="2D53A6"/>
          </w:tcPr>
          <w:p>
            <w:pPr>
              <w:spacing w:after="0"/>
              <w:rPr>
                <w:sz w:val="18"/>
                <w:szCs w:val="18"/>
                <w:color w:val="auto"/>
              </w:rPr>
            </w:pPr>
          </w:p>
        </w:tc>
        <w:tc>
          <w:tcPr>
            <w:tcW w:w="1280" w:type="dxa"/>
            <w:vAlign w:val="bottom"/>
            <w:tcBorders>
              <w:bottom w:val="single" w:sz="8" w:color="auto"/>
              <w:right w:val="single" w:sz="8" w:color="2D53A6"/>
            </w:tcBorders>
            <w:shd w:val="clear" w:color="auto" w:fill="2D53A6"/>
          </w:tcPr>
          <w:p>
            <w:pPr>
              <w:spacing w:after="0"/>
              <w:rPr>
                <w:sz w:val="18"/>
                <w:szCs w:val="18"/>
                <w:color w:val="auto"/>
              </w:rPr>
            </w:pPr>
          </w:p>
        </w:tc>
        <w:tc>
          <w:tcPr>
            <w:tcW w:w="520" w:type="dxa"/>
            <w:vAlign w:val="bottom"/>
            <w:tcBorders>
              <w:bottom w:val="single" w:sz="8" w:color="auto"/>
            </w:tcBorders>
            <w:shd w:val="clear" w:color="auto" w:fill="2D53A6"/>
          </w:tcPr>
          <w:p>
            <w:pPr>
              <w:spacing w:after="0"/>
              <w:rPr>
                <w:sz w:val="18"/>
                <w:szCs w:val="18"/>
                <w:color w:val="auto"/>
              </w:rPr>
            </w:pPr>
          </w:p>
        </w:tc>
        <w:tc>
          <w:tcPr>
            <w:tcW w:w="40" w:type="dxa"/>
            <w:vAlign w:val="bottom"/>
            <w:tcBorders>
              <w:bottom w:val="single" w:sz="8" w:color="auto"/>
            </w:tcBorders>
            <w:shd w:val="clear" w:color="auto" w:fill="2D53A6"/>
          </w:tcPr>
          <w:p>
            <w:pPr>
              <w:spacing w:after="0"/>
              <w:rPr>
                <w:sz w:val="18"/>
                <w:szCs w:val="18"/>
                <w:color w:val="auto"/>
              </w:rPr>
            </w:pPr>
          </w:p>
        </w:tc>
        <w:tc>
          <w:tcPr>
            <w:tcW w:w="500" w:type="dxa"/>
            <w:vAlign w:val="bottom"/>
            <w:tcBorders>
              <w:bottom w:val="single" w:sz="8" w:color="auto"/>
            </w:tcBorders>
            <w:shd w:val="clear" w:color="auto" w:fill="2D53A6"/>
          </w:tcPr>
          <w:p>
            <w:pPr>
              <w:spacing w:after="0"/>
              <w:rPr>
                <w:sz w:val="18"/>
                <w:szCs w:val="18"/>
                <w:color w:val="auto"/>
              </w:rPr>
            </w:pPr>
          </w:p>
        </w:tc>
        <w:tc>
          <w:tcPr>
            <w:tcW w:w="1500" w:type="dxa"/>
            <w:vAlign w:val="bottom"/>
            <w:tcBorders>
              <w:bottom w:val="single" w:sz="8" w:color="auto"/>
            </w:tcBorders>
            <w:gridSpan w:val="3"/>
            <w:shd w:val="clear" w:color="auto" w:fill="2D53A6"/>
          </w:tcPr>
          <w:p>
            <w:pPr>
              <w:ind w:left="40"/>
              <w:spacing w:after="0"/>
              <w:rPr>
                <w:sz w:val="20"/>
                <w:szCs w:val="20"/>
                <w:color w:val="auto"/>
              </w:rPr>
            </w:pPr>
            <w:r>
              <w:rPr>
                <w:rFonts w:ascii="Arial" w:cs="Arial" w:eastAsia="Arial" w:hAnsi="Arial"/>
                <w:sz w:val="18"/>
                <w:szCs w:val="18"/>
                <w:b w:val="1"/>
                <w:bCs w:val="1"/>
                <w:color w:val="FFFFFF"/>
                <w:w w:val="96"/>
              </w:rPr>
              <w:t>STOCK AWARDS</w:t>
            </w:r>
          </w:p>
        </w:tc>
        <w:tc>
          <w:tcPr>
            <w:tcW w:w="1200" w:type="dxa"/>
            <w:vAlign w:val="bottom"/>
            <w:tcBorders>
              <w:bottom w:val="single" w:sz="8" w:color="auto"/>
              <w:right w:val="single" w:sz="8" w:color="2D53A6"/>
            </w:tcBorders>
            <w:shd w:val="clear" w:color="auto" w:fill="2D53A6"/>
          </w:tcPr>
          <w:p>
            <w:pPr>
              <w:spacing w:after="0"/>
              <w:rPr>
                <w:sz w:val="18"/>
                <w:szCs w:val="18"/>
                <w:color w:val="auto"/>
              </w:rPr>
            </w:pPr>
          </w:p>
        </w:tc>
        <w:tc>
          <w:tcPr>
            <w:tcW w:w="1160" w:type="dxa"/>
            <w:vAlign w:val="bottom"/>
            <w:tcBorders>
              <w:bottom w:val="single" w:sz="8" w:color="auto"/>
            </w:tcBorders>
            <w:shd w:val="clear" w:color="auto" w:fill="2D53A6"/>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280" w:type="dxa"/>
            <w:vAlign w:val="bottom"/>
            <w:tcBorders>
              <w:right w:val="single" w:sz="8" w:color="auto"/>
            </w:tcBorders>
            <w:shd w:val="clear" w:color="auto" w:fill="2D53A6"/>
          </w:tcPr>
          <w:p>
            <w:pPr>
              <w:spacing w:after="0"/>
              <w:rPr>
                <w:sz w:val="16"/>
                <w:szCs w:val="16"/>
                <w:color w:val="auto"/>
              </w:rPr>
            </w:pPr>
          </w:p>
        </w:tc>
        <w:tc>
          <w:tcPr>
            <w:tcW w:w="1280" w:type="dxa"/>
            <w:vAlign w:val="bottom"/>
            <w:tcBorders>
              <w:right w:val="single" w:sz="8" w:color="auto"/>
            </w:tcBorders>
            <w:shd w:val="clear" w:color="auto" w:fill="2D53A6"/>
          </w:tcPr>
          <w:p>
            <w:pPr>
              <w:spacing w:after="0"/>
              <w:rPr>
                <w:sz w:val="16"/>
                <w:szCs w:val="16"/>
                <w:color w:val="auto"/>
              </w:rPr>
            </w:pPr>
          </w:p>
        </w:tc>
        <w:tc>
          <w:tcPr>
            <w:tcW w:w="1240" w:type="dxa"/>
            <w:vAlign w:val="bottom"/>
            <w:tcBorders>
              <w:right w:val="single" w:sz="8" w:color="auto"/>
            </w:tcBorders>
            <w:shd w:val="clear" w:color="auto" w:fill="2D53A6"/>
          </w:tcPr>
          <w:p>
            <w:pPr>
              <w:spacing w:after="0"/>
              <w:rPr>
                <w:sz w:val="16"/>
                <w:szCs w:val="16"/>
                <w:color w:val="auto"/>
              </w:rPr>
            </w:pPr>
          </w:p>
        </w:tc>
        <w:tc>
          <w:tcPr>
            <w:tcW w:w="160" w:type="dxa"/>
            <w:vAlign w:val="bottom"/>
            <w:shd w:val="clear" w:color="auto" w:fill="2D53A6"/>
          </w:tcPr>
          <w:p>
            <w:pPr>
              <w:spacing w:after="0"/>
              <w:rPr>
                <w:sz w:val="16"/>
                <w:szCs w:val="16"/>
                <w:color w:val="auto"/>
              </w:rPr>
            </w:pPr>
          </w:p>
        </w:tc>
        <w:tc>
          <w:tcPr>
            <w:tcW w:w="1080" w:type="dxa"/>
            <w:vAlign w:val="bottom"/>
            <w:tcBorders>
              <w:right w:val="single" w:sz="8" w:color="auto"/>
            </w:tcBorders>
            <w:shd w:val="clear" w:color="auto" w:fill="2D53A6"/>
          </w:tcPr>
          <w:p>
            <w:pPr>
              <w:spacing w:after="0"/>
              <w:rPr>
                <w:sz w:val="16"/>
                <w:szCs w:val="16"/>
                <w:color w:val="auto"/>
              </w:rPr>
            </w:pPr>
          </w:p>
        </w:tc>
        <w:tc>
          <w:tcPr>
            <w:tcW w:w="1280" w:type="dxa"/>
            <w:vAlign w:val="bottom"/>
            <w:tcBorders>
              <w:right w:val="single" w:sz="8" w:color="auto"/>
            </w:tcBorders>
            <w:shd w:val="clear" w:color="auto" w:fill="2D53A6"/>
          </w:tcPr>
          <w:p>
            <w:pPr>
              <w:spacing w:after="0"/>
              <w:rPr>
                <w:sz w:val="16"/>
                <w:szCs w:val="16"/>
                <w:color w:val="auto"/>
              </w:rPr>
            </w:pPr>
          </w:p>
        </w:tc>
        <w:tc>
          <w:tcPr>
            <w:tcW w:w="520" w:type="dxa"/>
            <w:vAlign w:val="bottom"/>
            <w:shd w:val="clear" w:color="auto" w:fill="2D53A6"/>
          </w:tcPr>
          <w:p>
            <w:pPr>
              <w:spacing w:after="0"/>
              <w:rPr>
                <w:sz w:val="16"/>
                <w:szCs w:val="16"/>
                <w:color w:val="auto"/>
              </w:rPr>
            </w:pPr>
          </w:p>
        </w:tc>
        <w:tc>
          <w:tcPr>
            <w:tcW w:w="40" w:type="dxa"/>
            <w:vAlign w:val="bottom"/>
            <w:shd w:val="clear" w:color="auto" w:fill="2D53A6"/>
          </w:tcPr>
          <w:p>
            <w:pPr>
              <w:spacing w:after="0"/>
              <w:rPr>
                <w:sz w:val="16"/>
                <w:szCs w:val="16"/>
                <w:color w:val="auto"/>
              </w:rPr>
            </w:pPr>
          </w:p>
        </w:tc>
        <w:tc>
          <w:tcPr>
            <w:tcW w:w="500" w:type="dxa"/>
            <w:vAlign w:val="bottom"/>
            <w:shd w:val="clear" w:color="auto" w:fill="2D53A6"/>
          </w:tcPr>
          <w:p>
            <w:pPr>
              <w:spacing w:after="0"/>
              <w:rPr>
                <w:sz w:val="16"/>
                <w:szCs w:val="16"/>
                <w:color w:val="auto"/>
              </w:rPr>
            </w:pPr>
          </w:p>
        </w:tc>
        <w:tc>
          <w:tcPr>
            <w:tcW w:w="180" w:type="dxa"/>
            <w:vAlign w:val="bottom"/>
            <w:tcBorders>
              <w:right w:val="single" w:sz="8" w:color="auto"/>
            </w:tcBorders>
            <w:shd w:val="clear" w:color="auto" w:fill="2D53A6"/>
          </w:tcPr>
          <w:p>
            <w:pPr>
              <w:spacing w:after="0"/>
              <w:rPr>
                <w:sz w:val="16"/>
                <w:szCs w:val="16"/>
                <w:color w:val="auto"/>
              </w:rPr>
            </w:pPr>
          </w:p>
        </w:tc>
        <w:tc>
          <w:tcPr>
            <w:tcW w:w="1280" w:type="dxa"/>
            <w:vAlign w:val="bottom"/>
            <w:tcBorders>
              <w:right w:val="single" w:sz="8" w:color="auto"/>
            </w:tcBorders>
            <w:shd w:val="clear" w:color="auto" w:fill="2D53A6"/>
          </w:tcPr>
          <w:p>
            <w:pPr>
              <w:spacing w:after="0"/>
              <w:rPr>
                <w:sz w:val="16"/>
                <w:szCs w:val="16"/>
                <w:color w:val="auto"/>
              </w:rPr>
            </w:pPr>
          </w:p>
        </w:tc>
        <w:tc>
          <w:tcPr>
            <w:tcW w:w="40" w:type="dxa"/>
            <w:vAlign w:val="bottom"/>
            <w:shd w:val="clear" w:color="auto" w:fill="2D53A6"/>
          </w:tcPr>
          <w:p>
            <w:pPr>
              <w:spacing w:after="0"/>
              <w:rPr>
                <w:sz w:val="16"/>
                <w:szCs w:val="16"/>
                <w:color w:val="auto"/>
              </w:rPr>
            </w:pPr>
          </w:p>
        </w:tc>
        <w:tc>
          <w:tcPr>
            <w:tcW w:w="1200" w:type="dxa"/>
            <w:vAlign w:val="bottom"/>
            <w:tcBorders>
              <w:right w:val="single" w:sz="8" w:color="auto"/>
            </w:tcBorders>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94"/>
              </w:rPr>
              <w:t>Equity</w:t>
            </w:r>
          </w:p>
        </w:tc>
        <w:tc>
          <w:tcPr>
            <w:tcW w:w="1160" w:type="dxa"/>
            <w:vAlign w:val="bottom"/>
            <w:shd w:val="clear" w:color="auto" w:fill="2D53A6"/>
          </w:tcPr>
          <w:p>
            <w:pPr>
              <w:jc w:val="center"/>
              <w:spacing w:after="0" w:line="191" w:lineRule="exact"/>
              <w:rPr>
                <w:sz w:val="20"/>
                <w:szCs w:val="20"/>
                <w:color w:val="auto"/>
              </w:rPr>
            </w:pPr>
            <w:r>
              <w:rPr>
                <w:rFonts w:ascii="Arial" w:cs="Arial" w:eastAsia="Arial" w:hAnsi="Arial"/>
                <w:sz w:val="18"/>
                <w:szCs w:val="18"/>
                <w:b w:val="1"/>
                <w:bCs w:val="1"/>
                <w:color w:val="FFFFFF"/>
                <w:w w:val="94"/>
              </w:rPr>
              <w:t>Equity</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1280" w:type="dxa"/>
            <w:vAlign w:val="bottom"/>
            <w:tcBorders>
              <w:right w:val="single" w:sz="8" w:color="auto"/>
            </w:tcBorders>
            <w:shd w:val="clear" w:color="auto" w:fill="2D53A6"/>
          </w:tcPr>
          <w:p>
            <w:pPr>
              <w:spacing w:after="0"/>
              <w:rPr>
                <w:sz w:val="9"/>
                <w:szCs w:val="9"/>
                <w:color w:val="auto"/>
              </w:rPr>
            </w:pPr>
          </w:p>
        </w:tc>
        <w:tc>
          <w:tcPr>
            <w:tcW w:w="1280" w:type="dxa"/>
            <w:vAlign w:val="bottom"/>
            <w:tcBorders>
              <w:right w:val="single" w:sz="8" w:color="auto"/>
            </w:tcBorders>
            <w:shd w:val="clear" w:color="auto" w:fill="2D53A6"/>
          </w:tcPr>
          <w:p>
            <w:pPr>
              <w:spacing w:after="0"/>
              <w:rPr>
                <w:sz w:val="9"/>
                <w:szCs w:val="9"/>
                <w:color w:val="auto"/>
              </w:rPr>
            </w:pPr>
          </w:p>
        </w:tc>
        <w:tc>
          <w:tcPr>
            <w:tcW w:w="1240" w:type="dxa"/>
            <w:vAlign w:val="bottom"/>
            <w:tcBorders>
              <w:right w:val="single" w:sz="8" w:color="auto"/>
            </w:tcBorders>
            <w:shd w:val="clear" w:color="auto" w:fill="2D53A6"/>
          </w:tcPr>
          <w:p>
            <w:pPr>
              <w:spacing w:after="0"/>
              <w:rPr>
                <w:sz w:val="9"/>
                <w:szCs w:val="9"/>
                <w:color w:val="auto"/>
              </w:rPr>
            </w:pPr>
          </w:p>
        </w:tc>
        <w:tc>
          <w:tcPr>
            <w:tcW w:w="160" w:type="dxa"/>
            <w:vAlign w:val="bottom"/>
            <w:shd w:val="clear" w:color="auto" w:fill="2D53A6"/>
          </w:tcPr>
          <w:p>
            <w:pPr>
              <w:spacing w:after="0"/>
              <w:rPr>
                <w:sz w:val="9"/>
                <w:szCs w:val="9"/>
                <w:color w:val="auto"/>
              </w:rPr>
            </w:pPr>
          </w:p>
        </w:tc>
        <w:tc>
          <w:tcPr>
            <w:tcW w:w="1080" w:type="dxa"/>
            <w:vAlign w:val="bottom"/>
            <w:tcBorders>
              <w:right w:val="single" w:sz="8" w:color="auto"/>
            </w:tcBorders>
            <w:shd w:val="clear" w:color="auto" w:fill="2D53A6"/>
          </w:tcPr>
          <w:p>
            <w:pPr>
              <w:spacing w:after="0"/>
              <w:rPr>
                <w:sz w:val="9"/>
                <w:szCs w:val="9"/>
                <w:color w:val="auto"/>
              </w:rPr>
            </w:pPr>
          </w:p>
        </w:tc>
        <w:tc>
          <w:tcPr>
            <w:tcW w:w="1280" w:type="dxa"/>
            <w:vAlign w:val="bottom"/>
            <w:tcBorders>
              <w:right w:val="single" w:sz="8" w:color="auto"/>
            </w:tcBorders>
            <w:shd w:val="clear" w:color="auto" w:fill="2D53A6"/>
          </w:tcPr>
          <w:p>
            <w:pPr>
              <w:spacing w:after="0"/>
              <w:rPr>
                <w:sz w:val="9"/>
                <w:szCs w:val="9"/>
                <w:color w:val="auto"/>
              </w:rPr>
            </w:pPr>
          </w:p>
        </w:tc>
        <w:tc>
          <w:tcPr>
            <w:tcW w:w="520" w:type="dxa"/>
            <w:vAlign w:val="bottom"/>
            <w:shd w:val="clear" w:color="auto" w:fill="2D53A6"/>
          </w:tcPr>
          <w:p>
            <w:pPr>
              <w:spacing w:after="0"/>
              <w:rPr>
                <w:sz w:val="9"/>
                <w:szCs w:val="9"/>
                <w:color w:val="auto"/>
              </w:rPr>
            </w:pPr>
          </w:p>
        </w:tc>
        <w:tc>
          <w:tcPr>
            <w:tcW w:w="40" w:type="dxa"/>
            <w:vAlign w:val="bottom"/>
            <w:shd w:val="clear" w:color="auto" w:fill="2D53A6"/>
          </w:tcPr>
          <w:p>
            <w:pPr>
              <w:spacing w:after="0"/>
              <w:rPr>
                <w:sz w:val="9"/>
                <w:szCs w:val="9"/>
                <w:color w:val="auto"/>
              </w:rPr>
            </w:pPr>
          </w:p>
        </w:tc>
        <w:tc>
          <w:tcPr>
            <w:tcW w:w="500" w:type="dxa"/>
            <w:vAlign w:val="bottom"/>
            <w:shd w:val="clear" w:color="auto" w:fill="2D53A6"/>
          </w:tcPr>
          <w:p>
            <w:pPr>
              <w:spacing w:after="0"/>
              <w:rPr>
                <w:sz w:val="9"/>
                <w:szCs w:val="9"/>
                <w:color w:val="auto"/>
              </w:rPr>
            </w:pPr>
          </w:p>
        </w:tc>
        <w:tc>
          <w:tcPr>
            <w:tcW w:w="180" w:type="dxa"/>
            <w:vAlign w:val="bottom"/>
            <w:tcBorders>
              <w:right w:val="single" w:sz="8" w:color="auto"/>
            </w:tcBorders>
            <w:shd w:val="clear" w:color="auto" w:fill="2D53A6"/>
          </w:tcPr>
          <w:p>
            <w:pPr>
              <w:spacing w:after="0"/>
              <w:rPr>
                <w:sz w:val="9"/>
                <w:szCs w:val="9"/>
                <w:color w:val="auto"/>
              </w:rPr>
            </w:pPr>
          </w:p>
        </w:tc>
        <w:tc>
          <w:tcPr>
            <w:tcW w:w="1280" w:type="dxa"/>
            <w:vAlign w:val="bottom"/>
            <w:tcBorders>
              <w:right w:val="single" w:sz="8" w:color="auto"/>
            </w:tcBorders>
            <w:shd w:val="clear" w:color="auto" w:fill="2D53A6"/>
          </w:tcPr>
          <w:p>
            <w:pPr>
              <w:spacing w:after="0"/>
              <w:rPr>
                <w:sz w:val="9"/>
                <w:szCs w:val="9"/>
                <w:color w:val="auto"/>
              </w:rPr>
            </w:pPr>
          </w:p>
        </w:tc>
        <w:tc>
          <w:tcPr>
            <w:tcW w:w="40" w:type="dxa"/>
            <w:vAlign w:val="bottom"/>
            <w:shd w:val="clear" w:color="auto" w:fill="2D53A6"/>
          </w:tcPr>
          <w:p>
            <w:pPr>
              <w:spacing w:after="0"/>
              <w:rPr>
                <w:sz w:val="9"/>
                <w:szCs w:val="9"/>
                <w:color w:val="auto"/>
              </w:rPr>
            </w:pPr>
          </w:p>
        </w:tc>
        <w:tc>
          <w:tcPr>
            <w:tcW w:w="1200" w:type="dxa"/>
            <w:vAlign w:val="bottom"/>
            <w:tcBorders>
              <w:right w:val="single" w:sz="8" w:color="auto"/>
            </w:tcBorders>
            <w:vMerge w:val="continue"/>
            <w:shd w:val="clear" w:color="auto" w:fill="2D53A6"/>
          </w:tcPr>
          <w:p>
            <w:pPr>
              <w:spacing w:after="0"/>
              <w:rPr>
                <w:sz w:val="9"/>
                <w:szCs w:val="9"/>
                <w:color w:val="auto"/>
              </w:rPr>
            </w:pPr>
          </w:p>
        </w:tc>
        <w:tc>
          <w:tcPr>
            <w:tcW w:w="1160" w:type="dxa"/>
            <w:vAlign w:val="bottom"/>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89"/>
              </w:rPr>
              <w:t>Incentive</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80" w:type="dxa"/>
            <w:vAlign w:val="bottom"/>
            <w:tcBorders>
              <w:right w:val="single" w:sz="8" w:color="auto"/>
            </w:tcBorders>
            <w:shd w:val="clear" w:color="auto" w:fill="2D53A6"/>
          </w:tcPr>
          <w:p>
            <w:pPr>
              <w:spacing w:after="0"/>
              <w:rPr>
                <w:sz w:val="9"/>
                <w:szCs w:val="9"/>
                <w:color w:val="auto"/>
              </w:rPr>
            </w:pPr>
          </w:p>
        </w:tc>
        <w:tc>
          <w:tcPr>
            <w:tcW w:w="1280" w:type="dxa"/>
            <w:vAlign w:val="bottom"/>
            <w:tcBorders>
              <w:right w:val="single" w:sz="8" w:color="auto"/>
            </w:tcBorders>
            <w:shd w:val="clear" w:color="auto" w:fill="2D53A6"/>
          </w:tcPr>
          <w:p>
            <w:pPr>
              <w:spacing w:after="0"/>
              <w:rPr>
                <w:sz w:val="9"/>
                <w:szCs w:val="9"/>
                <w:color w:val="auto"/>
              </w:rPr>
            </w:pPr>
          </w:p>
        </w:tc>
        <w:tc>
          <w:tcPr>
            <w:tcW w:w="1240" w:type="dxa"/>
            <w:vAlign w:val="bottom"/>
            <w:tcBorders>
              <w:right w:val="single" w:sz="8" w:color="auto"/>
            </w:tcBorders>
            <w:shd w:val="clear" w:color="auto" w:fill="2D53A6"/>
          </w:tcPr>
          <w:p>
            <w:pPr>
              <w:spacing w:after="0"/>
              <w:rPr>
                <w:sz w:val="9"/>
                <w:szCs w:val="9"/>
                <w:color w:val="auto"/>
              </w:rPr>
            </w:pPr>
          </w:p>
        </w:tc>
        <w:tc>
          <w:tcPr>
            <w:tcW w:w="160" w:type="dxa"/>
            <w:vAlign w:val="bottom"/>
            <w:shd w:val="clear" w:color="auto" w:fill="2D53A6"/>
          </w:tcPr>
          <w:p>
            <w:pPr>
              <w:spacing w:after="0"/>
              <w:rPr>
                <w:sz w:val="9"/>
                <w:szCs w:val="9"/>
                <w:color w:val="auto"/>
              </w:rPr>
            </w:pPr>
          </w:p>
        </w:tc>
        <w:tc>
          <w:tcPr>
            <w:tcW w:w="1080" w:type="dxa"/>
            <w:vAlign w:val="bottom"/>
            <w:tcBorders>
              <w:right w:val="single" w:sz="8" w:color="auto"/>
            </w:tcBorders>
            <w:shd w:val="clear" w:color="auto" w:fill="2D53A6"/>
          </w:tcPr>
          <w:p>
            <w:pPr>
              <w:spacing w:after="0"/>
              <w:rPr>
                <w:sz w:val="9"/>
                <w:szCs w:val="9"/>
                <w:color w:val="auto"/>
              </w:rPr>
            </w:pPr>
          </w:p>
        </w:tc>
        <w:tc>
          <w:tcPr>
            <w:tcW w:w="1280" w:type="dxa"/>
            <w:vAlign w:val="bottom"/>
            <w:tcBorders>
              <w:right w:val="single" w:sz="8" w:color="auto"/>
            </w:tcBorders>
            <w:shd w:val="clear" w:color="auto" w:fill="2D53A6"/>
          </w:tcPr>
          <w:p>
            <w:pPr>
              <w:spacing w:after="0"/>
              <w:rPr>
                <w:sz w:val="9"/>
                <w:szCs w:val="9"/>
                <w:color w:val="auto"/>
              </w:rPr>
            </w:pPr>
          </w:p>
        </w:tc>
        <w:tc>
          <w:tcPr>
            <w:tcW w:w="520" w:type="dxa"/>
            <w:vAlign w:val="bottom"/>
            <w:shd w:val="clear" w:color="auto" w:fill="2D53A6"/>
          </w:tcPr>
          <w:p>
            <w:pPr>
              <w:spacing w:after="0"/>
              <w:rPr>
                <w:sz w:val="9"/>
                <w:szCs w:val="9"/>
                <w:color w:val="auto"/>
              </w:rPr>
            </w:pPr>
          </w:p>
        </w:tc>
        <w:tc>
          <w:tcPr>
            <w:tcW w:w="40" w:type="dxa"/>
            <w:vAlign w:val="bottom"/>
            <w:shd w:val="clear" w:color="auto" w:fill="2D53A6"/>
          </w:tcPr>
          <w:p>
            <w:pPr>
              <w:spacing w:after="0"/>
              <w:rPr>
                <w:sz w:val="9"/>
                <w:szCs w:val="9"/>
                <w:color w:val="auto"/>
              </w:rPr>
            </w:pPr>
          </w:p>
        </w:tc>
        <w:tc>
          <w:tcPr>
            <w:tcW w:w="500" w:type="dxa"/>
            <w:vAlign w:val="bottom"/>
            <w:shd w:val="clear" w:color="auto" w:fill="2D53A6"/>
          </w:tcPr>
          <w:p>
            <w:pPr>
              <w:spacing w:after="0"/>
              <w:rPr>
                <w:sz w:val="9"/>
                <w:szCs w:val="9"/>
                <w:color w:val="auto"/>
              </w:rPr>
            </w:pPr>
          </w:p>
        </w:tc>
        <w:tc>
          <w:tcPr>
            <w:tcW w:w="180" w:type="dxa"/>
            <w:vAlign w:val="bottom"/>
            <w:tcBorders>
              <w:right w:val="single" w:sz="8" w:color="auto"/>
            </w:tcBorders>
            <w:shd w:val="clear" w:color="auto" w:fill="2D53A6"/>
          </w:tcPr>
          <w:p>
            <w:pPr>
              <w:spacing w:after="0"/>
              <w:rPr>
                <w:sz w:val="9"/>
                <w:szCs w:val="9"/>
                <w:color w:val="auto"/>
              </w:rPr>
            </w:pPr>
          </w:p>
        </w:tc>
        <w:tc>
          <w:tcPr>
            <w:tcW w:w="1280" w:type="dxa"/>
            <w:vAlign w:val="bottom"/>
            <w:tcBorders>
              <w:right w:val="single" w:sz="8" w:color="auto"/>
            </w:tcBorders>
            <w:shd w:val="clear" w:color="auto" w:fill="2D53A6"/>
          </w:tcPr>
          <w:p>
            <w:pPr>
              <w:spacing w:after="0"/>
              <w:rPr>
                <w:sz w:val="9"/>
                <w:szCs w:val="9"/>
                <w:color w:val="auto"/>
              </w:rPr>
            </w:pPr>
          </w:p>
        </w:tc>
        <w:tc>
          <w:tcPr>
            <w:tcW w:w="40" w:type="dxa"/>
            <w:vAlign w:val="bottom"/>
            <w:shd w:val="clear" w:color="auto" w:fill="2D53A6"/>
          </w:tcPr>
          <w:p>
            <w:pPr>
              <w:spacing w:after="0"/>
              <w:rPr>
                <w:sz w:val="9"/>
                <w:szCs w:val="9"/>
                <w:color w:val="auto"/>
              </w:rPr>
            </w:pPr>
          </w:p>
        </w:tc>
        <w:tc>
          <w:tcPr>
            <w:tcW w:w="1200" w:type="dxa"/>
            <w:vAlign w:val="bottom"/>
            <w:tcBorders>
              <w:right w:val="single" w:sz="8" w:color="auto"/>
            </w:tcBorders>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92"/>
              </w:rPr>
              <w:t>Incentive</w:t>
            </w:r>
          </w:p>
        </w:tc>
        <w:tc>
          <w:tcPr>
            <w:tcW w:w="1160" w:type="dxa"/>
            <w:vAlign w:val="bottom"/>
            <w:vMerge w:val="continue"/>
            <w:shd w:val="clear" w:color="auto" w:fill="2D53A6"/>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80" w:type="dxa"/>
            <w:vAlign w:val="bottom"/>
            <w:tcBorders>
              <w:right w:val="single" w:sz="8" w:color="auto"/>
            </w:tcBorders>
            <w:shd w:val="clear" w:color="auto" w:fill="2D53A6"/>
          </w:tcPr>
          <w:p>
            <w:pPr>
              <w:spacing w:after="0"/>
              <w:rPr>
                <w:sz w:val="9"/>
                <w:szCs w:val="9"/>
                <w:color w:val="auto"/>
              </w:rPr>
            </w:pPr>
          </w:p>
        </w:tc>
        <w:tc>
          <w:tcPr>
            <w:tcW w:w="1280" w:type="dxa"/>
            <w:vAlign w:val="bottom"/>
            <w:tcBorders>
              <w:right w:val="single" w:sz="8" w:color="auto"/>
            </w:tcBorders>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93"/>
              </w:rPr>
              <w:t>Number of</w:t>
            </w:r>
          </w:p>
        </w:tc>
        <w:tc>
          <w:tcPr>
            <w:tcW w:w="1240" w:type="dxa"/>
            <w:vAlign w:val="bottom"/>
            <w:tcBorders>
              <w:right w:val="single" w:sz="8" w:color="auto"/>
            </w:tcBorders>
            <w:shd w:val="clear" w:color="auto" w:fill="2D53A6"/>
          </w:tcPr>
          <w:p>
            <w:pPr>
              <w:spacing w:after="0"/>
              <w:rPr>
                <w:sz w:val="9"/>
                <w:szCs w:val="9"/>
                <w:color w:val="auto"/>
              </w:rPr>
            </w:pPr>
          </w:p>
        </w:tc>
        <w:tc>
          <w:tcPr>
            <w:tcW w:w="160" w:type="dxa"/>
            <w:vAlign w:val="bottom"/>
            <w:shd w:val="clear" w:color="auto" w:fill="2D53A6"/>
          </w:tcPr>
          <w:p>
            <w:pPr>
              <w:spacing w:after="0"/>
              <w:rPr>
                <w:sz w:val="9"/>
                <w:szCs w:val="9"/>
                <w:color w:val="auto"/>
              </w:rPr>
            </w:pPr>
          </w:p>
        </w:tc>
        <w:tc>
          <w:tcPr>
            <w:tcW w:w="1080" w:type="dxa"/>
            <w:vAlign w:val="bottom"/>
            <w:tcBorders>
              <w:right w:val="single" w:sz="8" w:color="auto"/>
            </w:tcBorders>
            <w:shd w:val="clear" w:color="auto" w:fill="2D53A6"/>
          </w:tcPr>
          <w:p>
            <w:pPr>
              <w:spacing w:after="0"/>
              <w:rPr>
                <w:sz w:val="9"/>
                <w:szCs w:val="9"/>
                <w:color w:val="auto"/>
              </w:rPr>
            </w:pPr>
          </w:p>
        </w:tc>
        <w:tc>
          <w:tcPr>
            <w:tcW w:w="1280" w:type="dxa"/>
            <w:vAlign w:val="bottom"/>
            <w:tcBorders>
              <w:right w:val="single" w:sz="8" w:color="auto"/>
            </w:tcBorders>
            <w:shd w:val="clear" w:color="auto" w:fill="2D53A6"/>
          </w:tcPr>
          <w:p>
            <w:pPr>
              <w:spacing w:after="0"/>
              <w:rPr>
                <w:sz w:val="9"/>
                <w:szCs w:val="9"/>
                <w:color w:val="auto"/>
              </w:rPr>
            </w:pPr>
          </w:p>
        </w:tc>
        <w:tc>
          <w:tcPr>
            <w:tcW w:w="520" w:type="dxa"/>
            <w:vAlign w:val="bottom"/>
            <w:shd w:val="clear" w:color="auto" w:fill="2D53A6"/>
          </w:tcPr>
          <w:p>
            <w:pPr>
              <w:spacing w:after="0"/>
              <w:rPr>
                <w:sz w:val="9"/>
                <w:szCs w:val="9"/>
                <w:color w:val="auto"/>
              </w:rPr>
            </w:pPr>
          </w:p>
        </w:tc>
        <w:tc>
          <w:tcPr>
            <w:tcW w:w="40" w:type="dxa"/>
            <w:vAlign w:val="bottom"/>
            <w:shd w:val="clear" w:color="auto" w:fill="2D53A6"/>
          </w:tcPr>
          <w:p>
            <w:pPr>
              <w:spacing w:after="0"/>
              <w:rPr>
                <w:sz w:val="9"/>
                <w:szCs w:val="9"/>
                <w:color w:val="auto"/>
              </w:rPr>
            </w:pPr>
          </w:p>
        </w:tc>
        <w:tc>
          <w:tcPr>
            <w:tcW w:w="500" w:type="dxa"/>
            <w:vAlign w:val="bottom"/>
            <w:shd w:val="clear" w:color="auto" w:fill="2D53A6"/>
          </w:tcPr>
          <w:p>
            <w:pPr>
              <w:spacing w:after="0"/>
              <w:rPr>
                <w:sz w:val="9"/>
                <w:szCs w:val="9"/>
                <w:color w:val="auto"/>
              </w:rPr>
            </w:pPr>
          </w:p>
        </w:tc>
        <w:tc>
          <w:tcPr>
            <w:tcW w:w="180" w:type="dxa"/>
            <w:vAlign w:val="bottom"/>
            <w:tcBorders>
              <w:right w:val="single" w:sz="8" w:color="auto"/>
            </w:tcBorders>
            <w:shd w:val="clear" w:color="auto" w:fill="2D53A6"/>
          </w:tcPr>
          <w:p>
            <w:pPr>
              <w:spacing w:after="0"/>
              <w:rPr>
                <w:sz w:val="9"/>
                <w:szCs w:val="9"/>
                <w:color w:val="auto"/>
              </w:rPr>
            </w:pPr>
          </w:p>
        </w:tc>
        <w:tc>
          <w:tcPr>
            <w:tcW w:w="1280" w:type="dxa"/>
            <w:vAlign w:val="bottom"/>
            <w:tcBorders>
              <w:right w:val="single" w:sz="8" w:color="auto"/>
            </w:tcBorders>
            <w:shd w:val="clear" w:color="auto" w:fill="2D53A6"/>
          </w:tcPr>
          <w:p>
            <w:pPr>
              <w:spacing w:after="0"/>
              <w:rPr>
                <w:sz w:val="9"/>
                <w:szCs w:val="9"/>
                <w:color w:val="auto"/>
              </w:rPr>
            </w:pPr>
          </w:p>
        </w:tc>
        <w:tc>
          <w:tcPr>
            <w:tcW w:w="40" w:type="dxa"/>
            <w:vAlign w:val="bottom"/>
            <w:shd w:val="clear" w:color="auto" w:fill="2D53A6"/>
          </w:tcPr>
          <w:p>
            <w:pPr>
              <w:spacing w:after="0"/>
              <w:rPr>
                <w:sz w:val="9"/>
                <w:szCs w:val="9"/>
                <w:color w:val="auto"/>
              </w:rPr>
            </w:pPr>
          </w:p>
        </w:tc>
        <w:tc>
          <w:tcPr>
            <w:tcW w:w="1200" w:type="dxa"/>
            <w:vAlign w:val="bottom"/>
            <w:tcBorders>
              <w:right w:val="single" w:sz="8" w:color="auto"/>
            </w:tcBorders>
            <w:vMerge w:val="continue"/>
            <w:shd w:val="clear" w:color="auto" w:fill="2D53A6"/>
          </w:tcPr>
          <w:p>
            <w:pPr>
              <w:spacing w:after="0"/>
              <w:rPr>
                <w:sz w:val="9"/>
                <w:szCs w:val="9"/>
                <w:color w:val="auto"/>
              </w:rPr>
            </w:pPr>
          </w:p>
        </w:tc>
        <w:tc>
          <w:tcPr>
            <w:tcW w:w="1160" w:type="dxa"/>
            <w:vAlign w:val="bottom"/>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91"/>
              </w:rPr>
              <w:t>Plan Awards:</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1280" w:type="dxa"/>
            <w:vAlign w:val="bottom"/>
            <w:tcBorders>
              <w:right w:val="single" w:sz="8" w:color="auto"/>
            </w:tcBorders>
            <w:shd w:val="clear" w:color="auto" w:fill="2D53A6"/>
          </w:tcPr>
          <w:p>
            <w:pPr>
              <w:spacing w:after="0"/>
              <w:rPr>
                <w:sz w:val="15"/>
                <w:szCs w:val="15"/>
                <w:color w:val="auto"/>
              </w:rPr>
            </w:pPr>
          </w:p>
        </w:tc>
        <w:tc>
          <w:tcPr>
            <w:tcW w:w="1280" w:type="dxa"/>
            <w:vAlign w:val="bottom"/>
            <w:tcBorders>
              <w:right w:val="single" w:sz="8" w:color="auto"/>
            </w:tcBorders>
            <w:vMerge w:val="continue"/>
            <w:shd w:val="clear" w:color="auto" w:fill="2D53A6"/>
          </w:tcPr>
          <w:p>
            <w:pPr>
              <w:spacing w:after="0"/>
              <w:rPr>
                <w:sz w:val="15"/>
                <w:szCs w:val="15"/>
                <w:color w:val="auto"/>
              </w:rPr>
            </w:pPr>
          </w:p>
        </w:tc>
        <w:tc>
          <w:tcPr>
            <w:tcW w:w="1240" w:type="dxa"/>
            <w:vAlign w:val="bottom"/>
            <w:tcBorders>
              <w:right w:val="single" w:sz="8" w:color="auto"/>
            </w:tcBorders>
            <w:shd w:val="clear" w:color="auto" w:fill="2D53A6"/>
          </w:tcPr>
          <w:p>
            <w:pPr>
              <w:spacing w:after="0"/>
              <w:rPr>
                <w:sz w:val="15"/>
                <w:szCs w:val="15"/>
                <w:color w:val="auto"/>
              </w:rPr>
            </w:pPr>
          </w:p>
        </w:tc>
        <w:tc>
          <w:tcPr>
            <w:tcW w:w="160" w:type="dxa"/>
            <w:vAlign w:val="bottom"/>
            <w:shd w:val="clear" w:color="auto" w:fill="2D53A6"/>
          </w:tcPr>
          <w:p>
            <w:pPr>
              <w:spacing w:after="0"/>
              <w:rPr>
                <w:sz w:val="15"/>
                <w:szCs w:val="15"/>
                <w:color w:val="auto"/>
              </w:rPr>
            </w:pPr>
          </w:p>
        </w:tc>
        <w:tc>
          <w:tcPr>
            <w:tcW w:w="1080" w:type="dxa"/>
            <w:vAlign w:val="bottom"/>
            <w:tcBorders>
              <w:right w:val="single" w:sz="8" w:color="auto"/>
            </w:tcBorders>
            <w:shd w:val="clear" w:color="auto" w:fill="2D53A6"/>
          </w:tcPr>
          <w:p>
            <w:pPr>
              <w:spacing w:after="0"/>
              <w:rPr>
                <w:sz w:val="15"/>
                <w:szCs w:val="15"/>
                <w:color w:val="auto"/>
              </w:rPr>
            </w:pPr>
          </w:p>
        </w:tc>
        <w:tc>
          <w:tcPr>
            <w:tcW w:w="1280" w:type="dxa"/>
            <w:vAlign w:val="bottom"/>
            <w:tcBorders>
              <w:right w:val="single" w:sz="8" w:color="auto"/>
            </w:tcBorders>
            <w:shd w:val="clear" w:color="auto" w:fill="2D53A6"/>
          </w:tcPr>
          <w:p>
            <w:pPr>
              <w:spacing w:after="0"/>
              <w:rPr>
                <w:sz w:val="15"/>
                <w:szCs w:val="15"/>
                <w:color w:val="auto"/>
              </w:rPr>
            </w:pPr>
          </w:p>
        </w:tc>
        <w:tc>
          <w:tcPr>
            <w:tcW w:w="1060" w:type="dxa"/>
            <w:vAlign w:val="bottom"/>
            <w:gridSpan w:val="3"/>
            <w:shd w:val="clear" w:color="auto" w:fill="2D53A6"/>
          </w:tcPr>
          <w:p>
            <w:pPr>
              <w:jc w:val="center"/>
              <w:ind w:left="51"/>
              <w:spacing w:after="0" w:line="181" w:lineRule="exact"/>
              <w:rPr>
                <w:sz w:val="20"/>
                <w:szCs w:val="20"/>
                <w:color w:val="auto"/>
              </w:rPr>
            </w:pPr>
            <w:r>
              <w:rPr>
                <w:rFonts w:ascii="Arial" w:cs="Arial" w:eastAsia="Arial" w:hAnsi="Arial"/>
                <w:sz w:val="18"/>
                <w:szCs w:val="18"/>
                <w:b w:val="1"/>
                <w:bCs w:val="1"/>
                <w:color w:val="FFFFFF"/>
                <w:w w:val="94"/>
              </w:rPr>
              <w:t>Number</w:t>
            </w:r>
          </w:p>
        </w:tc>
        <w:tc>
          <w:tcPr>
            <w:tcW w:w="180" w:type="dxa"/>
            <w:vAlign w:val="bottom"/>
            <w:tcBorders>
              <w:right w:val="single" w:sz="8" w:color="auto"/>
            </w:tcBorders>
            <w:shd w:val="clear" w:color="auto" w:fill="2D53A6"/>
          </w:tcPr>
          <w:p>
            <w:pPr>
              <w:spacing w:after="0"/>
              <w:rPr>
                <w:sz w:val="15"/>
                <w:szCs w:val="15"/>
                <w:color w:val="auto"/>
              </w:rPr>
            </w:pPr>
          </w:p>
        </w:tc>
        <w:tc>
          <w:tcPr>
            <w:tcW w:w="1280" w:type="dxa"/>
            <w:vAlign w:val="bottom"/>
            <w:tcBorders>
              <w:right w:val="single" w:sz="8" w:color="auto"/>
            </w:tcBorders>
            <w:shd w:val="clear" w:color="auto" w:fill="2D53A6"/>
          </w:tcPr>
          <w:p>
            <w:pPr>
              <w:jc w:val="center"/>
              <w:spacing w:after="0" w:line="181" w:lineRule="exact"/>
              <w:rPr>
                <w:sz w:val="20"/>
                <w:szCs w:val="20"/>
                <w:color w:val="auto"/>
              </w:rPr>
            </w:pPr>
            <w:r>
              <w:rPr>
                <w:rFonts w:ascii="Arial" w:cs="Arial" w:eastAsia="Arial" w:hAnsi="Arial"/>
                <w:sz w:val="18"/>
                <w:szCs w:val="18"/>
                <w:b w:val="1"/>
                <w:bCs w:val="1"/>
                <w:color w:val="FFFFFF"/>
                <w:w w:val="95"/>
              </w:rPr>
              <w:t>Market Value</w:t>
            </w:r>
          </w:p>
        </w:tc>
        <w:tc>
          <w:tcPr>
            <w:tcW w:w="40" w:type="dxa"/>
            <w:vAlign w:val="bottom"/>
            <w:shd w:val="clear" w:color="auto" w:fill="2D53A6"/>
          </w:tcPr>
          <w:p>
            <w:pPr>
              <w:spacing w:after="0"/>
              <w:rPr>
                <w:sz w:val="15"/>
                <w:szCs w:val="15"/>
                <w:color w:val="auto"/>
              </w:rPr>
            </w:pPr>
          </w:p>
        </w:tc>
        <w:tc>
          <w:tcPr>
            <w:tcW w:w="1200" w:type="dxa"/>
            <w:vAlign w:val="bottom"/>
            <w:tcBorders>
              <w:right w:val="single" w:sz="8" w:color="auto"/>
            </w:tcBorders>
            <w:shd w:val="clear" w:color="auto" w:fill="2D53A6"/>
          </w:tcPr>
          <w:p>
            <w:pPr>
              <w:jc w:val="center"/>
              <w:spacing w:after="0" w:line="181" w:lineRule="exact"/>
              <w:rPr>
                <w:sz w:val="20"/>
                <w:szCs w:val="20"/>
                <w:color w:val="auto"/>
              </w:rPr>
            </w:pPr>
            <w:r>
              <w:rPr>
                <w:rFonts w:ascii="Arial" w:cs="Arial" w:eastAsia="Arial" w:hAnsi="Arial"/>
                <w:sz w:val="18"/>
                <w:szCs w:val="18"/>
                <w:b w:val="1"/>
                <w:bCs w:val="1"/>
                <w:color w:val="FFFFFF"/>
                <w:w w:val="91"/>
              </w:rPr>
              <w:t>Plan Awards:</w:t>
            </w:r>
          </w:p>
        </w:tc>
        <w:tc>
          <w:tcPr>
            <w:tcW w:w="1160" w:type="dxa"/>
            <w:vAlign w:val="bottom"/>
            <w:vMerge w:val="continue"/>
            <w:shd w:val="clear" w:color="auto" w:fill="2D53A6"/>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1280" w:type="dxa"/>
            <w:vAlign w:val="bottom"/>
            <w:tcBorders>
              <w:right w:val="single" w:sz="8" w:color="auto"/>
            </w:tcBorders>
            <w:shd w:val="clear" w:color="auto" w:fill="2D53A6"/>
          </w:tcPr>
          <w:p>
            <w:pPr>
              <w:spacing w:after="0"/>
              <w:rPr>
                <w:sz w:val="12"/>
                <w:szCs w:val="12"/>
                <w:color w:val="auto"/>
              </w:rPr>
            </w:pPr>
          </w:p>
        </w:tc>
        <w:tc>
          <w:tcPr>
            <w:tcW w:w="1280" w:type="dxa"/>
            <w:vAlign w:val="bottom"/>
            <w:tcBorders>
              <w:right w:val="single" w:sz="8" w:color="auto"/>
            </w:tcBorders>
            <w:shd w:val="clear" w:color="auto" w:fill="2D53A6"/>
          </w:tcPr>
          <w:p>
            <w:pPr>
              <w:jc w:val="center"/>
              <w:spacing w:after="0" w:line="144" w:lineRule="exact"/>
              <w:rPr>
                <w:sz w:val="20"/>
                <w:szCs w:val="20"/>
                <w:color w:val="auto"/>
              </w:rPr>
            </w:pPr>
            <w:r>
              <w:rPr>
                <w:rFonts w:ascii="Arial" w:cs="Arial" w:eastAsia="Arial" w:hAnsi="Arial"/>
                <w:sz w:val="16"/>
                <w:szCs w:val="16"/>
                <w:b w:val="1"/>
                <w:bCs w:val="1"/>
                <w:color w:val="FFFFFF"/>
                <w:w w:val="96"/>
              </w:rPr>
              <w:t>Securities</w:t>
            </w:r>
          </w:p>
        </w:tc>
        <w:tc>
          <w:tcPr>
            <w:tcW w:w="1240" w:type="dxa"/>
            <w:vAlign w:val="bottom"/>
            <w:tcBorders>
              <w:right w:val="single" w:sz="8" w:color="auto"/>
            </w:tcBorders>
            <w:shd w:val="clear" w:color="auto" w:fill="2D53A6"/>
          </w:tcPr>
          <w:p>
            <w:pPr>
              <w:spacing w:after="0"/>
              <w:rPr>
                <w:sz w:val="12"/>
                <w:szCs w:val="12"/>
                <w:color w:val="auto"/>
              </w:rPr>
            </w:pPr>
          </w:p>
        </w:tc>
        <w:tc>
          <w:tcPr>
            <w:tcW w:w="160" w:type="dxa"/>
            <w:vAlign w:val="bottom"/>
            <w:shd w:val="clear" w:color="auto" w:fill="2D53A6"/>
          </w:tcPr>
          <w:p>
            <w:pPr>
              <w:spacing w:after="0"/>
              <w:rPr>
                <w:sz w:val="12"/>
                <w:szCs w:val="12"/>
                <w:color w:val="auto"/>
              </w:rPr>
            </w:pPr>
          </w:p>
        </w:tc>
        <w:tc>
          <w:tcPr>
            <w:tcW w:w="1080" w:type="dxa"/>
            <w:vAlign w:val="bottom"/>
            <w:tcBorders>
              <w:right w:val="single" w:sz="8" w:color="auto"/>
            </w:tcBorders>
            <w:shd w:val="clear" w:color="auto" w:fill="2D53A6"/>
          </w:tcPr>
          <w:p>
            <w:pPr>
              <w:spacing w:after="0"/>
              <w:rPr>
                <w:sz w:val="12"/>
                <w:szCs w:val="12"/>
                <w:color w:val="auto"/>
              </w:rPr>
            </w:pPr>
          </w:p>
        </w:tc>
        <w:tc>
          <w:tcPr>
            <w:tcW w:w="1280" w:type="dxa"/>
            <w:vAlign w:val="bottom"/>
            <w:tcBorders>
              <w:right w:val="single" w:sz="8" w:color="auto"/>
            </w:tcBorders>
            <w:shd w:val="clear" w:color="auto" w:fill="2D53A6"/>
          </w:tcPr>
          <w:p>
            <w:pPr>
              <w:spacing w:after="0"/>
              <w:rPr>
                <w:sz w:val="12"/>
                <w:szCs w:val="12"/>
                <w:color w:val="auto"/>
              </w:rPr>
            </w:pPr>
          </w:p>
        </w:tc>
        <w:tc>
          <w:tcPr>
            <w:tcW w:w="1060" w:type="dxa"/>
            <w:vAlign w:val="bottom"/>
            <w:gridSpan w:val="3"/>
            <w:vMerge w:val="restart"/>
            <w:shd w:val="clear" w:color="auto" w:fill="2D53A6"/>
          </w:tcPr>
          <w:p>
            <w:pPr>
              <w:jc w:val="center"/>
              <w:ind w:left="71"/>
              <w:spacing w:after="0"/>
              <w:rPr>
                <w:sz w:val="20"/>
                <w:szCs w:val="20"/>
                <w:color w:val="auto"/>
              </w:rPr>
            </w:pPr>
            <w:r>
              <w:rPr>
                <w:rFonts w:ascii="Arial" w:cs="Arial" w:eastAsia="Arial" w:hAnsi="Arial"/>
                <w:sz w:val="18"/>
                <w:szCs w:val="18"/>
                <w:b w:val="1"/>
                <w:bCs w:val="1"/>
                <w:color w:val="FFFFFF"/>
                <w:w w:val="85"/>
              </w:rPr>
              <w:t>of Shares</w:t>
            </w:r>
          </w:p>
        </w:tc>
        <w:tc>
          <w:tcPr>
            <w:tcW w:w="180" w:type="dxa"/>
            <w:vAlign w:val="bottom"/>
            <w:tcBorders>
              <w:right w:val="single" w:sz="8" w:color="auto"/>
            </w:tcBorders>
            <w:shd w:val="clear" w:color="auto" w:fill="2D53A6"/>
          </w:tcPr>
          <w:p>
            <w:pPr>
              <w:spacing w:after="0"/>
              <w:rPr>
                <w:sz w:val="12"/>
                <w:szCs w:val="12"/>
                <w:color w:val="auto"/>
              </w:rPr>
            </w:pPr>
          </w:p>
        </w:tc>
        <w:tc>
          <w:tcPr>
            <w:tcW w:w="1280" w:type="dxa"/>
            <w:vAlign w:val="bottom"/>
            <w:tcBorders>
              <w:right w:val="single" w:sz="8" w:color="auto"/>
            </w:tcBorders>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87"/>
              </w:rPr>
              <w:t>of Shares</w:t>
            </w:r>
          </w:p>
        </w:tc>
        <w:tc>
          <w:tcPr>
            <w:tcW w:w="40" w:type="dxa"/>
            <w:vAlign w:val="bottom"/>
            <w:shd w:val="clear" w:color="auto" w:fill="2D53A6"/>
          </w:tcPr>
          <w:p>
            <w:pPr>
              <w:spacing w:after="0"/>
              <w:rPr>
                <w:sz w:val="12"/>
                <w:szCs w:val="12"/>
                <w:color w:val="auto"/>
              </w:rPr>
            </w:pPr>
          </w:p>
        </w:tc>
        <w:tc>
          <w:tcPr>
            <w:tcW w:w="1200" w:type="dxa"/>
            <w:vAlign w:val="bottom"/>
            <w:tcBorders>
              <w:right w:val="single" w:sz="8" w:color="auto"/>
            </w:tcBorders>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93"/>
              </w:rPr>
              <w:t>Number of</w:t>
            </w:r>
          </w:p>
        </w:tc>
        <w:tc>
          <w:tcPr>
            <w:tcW w:w="1160" w:type="dxa"/>
            <w:vAlign w:val="bottom"/>
            <w:shd w:val="clear" w:color="auto" w:fill="2D53A6"/>
          </w:tcPr>
          <w:p>
            <w:pPr>
              <w:jc w:val="center"/>
              <w:spacing w:after="0" w:line="144" w:lineRule="exact"/>
              <w:rPr>
                <w:sz w:val="20"/>
                <w:szCs w:val="20"/>
                <w:color w:val="auto"/>
              </w:rPr>
            </w:pPr>
            <w:r>
              <w:rPr>
                <w:rFonts w:ascii="Arial" w:cs="Arial" w:eastAsia="Arial" w:hAnsi="Arial"/>
                <w:sz w:val="16"/>
                <w:szCs w:val="16"/>
                <w:b w:val="1"/>
                <w:bCs w:val="1"/>
                <w:color w:val="FFFFFF"/>
              </w:rPr>
              <w:t>Market or</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280" w:type="dxa"/>
            <w:vAlign w:val="bottom"/>
            <w:tcBorders>
              <w:right w:val="single" w:sz="8" w:color="auto"/>
            </w:tcBorders>
            <w:vMerge w:val="restart"/>
            <w:shd w:val="clear" w:color="auto" w:fill="2D53A6"/>
          </w:tcPr>
          <w:p>
            <w:pPr>
              <w:spacing w:after="0"/>
              <w:rPr>
                <w:sz w:val="20"/>
                <w:szCs w:val="20"/>
                <w:color w:val="auto"/>
              </w:rPr>
            </w:pPr>
            <w:r>
              <w:rPr>
                <w:rFonts w:ascii="Arial" w:cs="Arial" w:eastAsia="Arial" w:hAnsi="Arial"/>
                <w:sz w:val="18"/>
                <w:szCs w:val="18"/>
                <w:b w:val="1"/>
                <w:bCs w:val="1"/>
                <w:color w:val="FFFFFF"/>
              </w:rPr>
              <w:t>Named</w:t>
            </w:r>
          </w:p>
        </w:tc>
        <w:tc>
          <w:tcPr>
            <w:tcW w:w="1280" w:type="dxa"/>
            <w:vAlign w:val="bottom"/>
            <w:tcBorders>
              <w:right w:val="single" w:sz="8" w:color="auto"/>
            </w:tcBorders>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93"/>
              </w:rPr>
              <w:t>Underlying</w:t>
            </w:r>
          </w:p>
        </w:tc>
        <w:tc>
          <w:tcPr>
            <w:tcW w:w="1240" w:type="dxa"/>
            <w:vAlign w:val="bottom"/>
            <w:tcBorders>
              <w:right w:val="single" w:sz="8" w:color="auto"/>
            </w:tcBorders>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93"/>
              </w:rPr>
              <w:t>Option</w:t>
            </w:r>
          </w:p>
        </w:tc>
        <w:tc>
          <w:tcPr>
            <w:tcW w:w="160" w:type="dxa"/>
            <w:vAlign w:val="bottom"/>
            <w:shd w:val="clear" w:color="auto" w:fill="2D53A6"/>
          </w:tcPr>
          <w:p>
            <w:pPr>
              <w:spacing w:after="0"/>
              <w:rPr>
                <w:sz w:val="9"/>
                <w:szCs w:val="9"/>
                <w:color w:val="auto"/>
              </w:rPr>
            </w:pPr>
          </w:p>
        </w:tc>
        <w:tc>
          <w:tcPr>
            <w:tcW w:w="1080" w:type="dxa"/>
            <w:vAlign w:val="bottom"/>
            <w:tcBorders>
              <w:right w:val="single" w:sz="8" w:color="auto"/>
            </w:tcBorders>
            <w:vMerge w:val="restart"/>
            <w:shd w:val="clear" w:color="auto" w:fill="2D53A6"/>
          </w:tcPr>
          <w:p>
            <w:pPr>
              <w:jc w:val="center"/>
              <w:ind w:right="90"/>
              <w:spacing w:after="0"/>
              <w:rPr>
                <w:sz w:val="20"/>
                <w:szCs w:val="20"/>
                <w:color w:val="auto"/>
              </w:rPr>
            </w:pPr>
            <w:r>
              <w:rPr>
                <w:rFonts w:ascii="Arial" w:cs="Arial" w:eastAsia="Arial" w:hAnsi="Arial"/>
                <w:sz w:val="18"/>
                <w:szCs w:val="18"/>
                <w:b w:val="1"/>
                <w:bCs w:val="1"/>
                <w:color w:val="FFFFFF"/>
                <w:w w:val="93"/>
              </w:rPr>
              <w:t>Option</w:t>
            </w:r>
          </w:p>
        </w:tc>
        <w:tc>
          <w:tcPr>
            <w:tcW w:w="1280" w:type="dxa"/>
            <w:vAlign w:val="bottom"/>
            <w:tcBorders>
              <w:right w:val="single" w:sz="8" w:color="auto"/>
            </w:tcBorders>
            <w:shd w:val="clear" w:color="auto" w:fill="2D53A6"/>
          </w:tcPr>
          <w:p>
            <w:pPr>
              <w:spacing w:after="0"/>
              <w:rPr>
                <w:sz w:val="9"/>
                <w:szCs w:val="9"/>
                <w:color w:val="auto"/>
              </w:rPr>
            </w:pPr>
          </w:p>
        </w:tc>
        <w:tc>
          <w:tcPr>
            <w:tcW w:w="1060" w:type="dxa"/>
            <w:vAlign w:val="bottom"/>
            <w:gridSpan w:val="3"/>
            <w:vMerge w:val="continue"/>
            <w:shd w:val="clear" w:color="auto" w:fill="2D53A6"/>
          </w:tcPr>
          <w:p>
            <w:pPr>
              <w:spacing w:after="0"/>
              <w:rPr>
                <w:sz w:val="9"/>
                <w:szCs w:val="9"/>
                <w:color w:val="auto"/>
              </w:rPr>
            </w:pPr>
          </w:p>
        </w:tc>
        <w:tc>
          <w:tcPr>
            <w:tcW w:w="180" w:type="dxa"/>
            <w:vAlign w:val="bottom"/>
            <w:tcBorders>
              <w:right w:val="single" w:sz="8" w:color="auto"/>
            </w:tcBorders>
            <w:shd w:val="clear" w:color="auto" w:fill="2D53A6"/>
          </w:tcPr>
          <w:p>
            <w:pPr>
              <w:spacing w:after="0"/>
              <w:rPr>
                <w:sz w:val="9"/>
                <w:szCs w:val="9"/>
                <w:color w:val="auto"/>
              </w:rPr>
            </w:pPr>
          </w:p>
        </w:tc>
        <w:tc>
          <w:tcPr>
            <w:tcW w:w="1280" w:type="dxa"/>
            <w:vAlign w:val="bottom"/>
            <w:tcBorders>
              <w:right w:val="single" w:sz="8" w:color="auto"/>
            </w:tcBorders>
            <w:vMerge w:val="continue"/>
            <w:shd w:val="clear" w:color="auto" w:fill="2D53A6"/>
          </w:tcPr>
          <w:p>
            <w:pPr>
              <w:spacing w:after="0"/>
              <w:rPr>
                <w:sz w:val="9"/>
                <w:szCs w:val="9"/>
                <w:color w:val="auto"/>
              </w:rPr>
            </w:pPr>
          </w:p>
        </w:tc>
        <w:tc>
          <w:tcPr>
            <w:tcW w:w="40" w:type="dxa"/>
            <w:vAlign w:val="bottom"/>
            <w:shd w:val="clear" w:color="auto" w:fill="2D53A6"/>
          </w:tcPr>
          <w:p>
            <w:pPr>
              <w:spacing w:after="0"/>
              <w:rPr>
                <w:sz w:val="9"/>
                <w:szCs w:val="9"/>
                <w:color w:val="auto"/>
              </w:rPr>
            </w:pPr>
          </w:p>
        </w:tc>
        <w:tc>
          <w:tcPr>
            <w:tcW w:w="1200" w:type="dxa"/>
            <w:vAlign w:val="bottom"/>
            <w:tcBorders>
              <w:right w:val="single" w:sz="8" w:color="auto"/>
            </w:tcBorders>
            <w:vMerge w:val="continue"/>
            <w:shd w:val="clear" w:color="auto" w:fill="2D53A6"/>
          </w:tcPr>
          <w:p>
            <w:pPr>
              <w:spacing w:after="0"/>
              <w:rPr>
                <w:sz w:val="9"/>
                <w:szCs w:val="9"/>
                <w:color w:val="auto"/>
              </w:rPr>
            </w:pPr>
          </w:p>
        </w:tc>
        <w:tc>
          <w:tcPr>
            <w:tcW w:w="1160" w:type="dxa"/>
            <w:vAlign w:val="bottom"/>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90"/>
              </w:rPr>
              <w:t>Payout Value</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80" w:type="dxa"/>
            <w:vAlign w:val="bottom"/>
            <w:tcBorders>
              <w:right w:val="single" w:sz="8" w:color="auto"/>
            </w:tcBorders>
            <w:vMerge w:val="continue"/>
            <w:shd w:val="clear" w:color="auto" w:fill="2D53A6"/>
          </w:tcPr>
          <w:p>
            <w:pPr>
              <w:spacing w:after="0"/>
              <w:rPr>
                <w:sz w:val="9"/>
                <w:szCs w:val="9"/>
                <w:color w:val="auto"/>
              </w:rPr>
            </w:pPr>
          </w:p>
        </w:tc>
        <w:tc>
          <w:tcPr>
            <w:tcW w:w="1280" w:type="dxa"/>
            <w:vAlign w:val="bottom"/>
            <w:tcBorders>
              <w:right w:val="single" w:sz="8" w:color="auto"/>
            </w:tcBorders>
            <w:vMerge w:val="continue"/>
            <w:shd w:val="clear" w:color="auto" w:fill="2D53A6"/>
          </w:tcPr>
          <w:p>
            <w:pPr>
              <w:spacing w:after="0"/>
              <w:rPr>
                <w:sz w:val="9"/>
                <w:szCs w:val="9"/>
                <w:color w:val="auto"/>
              </w:rPr>
            </w:pPr>
          </w:p>
        </w:tc>
        <w:tc>
          <w:tcPr>
            <w:tcW w:w="1240" w:type="dxa"/>
            <w:vAlign w:val="bottom"/>
            <w:tcBorders>
              <w:right w:val="single" w:sz="8" w:color="auto"/>
            </w:tcBorders>
            <w:vMerge w:val="continue"/>
            <w:shd w:val="clear" w:color="auto" w:fill="2D53A6"/>
          </w:tcPr>
          <w:p>
            <w:pPr>
              <w:spacing w:after="0"/>
              <w:rPr>
                <w:sz w:val="9"/>
                <w:szCs w:val="9"/>
                <w:color w:val="auto"/>
              </w:rPr>
            </w:pPr>
          </w:p>
        </w:tc>
        <w:tc>
          <w:tcPr>
            <w:tcW w:w="160" w:type="dxa"/>
            <w:vAlign w:val="bottom"/>
            <w:shd w:val="clear" w:color="auto" w:fill="2D53A6"/>
          </w:tcPr>
          <w:p>
            <w:pPr>
              <w:spacing w:after="0"/>
              <w:rPr>
                <w:sz w:val="9"/>
                <w:szCs w:val="9"/>
                <w:color w:val="auto"/>
              </w:rPr>
            </w:pPr>
          </w:p>
        </w:tc>
        <w:tc>
          <w:tcPr>
            <w:tcW w:w="1080" w:type="dxa"/>
            <w:vAlign w:val="bottom"/>
            <w:tcBorders>
              <w:right w:val="single" w:sz="8" w:color="auto"/>
            </w:tcBorders>
            <w:vMerge w:val="continue"/>
            <w:shd w:val="clear" w:color="auto" w:fill="2D53A6"/>
          </w:tcPr>
          <w:p>
            <w:pPr>
              <w:spacing w:after="0"/>
              <w:rPr>
                <w:sz w:val="9"/>
                <w:szCs w:val="9"/>
                <w:color w:val="auto"/>
              </w:rPr>
            </w:pPr>
          </w:p>
        </w:tc>
        <w:tc>
          <w:tcPr>
            <w:tcW w:w="1280" w:type="dxa"/>
            <w:vAlign w:val="bottom"/>
            <w:tcBorders>
              <w:right w:val="single" w:sz="8" w:color="auto"/>
            </w:tcBorders>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94"/>
              </w:rPr>
              <w:t>Award Grant</w:t>
            </w:r>
          </w:p>
        </w:tc>
        <w:tc>
          <w:tcPr>
            <w:tcW w:w="1060" w:type="dxa"/>
            <w:vAlign w:val="bottom"/>
            <w:gridSpan w:val="3"/>
            <w:vMerge w:val="restart"/>
            <w:shd w:val="clear" w:color="auto" w:fill="2D53A6"/>
          </w:tcPr>
          <w:p>
            <w:pPr>
              <w:jc w:val="center"/>
              <w:ind w:left="71"/>
              <w:spacing w:after="0"/>
              <w:rPr>
                <w:sz w:val="20"/>
                <w:szCs w:val="20"/>
                <w:color w:val="auto"/>
              </w:rPr>
            </w:pPr>
            <w:r>
              <w:rPr>
                <w:rFonts w:ascii="Arial" w:cs="Arial" w:eastAsia="Arial" w:hAnsi="Arial"/>
                <w:sz w:val="18"/>
                <w:szCs w:val="18"/>
                <w:b w:val="1"/>
                <w:bCs w:val="1"/>
                <w:color w:val="FFFFFF"/>
                <w:w w:val="91"/>
              </w:rPr>
              <w:t>or Units of</w:t>
            </w:r>
          </w:p>
        </w:tc>
        <w:tc>
          <w:tcPr>
            <w:tcW w:w="180" w:type="dxa"/>
            <w:vAlign w:val="bottom"/>
            <w:tcBorders>
              <w:right w:val="single" w:sz="8" w:color="auto"/>
            </w:tcBorders>
            <w:shd w:val="clear" w:color="auto" w:fill="2D53A6"/>
          </w:tcPr>
          <w:p>
            <w:pPr>
              <w:spacing w:after="0"/>
              <w:rPr>
                <w:sz w:val="9"/>
                <w:szCs w:val="9"/>
                <w:color w:val="auto"/>
              </w:rPr>
            </w:pPr>
          </w:p>
        </w:tc>
        <w:tc>
          <w:tcPr>
            <w:tcW w:w="1280" w:type="dxa"/>
            <w:vAlign w:val="bottom"/>
            <w:tcBorders>
              <w:right w:val="single" w:sz="8" w:color="auto"/>
            </w:tcBorders>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91"/>
              </w:rPr>
              <w:t>or Units of</w:t>
            </w:r>
          </w:p>
        </w:tc>
        <w:tc>
          <w:tcPr>
            <w:tcW w:w="40" w:type="dxa"/>
            <w:vAlign w:val="bottom"/>
            <w:shd w:val="clear" w:color="auto" w:fill="2D53A6"/>
          </w:tcPr>
          <w:p>
            <w:pPr>
              <w:spacing w:after="0"/>
              <w:rPr>
                <w:sz w:val="9"/>
                <w:szCs w:val="9"/>
                <w:color w:val="auto"/>
              </w:rPr>
            </w:pPr>
          </w:p>
        </w:tc>
        <w:tc>
          <w:tcPr>
            <w:tcW w:w="1200" w:type="dxa"/>
            <w:vAlign w:val="bottom"/>
            <w:tcBorders>
              <w:right w:val="single" w:sz="8" w:color="auto"/>
            </w:tcBorders>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91"/>
              </w:rPr>
              <w:t>Unearned</w:t>
            </w:r>
          </w:p>
        </w:tc>
        <w:tc>
          <w:tcPr>
            <w:tcW w:w="1160" w:type="dxa"/>
            <w:vAlign w:val="bottom"/>
            <w:vMerge w:val="continue"/>
            <w:shd w:val="clear" w:color="auto" w:fill="2D53A6"/>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80" w:type="dxa"/>
            <w:vAlign w:val="bottom"/>
            <w:tcBorders>
              <w:right w:val="single" w:sz="8" w:color="auto"/>
            </w:tcBorders>
            <w:vMerge w:val="restart"/>
            <w:shd w:val="clear" w:color="auto" w:fill="2D53A6"/>
          </w:tcPr>
          <w:p>
            <w:pPr>
              <w:spacing w:after="0"/>
              <w:rPr>
                <w:sz w:val="20"/>
                <w:szCs w:val="20"/>
                <w:color w:val="auto"/>
              </w:rPr>
            </w:pPr>
            <w:r>
              <w:rPr>
                <w:rFonts w:ascii="Arial" w:cs="Arial" w:eastAsia="Arial" w:hAnsi="Arial"/>
                <w:sz w:val="18"/>
                <w:szCs w:val="18"/>
                <w:b w:val="1"/>
                <w:bCs w:val="1"/>
                <w:color w:val="FFFFFF"/>
              </w:rPr>
              <w:t>Executive</w:t>
            </w:r>
          </w:p>
        </w:tc>
        <w:tc>
          <w:tcPr>
            <w:tcW w:w="1280" w:type="dxa"/>
            <w:vAlign w:val="bottom"/>
            <w:tcBorders>
              <w:right w:val="single" w:sz="8" w:color="auto"/>
            </w:tcBorders>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87"/>
              </w:rPr>
              <w:t>Unexercised</w:t>
            </w:r>
          </w:p>
        </w:tc>
        <w:tc>
          <w:tcPr>
            <w:tcW w:w="1240" w:type="dxa"/>
            <w:vAlign w:val="bottom"/>
            <w:tcBorders>
              <w:right w:val="single" w:sz="8" w:color="auto"/>
            </w:tcBorders>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86"/>
              </w:rPr>
              <w:t>Exercise</w:t>
            </w:r>
          </w:p>
        </w:tc>
        <w:tc>
          <w:tcPr>
            <w:tcW w:w="160" w:type="dxa"/>
            <w:vAlign w:val="bottom"/>
            <w:shd w:val="clear" w:color="auto" w:fill="2D53A6"/>
          </w:tcPr>
          <w:p>
            <w:pPr>
              <w:spacing w:after="0"/>
              <w:rPr>
                <w:sz w:val="9"/>
                <w:szCs w:val="9"/>
                <w:color w:val="auto"/>
              </w:rPr>
            </w:pPr>
          </w:p>
        </w:tc>
        <w:tc>
          <w:tcPr>
            <w:tcW w:w="1080" w:type="dxa"/>
            <w:vAlign w:val="bottom"/>
            <w:tcBorders>
              <w:right w:val="single" w:sz="8" w:color="auto"/>
            </w:tcBorders>
            <w:vMerge w:val="restart"/>
            <w:shd w:val="clear" w:color="auto" w:fill="2D53A6"/>
          </w:tcPr>
          <w:p>
            <w:pPr>
              <w:jc w:val="center"/>
              <w:ind w:right="90"/>
              <w:spacing w:after="0"/>
              <w:rPr>
                <w:sz w:val="20"/>
                <w:szCs w:val="20"/>
                <w:color w:val="auto"/>
              </w:rPr>
            </w:pPr>
            <w:r>
              <w:rPr>
                <w:rFonts w:ascii="Arial" w:cs="Arial" w:eastAsia="Arial" w:hAnsi="Arial"/>
                <w:sz w:val="18"/>
                <w:szCs w:val="18"/>
                <w:b w:val="1"/>
                <w:bCs w:val="1"/>
                <w:color w:val="FFFFFF"/>
                <w:w w:val="93"/>
              </w:rPr>
              <w:t>Expiration</w:t>
            </w:r>
          </w:p>
        </w:tc>
        <w:tc>
          <w:tcPr>
            <w:tcW w:w="1280" w:type="dxa"/>
            <w:vAlign w:val="bottom"/>
            <w:tcBorders>
              <w:right w:val="single" w:sz="8" w:color="auto"/>
            </w:tcBorders>
            <w:vMerge w:val="continue"/>
            <w:shd w:val="clear" w:color="auto" w:fill="2D53A6"/>
          </w:tcPr>
          <w:p>
            <w:pPr>
              <w:spacing w:after="0"/>
              <w:rPr>
                <w:sz w:val="9"/>
                <w:szCs w:val="9"/>
                <w:color w:val="auto"/>
              </w:rPr>
            </w:pPr>
          </w:p>
        </w:tc>
        <w:tc>
          <w:tcPr>
            <w:tcW w:w="1060" w:type="dxa"/>
            <w:vAlign w:val="bottom"/>
            <w:gridSpan w:val="3"/>
            <w:vMerge w:val="continue"/>
            <w:shd w:val="clear" w:color="auto" w:fill="2D53A6"/>
          </w:tcPr>
          <w:p>
            <w:pPr>
              <w:spacing w:after="0"/>
              <w:rPr>
                <w:sz w:val="9"/>
                <w:szCs w:val="9"/>
                <w:color w:val="auto"/>
              </w:rPr>
            </w:pPr>
          </w:p>
        </w:tc>
        <w:tc>
          <w:tcPr>
            <w:tcW w:w="180" w:type="dxa"/>
            <w:vAlign w:val="bottom"/>
            <w:tcBorders>
              <w:right w:val="single" w:sz="8" w:color="auto"/>
            </w:tcBorders>
            <w:shd w:val="clear" w:color="auto" w:fill="2D53A6"/>
          </w:tcPr>
          <w:p>
            <w:pPr>
              <w:spacing w:after="0"/>
              <w:rPr>
                <w:sz w:val="9"/>
                <w:szCs w:val="9"/>
                <w:color w:val="auto"/>
              </w:rPr>
            </w:pPr>
          </w:p>
        </w:tc>
        <w:tc>
          <w:tcPr>
            <w:tcW w:w="1280" w:type="dxa"/>
            <w:vAlign w:val="bottom"/>
            <w:tcBorders>
              <w:right w:val="single" w:sz="8" w:color="auto"/>
            </w:tcBorders>
            <w:vMerge w:val="continue"/>
            <w:shd w:val="clear" w:color="auto" w:fill="2D53A6"/>
          </w:tcPr>
          <w:p>
            <w:pPr>
              <w:spacing w:after="0"/>
              <w:rPr>
                <w:sz w:val="9"/>
                <w:szCs w:val="9"/>
                <w:color w:val="auto"/>
              </w:rPr>
            </w:pPr>
          </w:p>
        </w:tc>
        <w:tc>
          <w:tcPr>
            <w:tcW w:w="40" w:type="dxa"/>
            <w:vAlign w:val="bottom"/>
            <w:shd w:val="clear" w:color="auto" w:fill="2D53A6"/>
          </w:tcPr>
          <w:p>
            <w:pPr>
              <w:spacing w:after="0"/>
              <w:rPr>
                <w:sz w:val="9"/>
                <w:szCs w:val="9"/>
                <w:color w:val="auto"/>
              </w:rPr>
            </w:pPr>
          </w:p>
        </w:tc>
        <w:tc>
          <w:tcPr>
            <w:tcW w:w="1200" w:type="dxa"/>
            <w:vAlign w:val="bottom"/>
            <w:tcBorders>
              <w:right w:val="single" w:sz="8" w:color="auto"/>
            </w:tcBorders>
            <w:vMerge w:val="continue"/>
            <w:shd w:val="clear" w:color="auto" w:fill="2D53A6"/>
          </w:tcPr>
          <w:p>
            <w:pPr>
              <w:spacing w:after="0"/>
              <w:rPr>
                <w:sz w:val="9"/>
                <w:szCs w:val="9"/>
                <w:color w:val="auto"/>
              </w:rPr>
            </w:pPr>
          </w:p>
        </w:tc>
        <w:tc>
          <w:tcPr>
            <w:tcW w:w="1160" w:type="dxa"/>
            <w:vAlign w:val="bottom"/>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91"/>
              </w:rPr>
              <w:t>of Unearned</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80" w:type="dxa"/>
            <w:vAlign w:val="bottom"/>
            <w:tcBorders>
              <w:right w:val="single" w:sz="8" w:color="auto"/>
            </w:tcBorders>
            <w:vMerge w:val="continue"/>
            <w:shd w:val="clear" w:color="auto" w:fill="2D53A6"/>
          </w:tcPr>
          <w:p>
            <w:pPr>
              <w:spacing w:after="0"/>
              <w:rPr>
                <w:sz w:val="9"/>
                <w:szCs w:val="9"/>
                <w:color w:val="auto"/>
              </w:rPr>
            </w:pPr>
          </w:p>
        </w:tc>
        <w:tc>
          <w:tcPr>
            <w:tcW w:w="1280" w:type="dxa"/>
            <w:vAlign w:val="bottom"/>
            <w:tcBorders>
              <w:right w:val="single" w:sz="8" w:color="auto"/>
            </w:tcBorders>
            <w:vMerge w:val="continue"/>
            <w:shd w:val="clear" w:color="auto" w:fill="2D53A6"/>
          </w:tcPr>
          <w:p>
            <w:pPr>
              <w:spacing w:after="0"/>
              <w:rPr>
                <w:sz w:val="9"/>
                <w:szCs w:val="9"/>
                <w:color w:val="auto"/>
              </w:rPr>
            </w:pPr>
          </w:p>
        </w:tc>
        <w:tc>
          <w:tcPr>
            <w:tcW w:w="1240" w:type="dxa"/>
            <w:vAlign w:val="bottom"/>
            <w:tcBorders>
              <w:right w:val="single" w:sz="8" w:color="auto"/>
            </w:tcBorders>
            <w:vMerge w:val="continue"/>
            <w:shd w:val="clear" w:color="auto" w:fill="2D53A6"/>
          </w:tcPr>
          <w:p>
            <w:pPr>
              <w:spacing w:after="0"/>
              <w:rPr>
                <w:sz w:val="9"/>
                <w:szCs w:val="9"/>
                <w:color w:val="auto"/>
              </w:rPr>
            </w:pPr>
          </w:p>
        </w:tc>
        <w:tc>
          <w:tcPr>
            <w:tcW w:w="160" w:type="dxa"/>
            <w:vAlign w:val="bottom"/>
            <w:shd w:val="clear" w:color="auto" w:fill="2D53A6"/>
          </w:tcPr>
          <w:p>
            <w:pPr>
              <w:spacing w:after="0"/>
              <w:rPr>
                <w:sz w:val="9"/>
                <w:szCs w:val="9"/>
                <w:color w:val="auto"/>
              </w:rPr>
            </w:pPr>
          </w:p>
        </w:tc>
        <w:tc>
          <w:tcPr>
            <w:tcW w:w="1080" w:type="dxa"/>
            <w:vAlign w:val="bottom"/>
            <w:tcBorders>
              <w:right w:val="single" w:sz="8" w:color="auto"/>
            </w:tcBorders>
            <w:vMerge w:val="continue"/>
            <w:shd w:val="clear" w:color="auto" w:fill="2D53A6"/>
          </w:tcPr>
          <w:p>
            <w:pPr>
              <w:spacing w:after="0"/>
              <w:rPr>
                <w:sz w:val="9"/>
                <w:szCs w:val="9"/>
                <w:color w:val="auto"/>
              </w:rPr>
            </w:pPr>
          </w:p>
        </w:tc>
        <w:tc>
          <w:tcPr>
            <w:tcW w:w="1280" w:type="dxa"/>
            <w:vAlign w:val="bottom"/>
            <w:tcBorders>
              <w:right w:val="single" w:sz="8" w:color="auto"/>
            </w:tcBorders>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92"/>
              </w:rPr>
              <w:t>Date</w:t>
            </w:r>
          </w:p>
        </w:tc>
        <w:tc>
          <w:tcPr>
            <w:tcW w:w="1060" w:type="dxa"/>
            <w:vAlign w:val="bottom"/>
            <w:gridSpan w:val="3"/>
            <w:vMerge w:val="restart"/>
            <w:shd w:val="clear" w:color="auto" w:fill="2D53A6"/>
          </w:tcPr>
          <w:p>
            <w:pPr>
              <w:jc w:val="center"/>
              <w:ind w:left="51"/>
              <w:spacing w:after="0"/>
              <w:rPr>
                <w:sz w:val="20"/>
                <w:szCs w:val="20"/>
                <w:color w:val="auto"/>
              </w:rPr>
            </w:pPr>
            <w:r>
              <w:rPr>
                <w:rFonts w:ascii="Arial" w:cs="Arial" w:eastAsia="Arial" w:hAnsi="Arial"/>
                <w:sz w:val="18"/>
                <w:szCs w:val="18"/>
                <w:b w:val="1"/>
                <w:bCs w:val="1"/>
                <w:color w:val="FFFFFF"/>
                <w:w w:val="91"/>
              </w:rPr>
              <w:t>Stock That</w:t>
            </w:r>
          </w:p>
        </w:tc>
        <w:tc>
          <w:tcPr>
            <w:tcW w:w="180" w:type="dxa"/>
            <w:vAlign w:val="bottom"/>
            <w:tcBorders>
              <w:right w:val="single" w:sz="8" w:color="auto"/>
            </w:tcBorders>
            <w:shd w:val="clear" w:color="auto" w:fill="2D53A6"/>
          </w:tcPr>
          <w:p>
            <w:pPr>
              <w:spacing w:after="0"/>
              <w:rPr>
                <w:sz w:val="9"/>
                <w:szCs w:val="9"/>
                <w:color w:val="auto"/>
              </w:rPr>
            </w:pPr>
          </w:p>
        </w:tc>
        <w:tc>
          <w:tcPr>
            <w:tcW w:w="1280" w:type="dxa"/>
            <w:vAlign w:val="bottom"/>
            <w:tcBorders>
              <w:right w:val="single" w:sz="8" w:color="auto"/>
            </w:tcBorders>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91"/>
              </w:rPr>
              <w:t>Stock That</w:t>
            </w:r>
          </w:p>
        </w:tc>
        <w:tc>
          <w:tcPr>
            <w:tcW w:w="40" w:type="dxa"/>
            <w:vAlign w:val="bottom"/>
            <w:shd w:val="clear" w:color="auto" w:fill="2D53A6"/>
          </w:tcPr>
          <w:p>
            <w:pPr>
              <w:spacing w:after="0"/>
              <w:rPr>
                <w:sz w:val="9"/>
                <w:szCs w:val="9"/>
                <w:color w:val="auto"/>
              </w:rPr>
            </w:pPr>
          </w:p>
        </w:tc>
        <w:tc>
          <w:tcPr>
            <w:tcW w:w="1200" w:type="dxa"/>
            <w:vAlign w:val="bottom"/>
            <w:tcBorders>
              <w:right w:val="single" w:sz="8" w:color="auto"/>
            </w:tcBorders>
            <w:vMerge w:val="restart"/>
            <w:shd w:val="clear" w:color="auto" w:fill="2D53A6"/>
          </w:tcPr>
          <w:p>
            <w:pPr>
              <w:jc w:val="center"/>
              <w:ind w:right="10"/>
              <w:spacing w:after="0"/>
              <w:rPr>
                <w:sz w:val="20"/>
                <w:szCs w:val="20"/>
                <w:color w:val="auto"/>
              </w:rPr>
            </w:pPr>
            <w:r>
              <w:rPr>
                <w:rFonts w:ascii="Arial" w:cs="Arial" w:eastAsia="Arial" w:hAnsi="Arial"/>
                <w:sz w:val="18"/>
                <w:szCs w:val="18"/>
                <w:b w:val="1"/>
                <w:bCs w:val="1"/>
                <w:color w:val="FFFFFF"/>
                <w:w w:val="88"/>
              </w:rPr>
              <w:t>Shares, Units</w:t>
            </w:r>
          </w:p>
        </w:tc>
        <w:tc>
          <w:tcPr>
            <w:tcW w:w="1160" w:type="dxa"/>
            <w:vAlign w:val="bottom"/>
            <w:vMerge w:val="continue"/>
            <w:shd w:val="clear" w:color="auto" w:fill="2D53A6"/>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80" w:type="dxa"/>
            <w:vAlign w:val="bottom"/>
            <w:tcBorders>
              <w:right w:val="single" w:sz="8" w:color="auto"/>
            </w:tcBorders>
            <w:vMerge w:val="restart"/>
            <w:shd w:val="clear" w:color="auto" w:fill="2D53A6"/>
          </w:tcPr>
          <w:p>
            <w:pPr>
              <w:spacing w:after="0"/>
              <w:rPr>
                <w:sz w:val="20"/>
                <w:szCs w:val="20"/>
                <w:color w:val="auto"/>
              </w:rPr>
            </w:pPr>
            <w:r>
              <w:rPr>
                <w:rFonts w:ascii="Arial" w:cs="Arial" w:eastAsia="Arial" w:hAnsi="Arial"/>
                <w:sz w:val="18"/>
                <w:szCs w:val="18"/>
                <w:b w:val="1"/>
                <w:bCs w:val="1"/>
                <w:color w:val="FFFFFF"/>
              </w:rPr>
              <w:t>Officer</w:t>
            </w:r>
          </w:p>
        </w:tc>
        <w:tc>
          <w:tcPr>
            <w:tcW w:w="1280" w:type="dxa"/>
            <w:vAlign w:val="bottom"/>
            <w:tcBorders>
              <w:right w:val="single" w:sz="8" w:color="auto"/>
            </w:tcBorders>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88"/>
              </w:rPr>
              <w:t>Options</w:t>
            </w:r>
          </w:p>
        </w:tc>
        <w:tc>
          <w:tcPr>
            <w:tcW w:w="1240" w:type="dxa"/>
            <w:vAlign w:val="bottom"/>
            <w:tcBorders>
              <w:right w:val="single" w:sz="8" w:color="auto"/>
            </w:tcBorders>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90"/>
              </w:rPr>
              <w:t>Price ($)</w:t>
            </w:r>
          </w:p>
        </w:tc>
        <w:tc>
          <w:tcPr>
            <w:tcW w:w="160" w:type="dxa"/>
            <w:vAlign w:val="bottom"/>
            <w:shd w:val="clear" w:color="auto" w:fill="2D53A6"/>
          </w:tcPr>
          <w:p>
            <w:pPr>
              <w:spacing w:after="0"/>
              <w:rPr>
                <w:sz w:val="9"/>
                <w:szCs w:val="9"/>
                <w:color w:val="auto"/>
              </w:rPr>
            </w:pPr>
          </w:p>
        </w:tc>
        <w:tc>
          <w:tcPr>
            <w:tcW w:w="1080" w:type="dxa"/>
            <w:vAlign w:val="bottom"/>
            <w:tcBorders>
              <w:right w:val="single" w:sz="8" w:color="auto"/>
            </w:tcBorders>
            <w:vMerge w:val="restart"/>
            <w:shd w:val="clear" w:color="auto" w:fill="2D53A6"/>
          </w:tcPr>
          <w:p>
            <w:pPr>
              <w:jc w:val="center"/>
              <w:ind w:right="110"/>
              <w:spacing w:after="0"/>
              <w:rPr>
                <w:sz w:val="20"/>
                <w:szCs w:val="20"/>
                <w:color w:val="auto"/>
              </w:rPr>
            </w:pPr>
            <w:r>
              <w:rPr>
                <w:rFonts w:ascii="Arial" w:cs="Arial" w:eastAsia="Arial" w:hAnsi="Arial"/>
                <w:sz w:val="18"/>
                <w:szCs w:val="18"/>
                <w:b w:val="1"/>
                <w:bCs w:val="1"/>
                <w:color w:val="FFFFFF"/>
                <w:w w:val="92"/>
              </w:rPr>
              <w:t>Date</w:t>
            </w:r>
          </w:p>
        </w:tc>
        <w:tc>
          <w:tcPr>
            <w:tcW w:w="1280" w:type="dxa"/>
            <w:vAlign w:val="bottom"/>
            <w:tcBorders>
              <w:right w:val="single" w:sz="8" w:color="auto"/>
            </w:tcBorders>
            <w:vMerge w:val="continue"/>
            <w:shd w:val="clear" w:color="auto" w:fill="2D53A6"/>
          </w:tcPr>
          <w:p>
            <w:pPr>
              <w:spacing w:after="0"/>
              <w:rPr>
                <w:sz w:val="9"/>
                <w:szCs w:val="9"/>
                <w:color w:val="auto"/>
              </w:rPr>
            </w:pPr>
          </w:p>
        </w:tc>
        <w:tc>
          <w:tcPr>
            <w:tcW w:w="1060" w:type="dxa"/>
            <w:vAlign w:val="bottom"/>
            <w:gridSpan w:val="3"/>
            <w:vMerge w:val="continue"/>
            <w:shd w:val="clear" w:color="auto" w:fill="2D53A6"/>
          </w:tcPr>
          <w:p>
            <w:pPr>
              <w:spacing w:after="0"/>
              <w:rPr>
                <w:sz w:val="9"/>
                <w:szCs w:val="9"/>
                <w:color w:val="auto"/>
              </w:rPr>
            </w:pPr>
          </w:p>
        </w:tc>
        <w:tc>
          <w:tcPr>
            <w:tcW w:w="180" w:type="dxa"/>
            <w:vAlign w:val="bottom"/>
            <w:tcBorders>
              <w:right w:val="single" w:sz="8" w:color="auto"/>
            </w:tcBorders>
            <w:shd w:val="clear" w:color="auto" w:fill="2D53A6"/>
          </w:tcPr>
          <w:p>
            <w:pPr>
              <w:spacing w:after="0"/>
              <w:rPr>
                <w:sz w:val="9"/>
                <w:szCs w:val="9"/>
                <w:color w:val="auto"/>
              </w:rPr>
            </w:pPr>
          </w:p>
        </w:tc>
        <w:tc>
          <w:tcPr>
            <w:tcW w:w="1280" w:type="dxa"/>
            <w:vAlign w:val="bottom"/>
            <w:tcBorders>
              <w:right w:val="single" w:sz="8" w:color="auto"/>
            </w:tcBorders>
            <w:vMerge w:val="continue"/>
            <w:shd w:val="clear" w:color="auto" w:fill="2D53A6"/>
          </w:tcPr>
          <w:p>
            <w:pPr>
              <w:spacing w:after="0"/>
              <w:rPr>
                <w:sz w:val="9"/>
                <w:szCs w:val="9"/>
                <w:color w:val="auto"/>
              </w:rPr>
            </w:pPr>
          </w:p>
        </w:tc>
        <w:tc>
          <w:tcPr>
            <w:tcW w:w="40" w:type="dxa"/>
            <w:vAlign w:val="bottom"/>
            <w:shd w:val="clear" w:color="auto" w:fill="2D53A6"/>
          </w:tcPr>
          <w:p>
            <w:pPr>
              <w:spacing w:after="0"/>
              <w:rPr>
                <w:sz w:val="9"/>
                <w:szCs w:val="9"/>
                <w:color w:val="auto"/>
              </w:rPr>
            </w:pPr>
          </w:p>
        </w:tc>
        <w:tc>
          <w:tcPr>
            <w:tcW w:w="1200" w:type="dxa"/>
            <w:vAlign w:val="bottom"/>
            <w:tcBorders>
              <w:right w:val="single" w:sz="8" w:color="auto"/>
            </w:tcBorders>
            <w:vMerge w:val="continue"/>
            <w:shd w:val="clear" w:color="auto" w:fill="2D53A6"/>
          </w:tcPr>
          <w:p>
            <w:pPr>
              <w:spacing w:after="0"/>
              <w:rPr>
                <w:sz w:val="9"/>
                <w:szCs w:val="9"/>
                <w:color w:val="auto"/>
              </w:rPr>
            </w:pPr>
          </w:p>
        </w:tc>
        <w:tc>
          <w:tcPr>
            <w:tcW w:w="1160" w:type="dxa"/>
            <w:vAlign w:val="bottom"/>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88"/>
              </w:rPr>
              <w:t>Shares, Units</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80" w:type="dxa"/>
            <w:vAlign w:val="bottom"/>
            <w:tcBorders>
              <w:right w:val="single" w:sz="8" w:color="auto"/>
            </w:tcBorders>
            <w:vMerge w:val="continue"/>
            <w:shd w:val="clear" w:color="auto" w:fill="2D53A6"/>
          </w:tcPr>
          <w:p>
            <w:pPr>
              <w:spacing w:after="0"/>
              <w:rPr>
                <w:sz w:val="9"/>
                <w:szCs w:val="9"/>
                <w:color w:val="auto"/>
              </w:rPr>
            </w:pPr>
          </w:p>
        </w:tc>
        <w:tc>
          <w:tcPr>
            <w:tcW w:w="1280" w:type="dxa"/>
            <w:vAlign w:val="bottom"/>
            <w:tcBorders>
              <w:right w:val="single" w:sz="8" w:color="auto"/>
            </w:tcBorders>
            <w:vMerge w:val="continue"/>
            <w:shd w:val="clear" w:color="auto" w:fill="2D53A6"/>
          </w:tcPr>
          <w:p>
            <w:pPr>
              <w:spacing w:after="0"/>
              <w:rPr>
                <w:sz w:val="9"/>
                <w:szCs w:val="9"/>
                <w:color w:val="auto"/>
              </w:rPr>
            </w:pPr>
          </w:p>
        </w:tc>
        <w:tc>
          <w:tcPr>
            <w:tcW w:w="1240" w:type="dxa"/>
            <w:vAlign w:val="bottom"/>
            <w:tcBorders>
              <w:right w:val="single" w:sz="8" w:color="auto"/>
            </w:tcBorders>
            <w:vMerge w:val="continue"/>
            <w:shd w:val="clear" w:color="auto" w:fill="2D53A6"/>
          </w:tcPr>
          <w:p>
            <w:pPr>
              <w:spacing w:after="0"/>
              <w:rPr>
                <w:sz w:val="9"/>
                <w:szCs w:val="9"/>
                <w:color w:val="auto"/>
              </w:rPr>
            </w:pPr>
          </w:p>
        </w:tc>
        <w:tc>
          <w:tcPr>
            <w:tcW w:w="160" w:type="dxa"/>
            <w:vAlign w:val="bottom"/>
            <w:shd w:val="clear" w:color="auto" w:fill="2D53A6"/>
          </w:tcPr>
          <w:p>
            <w:pPr>
              <w:spacing w:after="0"/>
              <w:rPr>
                <w:sz w:val="9"/>
                <w:szCs w:val="9"/>
                <w:color w:val="auto"/>
              </w:rPr>
            </w:pPr>
          </w:p>
        </w:tc>
        <w:tc>
          <w:tcPr>
            <w:tcW w:w="1080" w:type="dxa"/>
            <w:vAlign w:val="bottom"/>
            <w:tcBorders>
              <w:right w:val="single" w:sz="8" w:color="auto"/>
            </w:tcBorders>
            <w:vMerge w:val="continue"/>
            <w:shd w:val="clear" w:color="auto" w:fill="2D53A6"/>
          </w:tcPr>
          <w:p>
            <w:pPr>
              <w:spacing w:after="0"/>
              <w:rPr>
                <w:sz w:val="9"/>
                <w:szCs w:val="9"/>
                <w:color w:val="auto"/>
              </w:rPr>
            </w:pPr>
          </w:p>
        </w:tc>
        <w:tc>
          <w:tcPr>
            <w:tcW w:w="1280" w:type="dxa"/>
            <w:vAlign w:val="bottom"/>
            <w:tcBorders>
              <w:right w:val="single" w:sz="8" w:color="auto"/>
            </w:tcBorders>
            <w:shd w:val="clear" w:color="auto" w:fill="2D53A6"/>
          </w:tcPr>
          <w:p>
            <w:pPr>
              <w:spacing w:after="0"/>
              <w:rPr>
                <w:sz w:val="9"/>
                <w:szCs w:val="9"/>
                <w:color w:val="auto"/>
              </w:rPr>
            </w:pPr>
          </w:p>
        </w:tc>
        <w:tc>
          <w:tcPr>
            <w:tcW w:w="1060" w:type="dxa"/>
            <w:vAlign w:val="bottom"/>
            <w:gridSpan w:val="3"/>
            <w:vMerge w:val="restart"/>
            <w:shd w:val="clear" w:color="auto" w:fill="2D53A6"/>
          </w:tcPr>
          <w:p>
            <w:pPr>
              <w:jc w:val="center"/>
              <w:ind w:left="51"/>
              <w:spacing w:after="0"/>
              <w:rPr>
                <w:sz w:val="20"/>
                <w:szCs w:val="20"/>
                <w:color w:val="auto"/>
              </w:rPr>
            </w:pPr>
            <w:r>
              <w:rPr>
                <w:rFonts w:ascii="Arial" w:cs="Arial" w:eastAsia="Arial" w:hAnsi="Arial"/>
                <w:sz w:val="18"/>
                <w:szCs w:val="18"/>
                <w:b w:val="1"/>
                <w:bCs w:val="1"/>
                <w:color w:val="FFFFFF"/>
                <w:w w:val="92"/>
              </w:rPr>
              <w:t>Have Not</w:t>
            </w:r>
          </w:p>
        </w:tc>
        <w:tc>
          <w:tcPr>
            <w:tcW w:w="180" w:type="dxa"/>
            <w:vAlign w:val="bottom"/>
            <w:tcBorders>
              <w:right w:val="single" w:sz="8" w:color="auto"/>
            </w:tcBorders>
            <w:shd w:val="clear" w:color="auto" w:fill="2D53A6"/>
          </w:tcPr>
          <w:p>
            <w:pPr>
              <w:spacing w:after="0"/>
              <w:rPr>
                <w:sz w:val="9"/>
                <w:szCs w:val="9"/>
                <w:color w:val="auto"/>
              </w:rPr>
            </w:pPr>
          </w:p>
        </w:tc>
        <w:tc>
          <w:tcPr>
            <w:tcW w:w="1280" w:type="dxa"/>
            <w:vAlign w:val="bottom"/>
            <w:tcBorders>
              <w:right w:val="single" w:sz="8" w:color="auto"/>
            </w:tcBorders>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92"/>
              </w:rPr>
              <w:t>Have Not</w:t>
            </w:r>
          </w:p>
        </w:tc>
        <w:tc>
          <w:tcPr>
            <w:tcW w:w="40" w:type="dxa"/>
            <w:vAlign w:val="bottom"/>
            <w:shd w:val="clear" w:color="auto" w:fill="2D53A6"/>
          </w:tcPr>
          <w:p>
            <w:pPr>
              <w:spacing w:after="0"/>
              <w:rPr>
                <w:sz w:val="9"/>
                <w:szCs w:val="9"/>
                <w:color w:val="auto"/>
              </w:rPr>
            </w:pPr>
          </w:p>
        </w:tc>
        <w:tc>
          <w:tcPr>
            <w:tcW w:w="1200" w:type="dxa"/>
            <w:vAlign w:val="bottom"/>
            <w:tcBorders>
              <w:right w:val="single" w:sz="8" w:color="auto"/>
            </w:tcBorders>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95"/>
              </w:rPr>
              <w:t>or Other</w:t>
            </w:r>
          </w:p>
        </w:tc>
        <w:tc>
          <w:tcPr>
            <w:tcW w:w="1160" w:type="dxa"/>
            <w:vAlign w:val="bottom"/>
            <w:vMerge w:val="continue"/>
            <w:shd w:val="clear" w:color="auto" w:fill="2D53A6"/>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80" w:type="dxa"/>
            <w:vAlign w:val="bottom"/>
            <w:tcBorders>
              <w:right w:val="single" w:sz="8" w:color="auto"/>
            </w:tcBorders>
            <w:shd w:val="clear" w:color="auto" w:fill="2D53A6"/>
          </w:tcPr>
          <w:p>
            <w:pPr>
              <w:spacing w:after="0"/>
              <w:rPr>
                <w:sz w:val="9"/>
                <w:szCs w:val="9"/>
                <w:color w:val="auto"/>
              </w:rPr>
            </w:pPr>
          </w:p>
        </w:tc>
        <w:tc>
          <w:tcPr>
            <w:tcW w:w="1280" w:type="dxa"/>
            <w:vAlign w:val="bottom"/>
            <w:tcBorders>
              <w:right w:val="single" w:sz="8" w:color="auto"/>
            </w:tcBorders>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87"/>
              </w:rPr>
              <w:t>Exercisable</w:t>
            </w:r>
          </w:p>
        </w:tc>
        <w:tc>
          <w:tcPr>
            <w:tcW w:w="1240" w:type="dxa"/>
            <w:vAlign w:val="bottom"/>
            <w:tcBorders>
              <w:right w:val="single" w:sz="8" w:color="auto"/>
            </w:tcBorders>
            <w:shd w:val="clear" w:color="auto" w:fill="2D53A6"/>
          </w:tcPr>
          <w:p>
            <w:pPr>
              <w:spacing w:after="0"/>
              <w:rPr>
                <w:sz w:val="9"/>
                <w:szCs w:val="9"/>
                <w:color w:val="auto"/>
              </w:rPr>
            </w:pPr>
          </w:p>
        </w:tc>
        <w:tc>
          <w:tcPr>
            <w:tcW w:w="160" w:type="dxa"/>
            <w:vAlign w:val="bottom"/>
            <w:shd w:val="clear" w:color="auto" w:fill="2D53A6"/>
          </w:tcPr>
          <w:p>
            <w:pPr>
              <w:spacing w:after="0"/>
              <w:rPr>
                <w:sz w:val="9"/>
                <w:szCs w:val="9"/>
                <w:color w:val="auto"/>
              </w:rPr>
            </w:pPr>
          </w:p>
        </w:tc>
        <w:tc>
          <w:tcPr>
            <w:tcW w:w="1080" w:type="dxa"/>
            <w:vAlign w:val="bottom"/>
            <w:tcBorders>
              <w:right w:val="single" w:sz="8" w:color="auto"/>
            </w:tcBorders>
            <w:shd w:val="clear" w:color="auto" w:fill="2D53A6"/>
          </w:tcPr>
          <w:p>
            <w:pPr>
              <w:spacing w:after="0"/>
              <w:rPr>
                <w:sz w:val="9"/>
                <w:szCs w:val="9"/>
                <w:color w:val="auto"/>
              </w:rPr>
            </w:pPr>
          </w:p>
        </w:tc>
        <w:tc>
          <w:tcPr>
            <w:tcW w:w="1280" w:type="dxa"/>
            <w:vAlign w:val="bottom"/>
            <w:tcBorders>
              <w:right w:val="single" w:sz="8" w:color="auto"/>
            </w:tcBorders>
            <w:shd w:val="clear" w:color="auto" w:fill="2D53A6"/>
          </w:tcPr>
          <w:p>
            <w:pPr>
              <w:spacing w:after="0"/>
              <w:rPr>
                <w:sz w:val="9"/>
                <w:szCs w:val="9"/>
                <w:color w:val="auto"/>
              </w:rPr>
            </w:pPr>
          </w:p>
        </w:tc>
        <w:tc>
          <w:tcPr>
            <w:tcW w:w="1060" w:type="dxa"/>
            <w:vAlign w:val="bottom"/>
            <w:gridSpan w:val="3"/>
            <w:vMerge w:val="continue"/>
            <w:shd w:val="clear" w:color="auto" w:fill="2D53A6"/>
          </w:tcPr>
          <w:p>
            <w:pPr>
              <w:spacing w:after="0"/>
              <w:rPr>
                <w:sz w:val="9"/>
                <w:szCs w:val="9"/>
                <w:color w:val="auto"/>
              </w:rPr>
            </w:pPr>
          </w:p>
        </w:tc>
        <w:tc>
          <w:tcPr>
            <w:tcW w:w="180" w:type="dxa"/>
            <w:vAlign w:val="bottom"/>
            <w:tcBorders>
              <w:right w:val="single" w:sz="8" w:color="auto"/>
            </w:tcBorders>
            <w:shd w:val="clear" w:color="auto" w:fill="2D53A6"/>
          </w:tcPr>
          <w:p>
            <w:pPr>
              <w:spacing w:after="0"/>
              <w:rPr>
                <w:sz w:val="9"/>
                <w:szCs w:val="9"/>
                <w:color w:val="auto"/>
              </w:rPr>
            </w:pPr>
          </w:p>
        </w:tc>
        <w:tc>
          <w:tcPr>
            <w:tcW w:w="1280" w:type="dxa"/>
            <w:vAlign w:val="bottom"/>
            <w:tcBorders>
              <w:right w:val="single" w:sz="8" w:color="auto"/>
            </w:tcBorders>
            <w:vMerge w:val="continue"/>
            <w:shd w:val="clear" w:color="auto" w:fill="2D53A6"/>
          </w:tcPr>
          <w:p>
            <w:pPr>
              <w:spacing w:after="0"/>
              <w:rPr>
                <w:sz w:val="9"/>
                <w:szCs w:val="9"/>
                <w:color w:val="auto"/>
              </w:rPr>
            </w:pPr>
          </w:p>
        </w:tc>
        <w:tc>
          <w:tcPr>
            <w:tcW w:w="40" w:type="dxa"/>
            <w:vAlign w:val="bottom"/>
            <w:shd w:val="clear" w:color="auto" w:fill="2D53A6"/>
          </w:tcPr>
          <w:p>
            <w:pPr>
              <w:spacing w:after="0"/>
              <w:rPr>
                <w:sz w:val="9"/>
                <w:szCs w:val="9"/>
                <w:color w:val="auto"/>
              </w:rPr>
            </w:pPr>
          </w:p>
        </w:tc>
        <w:tc>
          <w:tcPr>
            <w:tcW w:w="1200" w:type="dxa"/>
            <w:vAlign w:val="bottom"/>
            <w:tcBorders>
              <w:right w:val="single" w:sz="8" w:color="auto"/>
            </w:tcBorders>
            <w:vMerge w:val="continue"/>
            <w:shd w:val="clear" w:color="auto" w:fill="2D53A6"/>
          </w:tcPr>
          <w:p>
            <w:pPr>
              <w:spacing w:after="0"/>
              <w:rPr>
                <w:sz w:val="9"/>
                <w:szCs w:val="9"/>
                <w:color w:val="auto"/>
              </w:rPr>
            </w:pPr>
          </w:p>
        </w:tc>
        <w:tc>
          <w:tcPr>
            <w:tcW w:w="1160" w:type="dxa"/>
            <w:vAlign w:val="bottom"/>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95"/>
              </w:rPr>
              <w:t>or Other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80" w:type="dxa"/>
            <w:vAlign w:val="bottom"/>
            <w:tcBorders>
              <w:right w:val="single" w:sz="8" w:color="auto"/>
            </w:tcBorders>
            <w:shd w:val="clear" w:color="auto" w:fill="2D53A6"/>
          </w:tcPr>
          <w:p>
            <w:pPr>
              <w:spacing w:after="0"/>
              <w:rPr>
                <w:sz w:val="9"/>
                <w:szCs w:val="9"/>
                <w:color w:val="auto"/>
              </w:rPr>
            </w:pPr>
          </w:p>
        </w:tc>
        <w:tc>
          <w:tcPr>
            <w:tcW w:w="1280" w:type="dxa"/>
            <w:vAlign w:val="bottom"/>
            <w:tcBorders>
              <w:right w:val="single" w:sz="8" w:color="auto"/>
            </w:tcBorders>
            <w:vMerge w:val="continue"/>
            <w:shd w:val="clear" w:color="auto" w:fill="2D53A6"/>
          </w:tcPr>
          <w:p>
            <w:pPr>
              <w:spacing w:after="0"/>
              <w:rPr>
                <w:sz w:val="9"/>
                <w:szCs w:val="9"/>
                <w:color w:val="auto"/>
              </w:rPr>
            </w:pPr>
          </w:p>
        </w:tc>
        <w:tc>
          <w:tcPr>
            <w:tcW w:w="1240" w:type="dxa"/>
            <w:vAlign w:val="bottom"/>
            <w:tcBorders>
              <w:right w:val="single" w:sz="8" w:color="auto"/>
            </w:tcBorders>
            <w:shd w:val="clear" w:color="auto" w:fill="2D53A6"/>
          </w:tcPr>
          <w:p>
            <w:pPr>
              <w:spacing w:after="0"/>
              <w:rPr>
                <w:sz w:val="9"/>
                <w:szCs w:val="9"/>
                <w:color w:val="auto"/>
              </w:rPr>
            </w:pPr>
          </w:p>
        </w:tc>
        <w:tc>
          <w:tcPr>
            <w:tcW w:w="160" w:type="dxa"/>
            <w:vAlign w:val="bottom"/>
            <w:shd w:val="clear" w:color="auto" w:fill="2D53A6"/>
          </w:tcPr>
          <w:p>
            <w:pPr>
              <w:spacing w:after="0"/>
              <w:rPr>
                <w:sz w:val="9"/>
                <w:szCs w:val="9"/>
                <w:color w:val="auto"/>
              </w:rPr>
            </w:pPr>
          </w:p>
        </w:tc>
        <w:tc>
          <w:tcPr>
            <w:tcW w:w="1080" w:type="dxa"/>
            <w:vAlign w:val="bottom"/>
            <w:tcBorders>
              <w:right w:val="single" w:sz="8" w:color="auto"/>
            </w:tcBorders>
            <w:shd w:val="clear" w:color="auto" w:fill="2D53A6"/>
          </w:tcPr>
          <w:p>
            <w:pPr>
              <w:spacing w:after="0"/>
              <w:rPr>
                <w:sz w:val="9"/>
                <w:szCs w:val="9"/>
                <w:color w:val="auto"/>
              </w:rPr>
            </w:pPr>
          </w:p>
        </w:tc>
        <w:tc>
          <w:tcPr>
            <w:tcW w:w="1280" w:type="dxa"/>
            <w:vAlign w:val="bottom"/>
            <w:tcBorders>
              <w:right w:val="single" w:sz="8" w:color="auto"/>
            </w:tcBorders>
            <w:shd w:val="clear" w:color="auto" w:fill="2D53A6"/>
          </w:tcPr>
          <w:p>
            <w:pPr>
              <w:spacing w:after="0"/>
              <w:rPr>
                <w:sz w:val="9"/>
                <w:szCs w:val="9"/>
                <w:color w:val="auto"/>
              </w:rPr>
            </w:pPr>
          </w:p>
        </w:tc>
        <w:tc>
          <w:tcPr>
            <w:tcW w:w="1060" w:type="dxa"/>
            <w:vAlign w:val="bottom"/>
            <w:gridSpan w:val="3"/>
            <w:vMerge w:val="restart"/>
            <w:shd w:val="clear" w:color="auto" w:fill="2D53A6"/>
          </w:tcPr>
          <w:p>
            <w:pPr>
              <w:jc w:val="center"/>
              <w:ind w:left="51"/>
              <w:spacing w:after="0"/>
              <w:rPr>
                <w:sz w:val="20"/>
                <w:szCs w:val="20"/>
                <w:color w:val="auto"/>
              </w:rPr>
            </w:pPr>
            <w:r>
              <w:rPr>
                <w:rFonts w:ascii="Arial" w:cs="Arial" w:eastAsia="Arial" w:hAnsi="Arial"/>
                <w:sz w:val="18"/>
                <w:szCs w:val="18"/>
                <w:b w:val="1"/>
                <w:bCs w:val="1"/>
                <w:color w:val="FFFFFF"/>
                <w:w w:val="88"/>
              </w:rPr>
              <w:t>Vested (#)</w:t>
            </w:r>
          </w:p>
        </w:tc>
        <w:tc>
          <w:tcPr>
            <w:tcW w:w="180" w:type="dxa"/>
            <w:vAlign w:val="bottom"/>
            <w:tcBorders>
              <w:right w:val="single" w:sz="8" w:color="auto"/>
            </w:tcBorders>
            <w:shd w:val="clear" w:color="auto" w:fill="2D53A6"/>
          </w:tcPr>
          <w:p>
            <w:pPr>
              <w:spacing w:after="0"/>
              <w:rPr>
                <w:sz w:val="9"/>
                <w:szCs w:val="9"/>
                <w:color w:val="auto"/>
              </w:rPr>
            </w:pPr>
          </w:p>
        </w:tc>
        <w:tc>
          <w:tcPr>
            <w:tcW w:w="1280" w:type="dxa"/>
            <w:vAlign w:val="bottom"/>
            <w:tcBorders>
              <w:right w:val="single" w:sz="8" w:color="auto"/>
            </w:tcBorders>
            <w:vMerge w:val="restart"/>
            <w:shd w:val="clear" w:color="auto" w:fill="2D53A6"/>
          </w:tcPr>
          <w:p>
            <w:pPr>
              <w:jc w:val="center"/>
              <w:spacing w:after="0" w:line="216" w:lineRule="exact"/>
              <w:rPr>
                <w:sz w:val="20"/>
                <w:szCs w:val="20"/>
                <w:color w:val="auto"/>
              </w:rPr>
            </w:pPr>
            <w:r>
              <w:rPr>
                <w:rFonts w:ascii="Arial" w:cs="Arial" w:eastAsia="Arial" w:hAnsi="Arial"/>
                <w:sz w:val="16"/>
                <w:szCs w:val="16"/>
                <w:b w:val="1"/>
                <w:bCs w:val="1"/>
                <w:color w:val="FFFFFF"/>
                <w:w w:val="94"/>
              </w:rPr>
              <w:t xml:space="preserve">Vested ($) </w:t>
            </w:r>
            <w:r>
              <w:rPr>
                <w:rFonts w:ascii="Arial" w:cs="Arial" w:eastAsia="Arial" w:hAnsi="Arial"/>
                <w:sz w:val="25"/>
                <w:szCs w:val="25"/>
                <w:b w:val="1"/>
                <w:bCs w:val="1"/>
                <w:color w:val="FFFFFF"/>
                <w:w w:val="94"/>
                <w:vertAlign w:val="superscript"/>
              </w:rPr>
              <w:t>(3)</w:t>
            </w:r>
          </w:p>
        </w:tc>
        <w:tc>
          <w:tcPr>
            <w:tcW w:w="40" w:type="dxa"/>
            <w:vAlign w:val="bottom"/>
            <w:shd w:val="clear" w:color="auto" w:fill="2D53A6"/>
          </w:tcPr>
          <w:p>
            <w:pPr>
              <w:spacing w:after="0"/>
              <w:rPr>
                <w:sz w:val="9"/>
                <w:szCs w:val="9"/>
                <w:color w:val="auto"/>
              </w:rPr>
            </w:pPr>
          </w:p>
        </w:tc>
        <w:tc>
          <w:tcPr>
            <w:tcW w:w="1200" w:type="dxa"/>
            <w:vAlign w:val="bottom"/>
            <w:tcBorders>
              <w:right w:val="single" w:sz="8" w:color="auto"/>
            </w:tcBorders>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92"/>
              </w:rPr>
              <w:t>Rights That</w:t>
            </w:r>
          </w:p>
        </w:tc>
        <w:tc>
          <w:tcPr>
            <w:tcW w:w="1160" w:type="dxa"/>
            <w:vAlign w:val="bottom"/>
            <w:vMerge w:val="continue"/>
            <w:shd w:val="clear" w:color="auto" w:fill="2D53A6"/>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80" w:type="dxa"/>
            <w:vAlign w:val="bottom"/>
            <w:tcBorders>
              <w:right w:val="single" w:sz="8" w:color="auto"/>
            </w:tcBorders>
            <w:shd w:val="clear" w:color="auto" w:fill="2D53A6"/>
          </w:tcPr>
          <w:p>
            <w:pPr>
              <w:spacing w:after="0"/>
              <w:rPr>
                <w:sz w:val="9"/>
                <w:szCs w:val="9"/>
                <w:color w:val="auto"/>
              </w:rPr>
            </w:pPr>
          </w:p>
        </w:tc>
        <w:tc>
          <w:tcPr>
            <w:tcW w:w="1280" w:type="dxa"/>
            <w:vAlign w:val="bottom"/>
            <w:tcBorders>
              <w:right w:val="single" w:sz="8" w:color="auto"/>
            </w:tcBorders>
            <w:vMerge w:val="restart"/>
            <w:shd w:val="clear" w:color="auto" w:fill="2D53A6"/>
          </w:tcPr>
          <w:p>
            <w:pPr>
              <w:jc w:val="center"/>
              <w:spacing w:after="0" w:line="216" w:lineRule="exact"/>
              <w:rPr>
                <w:sz w:val="20"/>
                <w:szCs w:val="20"/>
                <w:color w:val="auto"/>
              </w:rPr>
            </w:pPr>
            <w:r>
              <w:rPr>
                <w:rFonts w:ascii="Arial" w:cs="Arial" w:eastAsia="Arial" w:hAnsi="Arial"/>
                <w:sz w:val="16"/>
                <w:szCs w:val="16"/>
                <w:b w:val="1"/>
                <w:bCs w:val="1"/>
                <w:color w:val="FFFFFF"/>
                <w:w w:val="94"/>
              </w:rPr>
              <w:t xml:space="preserve">(#) </w:t>
            </w:r>
            <w:r>
              <w:rPr>
                <w:rFonts w:ascii="Arial" w:cs="Arial" w:eastAsia="Arial" w:hAnsi="Arial"/>
                <w:sz w:val="25"/>
                <w:szCs w:val="25"/>
                <w:b w:val="1"/>
                <w:bCs w:val="1"/>
                <w:color w:val="FFFFFF"/>
                <w:w w:val="94"/>
                <w:vertAlign w:val="superscript"/>
              </w:rPr>
              <w:t>(1)</w:t>
            </w:r>
          </w:p>
        </w:tc>
        <w:tc>
          <w:tcPr>
            <w:tcW w:w="1240" w:type="dxa"/>
            <w:vAlign w:val="bottom"/>
            <w:tcBorders>
              <w:right w:val="single" w:sz="8" w:color="auto"/>
            </w:tcBorders>
            <w:shd w:val="clear" w:color="auto" w:fill="2D53A6"/>
          </w:tcPr>
          <w:p>
            <w:pPr>
              <w:spacing w:after="0"/>
              <w:rPr>
                <w:sz w:val="9"/>
                <w:szCs w:val="9"/>
                <w:color w:val="auto"/>
              </w:rPr>
            </w:pPr>
          </w:p>
        </w:tc>
        <w:tc>
          <w:tcPr>
            <w:tcW w:w="160" w:type="dxa"/>
            <w:vAlign w:val="bottom"/>
            <w:shd w:val="clear" w:color="auto" w:fill="2D53A6"/>
          </w:tcPr>
          <w:p>
            <w:pPr>
              <w:spacing w:after="0"/>
              <w:rPr>
                <w:sz w:val="9"/>
                <w:szCs w:val="9"/>
                <w:color w:val="auto"/>
              </w:rPr>
            </w:pPr>
          </w:p>
        </w:tc>
        <w:tc>
          <w:tcPr>
            <w:tcW w:w="1080" w:type="dxa"/>
            <w:vAlign w:val="bottom"/>
            <w:tcBorders>
              <w:right w:val="single" w:sz="8" w:color="auto"/>
            </w:tcBorders>
            <w:shd w:val="clear" w:color="auto" w:fill="2D53A6"/>
          </w:tcPr>
          <w:p>
            <w:pPr>
              <w:spacing w:after="0"/>
              <w:rPr>
                <w:sz w:val="9"/>
                <w:szCs w:val="9"/>
                <w:color w:val="auto"/>
              </w:rPr>
            </w:pPr>
          </w:p>
        </w:tc>
        <w:tc>
          <w:tcPr>
            <w:tcW w:w="1280" w:type="dxa"/>
            <w:vAlign w:val="bottom"/>
            <w:tcBorders>
              <w:right w:val="single" w:sz="8" w:color="auto"/>
            </w:tcBorders>
            <w:shd w:val="clear" w:color="auto" w:fill="2D53A6"/>
          </w:tcPr>
          <w:p>
            <w:pPr>
              <w:spacing w:after="0"/>
              <w:rPr>
                <w:sz w:val="9"/>
                <w:szCs w:val="9"/>
                <w:color w:val="auto"/>
              </w:rPr>
            </w:pPr>
          </w:p>
        </w:tc>
        <w:tc>
          <w:tcPr>
            <w:tcW w:w="1060" w:type="dxa"/>
            <w:vAlign w:val="bottom"/>
            <w:gridSpan w:val="3"/>
            <w:vMerge w:val="continue"/>
            <w:shd w:val="clear" w:color="auto" w:fill="2D53A6"/>
          </w:tcPr>
          <w:p>
            <w:pPr>
              <w:spacing w:after="0"/>
              <w:rPr>
                <w:sz w:val="9"/>
                <w:szCs w:val="9"/>
                <w:color w:val="auto"/>
              </w:rPr>
            </w:pPr>
          </w:p>
        </w:tc>
        <w:tc>
          <w:tcPr>
            <w:tcW w:w="180" w:type="dxa"/>
            <w:vAlign w:val="bottom"/>
            <w:tcBorders>
              <w:right w:val="single" w:sz="8" w:color="auto"/>
            </w:tcBorders>
            <w:shd w:val="clear" w:color="auto" w:fill="2D53A6"/>
          </w:tcPr>
          <w:p>
            <w:pPr>
              <w:spacing w:after="0"/>
              <w:rPr>
                <w:sz w:val="9"/>
                <w:szCs w:val="9"/>
                <w:color w:val="auto"/>
              </w:rPr>
            </w:pPr>
          </w:p>
        </w:tc>
        <w:tc>
          <w:tcPr>
            <w:tcW w:w="1280" w:type="dxa"/>
            <w:vAlign w:val="bottom"/>
            <w:tcBorders>
              <w:right w:val="single" w:sz="8" w:color="auto"/>
            </w:tcBorders>
            <w:vMerge w:val="continue"/>
            <w:shd w:val="clear" w:color="auto" w:fill="2D53A6"/>
          </w:tcPr>
          <w:p>
            <w:pPr>
              <w:spacing w:after="0"/>
              <w:rPr>
                <w:sz w:val="9"/>
                <w:szCs w:val="9"/>
                <w:color w:val="auto"/>
              </w:rPr>
            </w:pPr>
          </w:p>
        </w:tc>
        <w:tc>
          <w:tcPr>
            <w:tcW w:w="40" w:type="dxa"/>
            <w:vAlign w:val="bottom"/>
            <w:shd w:val="clear" w:color="auto" w:fill="2D53A6"/>
          </w:tcPr>
          <w:p>
            <w:pPr>
              <w:spacing w:after="0"/>
              <w:rPr>
                <w:sz w:val="9"/>
                <w:szCs w:val="9"/>
                <w:color w:val="auto"/>
              </w:rPr>
            </w:pPr>
          </w:p>
        </w:tc>
        <w:tc>
          <w:tcPr>
            <w:tcW w:w="1200" w:type="dxa"/>
            <w:vAlign w:val="bottom"/>
            <w:tcBorders>
              <w:right w:val="single" w:sz="8" w:color="auto"/>
            </w:tcBorders>
            <w:vMerge w:val="continue"/>
            <w:shd w:val="clear" w:color="auto" w:fill="2D53A6"/>
          </w:tcPr>
          <w:p>
            <w:pPr>
              <w:spacing w:after="0"/>
              <w:rPr>
                <w:sz w:val="9"/>
                <w:szCs w:val="9"/>
                <w:color w:val="auto"/>
              </w:rPr>
            </w:pPr>
          </w:p>
        </w:tc>
        <w:tc>
          <w:tcPr>
            <w:tcW w:w="1160" w:type="dxa"/>
            <w:vAlign w:val="bottom"/>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92"/>
              </w:rPr>
              <w:t>Rights That</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80" w:type="dxa"/>
            <w:vAlign w:val="bottom"/>
            <w:tcBorders>
              <w:right w:val="single" w:sz="8" w:color="auto"/>
            </w:tcBorders>
            <w:shd w:val="clear" w:color="auto" w:fill="2D53A6"/>
          </w:tcPr>
          <w:p>
            <w:pPr>
              <w:spacing w:after="0"/>
              <w:rPr>
                <w:sz w:val="9"/>
                <w:szCs w:val="9"/>
                <w:color w:val="auto"/>
              </w:rPr>
            </w:pPr>
          </w:p>
        </w:tc>
        <w:tc>
          <w:tcPr>
            <w:tcW w:w="1280" w:type="dxa"/>
            <w:vAlign w:val="bottom"/>
            <w:tcBorders>
              <w:right w:val="single" w:sz="8" w:color="auto"/>
            </w:tcBorders>
            <w:vMerge w:val="continue"/>
            <w:shd w:val="clear" w:color="auto" w:fill="2D53A6"/>
          </w:tcPr>
          <w:p>
            <w:pPr>
              <w:spacing w:after="0"/>
              <w:rPr>
                <w:sz w:val="9"/>
                <w:szCs w:val="9"/>
                <w:color w:val="auto"/>
              </w:rPr>
            </w:pPr>
          </w:p>
        </w:tc>
        <w:tc>
          <w:tcPr>
            <w:tcW w:w="1240" w:type="dxa"/>
            <w:vAlign w:val="bottom"/>
            <w:tcBorders>
              <w:right w:val="single" w:sz="8" w:color="auto"/>
            </w:tcBorders>
            <w:shd w:val="clear" w:color="auto" w:fill="2D53A6"/>
          </w:tcPr>
          <w:p>
            <w:pPr>
              <w:spacing w:after="0"/>
              <w:rPr>
                <w:sz w:val="9"/>
                <w:szCs w:val="9"/>
                <w:color w:val="auto"/>
              </w:rPr>
            </w:pPr>
          </w:p>
        </w:tc>
        <w:tc>
          <w:tcPr>
            <w:tcW w:w="160" w:type="dxa"/>
            <w:vAlign w:val="bottom"/>
            <w:shd w:val="clear" w:color="auto" w:fill="2D53A6"/>
          </w:tcPr>
          <w:p>
            <w:pPr>
              <w:spacing w:after="0"/>
              <w:rPr>
                <w:sz w:val="9"/>
                <w:szCs w:val="9"/>
                <w:color w:val="auto"/>
              </w:rPr>
            </w:pPr>
          </w:p>
        </w:tc>
        <w:tc>
          <w:tcPr>
            <w:tcW w:w="1080" w:type="dxa"/>
            <w:vAlign w:val="bottom"/>
            <w:tcBorders>
              <w:right w:val="single" w:sz="8" w:color="auto"/>
            </w:tcBorders>
            <w:shd w:val="clear" w:color="auto" w:fill="2D53A6"/>
          </w:tcPr>
          <w:p>
            <w:pPr>
              <w:spacing w:after="0"/>
              <w:rPr>
                <w:sz w:val="9"/>
                <w:szCs w:val="9"/>
                <w:color w:val="auto"/>
              </w:rPr>
            </w:pPr>
          </w:p>
        </w:tc>
        <w:tc>
          <w:tcPr>
            <w:tcW w:w="1280" w:type="dxa"/>
            <w:vAlign w:val="bottom"/>
            <w:tcBorders>
              <w:right w:val="single" w:sz="8" w:color="auto"/>
            </w:tcBorders>
            <w:shd w:val="clear" w:color="auto" w:fill="2D53A6"/>
          </w:tcPr>
          <w:p>
            <w:pPr>
              <w:spacing w:after="0"/>
              <w:rPr>
                <w:sz w:val="9"/>
                <w:szCs w:val="9"/>
                <w:color w:val="auto"/>
              </w:rPr>
            </w:pPr>
          </w:p>
        </w:tc>
        <w:tc>
          <w:tcPr>
            <w:tcW w:w="520" w:type="dxa"/>
            <w:vAlign w:val="bottom"/>
            <w:shd w:val="clear" w:color="auto" w:fill="2D53A6"/>
          </w:tcPr>
          <w:p>
            <w:pPr>
              <w:spacing w:after="0"/>
              <w:rPr>
                <w:sz w:val="9"/>
                <w:szCs w:val="9"/>
                <w:color w:val="auto"/>
              </w:rPr>
            </w:pPr>
          </w:p>
        </w:tc>
        <w:tc>
          <w:tcPr>
            <w:tcW w:w="40" w:type="dxa"/>
            <w:vAlign w:val="bottom"/>
            <w:shd w:val="clear" w:color="auto" w:fill="2D53A6"/>
          </w:tcPr>
          <w:p>
            <w:pPr>
              <w:spacing w:after="0"/>
              <w:rPr>
                <w:sz w:val="9"/>
                <w:szCs w:val="9"/>
                <w:color w:val="auto"/>
              </w:rPr>
            </w:pPr>
          </w:p>
        </w:tc>
        <w:tc>
          <w:tcPr>
            <w:tcW w:w="500" w:type="dxa"/>
            <w:vAlign w:val="bottom"/>
            <w:shd w:val="clear" w:color="auto" w:fill="2D53A6"/>
          </w:tcPr>
          <w:p>
            <w:pPr>
              <w:spacing w:after="0"/>
              <w:rPr>
                <w:sz w:val="9"/>
                <w:szCs w:val="9"/>
                <w:color w:val="auto"/>
              </w:rPr>
            </w:pPr>
          </w:p>
        </w:tc>
        <w:tc>
          <w:tcPr>
            <w:tcW w:w="180" w:type="dxa"/>
            <w:vAlign w:val="bottom"/>
            <w:tcBorders>
              <w:right w:val="single" w:sz="8" w:color="auto"/>
            </w:tcBorders>
            <w:shd w:val="clear" w:color="auto" w:fill="2D53A6"/>
          </w:tcPr>
          <w:p>
            <w:pPr>
              <w:spacing w:after="0"/>
              <w:rPr>
                <w:sz w:val="9"/>
                <w:szCs w:val="9"/>
                <w:color w:val="auto"/>
              </w:rPr>
            </w:pPr>
          </w:p>
        </w:tc>
        <w:tc>
          <w:tcPr>
            <w:tcW w:w="1280" w:type="dxa"/>
            <w:vAlign w:val="bottom"/>
            <w:tcBorders>
              <w:right w:val="single" w:sz="8" w:color="auto"/>
            </w:tcBorders>
            <w:shd w:val="clear" w:color="auto" w:fill="2D53A6"/>
          </w:tcPr>
          <w:p>
            <w:pPr>
              <w:spacing w:after="0"/>
              <w:rPr>
                <w:sz w:val="9"/>
                <w:szCs w:val="9"/>
                <w:color w:val="auto"/>
              </w:rPr>
            </w:pPr>
          </w:p>
        </w:tc>
        <w:tc>
          <w:tcPr>
            <w:tcW w:w="40" w:type="dxa"/>
            <w:vAlign w:val="bottom"/>
            <w:shd w:val="clear" w:color="auto" w:fill="2D53A6"/>
          </w:tcPr>
          <w:p>
            <w:pPr>
              <w:spacing w:after="0"/>
              <w:rPr>
                <w:sz w:val="9"/>
                <w:szCs w:val="9"/>
                <w:color w:val="auto"/>
              </w:rPr>
            </w:pPr>
          </w:p>
        </w:tc>
        <w:tc>
          <w:tcPr>
            <w:tcW w:w="1200" w:type="dxa"/>
            <w:vAlign w:val="bottom"/>
            <w:tcBorders>
              <w:right w:val="single" w:sz="8" w:color="auto"/>
            </w:tcBorders>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92"/>
              </w:rPr>
              <w:t>Have Not</w:t>
            </w:r>
          </w:p>
        </w:tc>
        <w:tc>
          <w:tcPr>
            <w:tcW w:w="1160" w:type="dxa"/>
            <w:vAlign w:val="bottom"/>
            <w:vMerge w:val="continue"/>
            <w:shd w:val="clear" w:color="auto" w:fill="2D53A6"/>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80" w:type="dxa"/>
            <w:vAlign w:val="bottom"/>
            <w:tcBorders>
              <w:right w:val="single" w:sz="8" w:color="auto"/>
            </w:tcBorders>
            <w:shd w:val="clear" w:color="auto" w:fill="2D53A6"/>
          </w:tcPr>
          <w:p>
            <w:pPr>
              <w:spacing w:after="0"/>
              <w:rPr>
                <w:sz w:val="9"/>
                <w:szCs w:val="9"/>
                <w:color w:val="auto"/>
              </w:rPr>
            </w:pPr>
          </w:p>
        </w:tc>
        <w:tc>
          <w:tcPr>
            <w:tcW w:w="1280" w:type="dxa"/>
            <w:vAlign w:val="bottom"/>
            <w:tcBorders>
              <w:right w:val="single" w:sz="8" w:color="auto"/>
            </w:tcBorders>
            <w:shd w:val="clear" w:color="auto" w:fill="2D53A6"/>
          </w:tcPr>
          <w:p>
            <w:pPr>
              <w:spacing w:after="0"/>
              <w:rPr>
                <w:sz w:val="9"/>
                <w:szCs w:val="9"/>
                <w:color w:val="auto"/>
              </w:rPr>
            </w:pPr>
          </w:p>
        </w:tc>
        <w:tc>
          <w:tcPr>
            <w:tcW w:w="1240" w:type="dxa"/>
            <w:vAlign w:val="bottom"/>
            <w:tcBorders>
              <w:right w:val="single" w:sz="8" w:color="auto"/>
            </w:tcBorders>
            <w:shd w:val="clear" w:color="auto" w:fill="2D53A6"/>
          </w:tcPr>
          <w:p>
            <w:pPr>
              <w:spacing w:after="0"/>
              <w:rPr>
                <w:sz w:val="9"/>
                <w:szCs w:val="9"/>
                <w:color w:val="auto"/>
              </w:rPr>
            </w:pPr>
          </w:p>
        </w:tc>
        <w:tc>
          <w:tcPr>
            <w:tcW w:w="160" w:type="dxa"/>
            <w:vAlign w:val="bottom"/>
            <w:shd w:val="clear" w:color="auto" w:fill="2D53A6"/>
          </w:tcPr>
          <w:p>
            <w:pPr>
              <w:spacing w:after="0"/>
              <w:rPr>
                <w:sz w:val="9"/>
                <w:szCs w:val="9"/>
                <w:color w:val="auto"/>
              </w:rPr>
            </w:pPr>
          </w:p>
        </w:tc>
        <w:tc>
          <w:tcPr>
            <w:tcW w:w="1080" w:type="dxa"/>
            <w:vAlign w:val="bottom"/>
            <w:tcBorders>
              <w:right w:val="single" w:sz="8" w:color="auto"/>
            </w:tcBorders>
            <w:shd w:val="clear" w:color="auto" w:fill="2D53A6"/>
          </w:tcPr>
          <w:p>
            <w:pPr>
              <w:spacing w:after="0"/>
              <w:rPr>
                <w:sz w:val="9"/>
                <w:szCs w:val="9"/>
                <w:color w:val="auto"/>
              </w:rPr>
            </w:pPr>
          </w:p>
        </w:tc>
        <w:tc>
          <w:tcPr>
            <w:tcW w:w="1280" w:type="dxa"/>
            <w:vAlign w:val="bottom"/>
            <w:tcBorders>
              <w:right w:val="single" w:sz="8" w:color="auto"/>
            </w:tcBorders>
            <w:shd w:val="clear" w:color="auto" w:fill="2D53A6"/>
          </w:tcPr>
          <w:p>
            <w:pPr>
              <w:spacing w:after="0"/>
              <w:rPr>
                <w:sz w:val="9"/>
                <w:szCs w:val="9"/>
                <w:color w:val="auto"/>
              </w:rPr>
            </w:pPr>
          </w:p>
        </w:tc>
        <w:tc>
          <w:tcPr>
            <w:tcW w:w="520" w:type="dxa"/>
            <w:vAlign w:val="bottom"/>
            <w:shd w:val="clear" w:color="auto" w:fill="2D53A6"/>
          </w:tcPr>
          <w:p>
            <w:pPr>
              <w:spacing w:after="0"/>
              <w:rPr>
                <w:sz w:val="9"/>
                <w:szCs w:val="9"/>
                <w:color w:val="auto"/>
              </w:rPr>
            </w:pPr>
          </w:p>
        </w:tc>
        <w:tc>
          <w:tcPr>
            <w:tcW w:w="40" w:type="dxa"/>
            <w:vAlign w:val="bottom"/>
            <w:shd w:val="clear" w:color="auto" w:fill="2D53A6"/>
          </w:tcPr>
          <w:p>
            <w:pPr>
              <w:spacing w:after="0"/>
              <w:rPr>
                <w:sz w:val="9"/>
                <w:szCs w:val="9"/>
                <w:color w:val="auto"/>
              </w:rPr>
            </w:pPr>
          </w:p>
        </w:tc>
        <w:tc>
          <w:tcPr>
            <w:tcW w:w="500" w:type="dxa"/>
            <w:vAlign w:val="bottom"/>
            <w:shd w:val="clear" w:color="auto" w:fill="2D53A6"/>
          </w:tcPr>
          <w:p>
            <w:pPr>
              <w:spacing w:after="0"/>
              <w:rPr>
                <w:sz w:val="9"/>
                <w:szCs w:val="9"/>
                <w:color w:val="auto"/>
              </w:rPr>
            </w:pPr>
          </w:p>
        </w:tc>
        <w:tc>
          <w:tcPr>
            <w:tcW w:w="180" w:type="dxa"/>
            <w:vAlign w:val="bottom"/>
            <w:tcBorders>
              <w:right w:val="single" w:sz="8" w:color="auto"/>
            </w:tcBorders>
            <w:shd w:val="clear" w:color="auto" w:fill="2D53A6"/>
          </w:tcPr>
          <w:p>
            <w:pPr>
              <w:spacing w:after="0"/>
              <w:rPr>
                <w:sz w:val="9"/>
                <w:szCs w:val="9"/>
                <w:color w:val="auto"/>
              </w:rPr>
            </w:pPr>
          </w:p>
        </w:tc>
        <w:tc>
          <w:tcPr>
            <w:tcW w:w="1280" w:type="dxa"/>
            <w:vAlign w:val="bottom"/>
            <w:tcBorders>
              <w:right w:val="single" w:sz="8" w:color="auto"/>
            </w:tcBorders>
            <w:shd w:val="clear" w:color="auto" w:fill="2D53A6"/>
          </w:tcPr>
          <w:p>
            <w:pPr>
              <w:spacing w:after="0"/>
              <w:rPr>
                <w:sz w:val="9"/>
                <w:szCs w:val="9"/>
                <w:color w:val="auto"/>
              </w:rPr>
            </w:pPr>
          </w:p>
        </w:tc>
        <w:tc>
          <w:tcPr>
            <w:tcW w:w="40" w:type="dxa"/>
            <w:vAlign w:val="bottom"/>
            <w:shd w:val="clear" w:color="auto" w:fill="2D53A6"/>
          </w:tcPr>
          <w:p>
            <w:pPr>
              <w:spacing w:after="0"/>
              <w:rPr>
                <w:sz w:val="9"/>
                <w:szCs w:val="9"/>
                <w:color w:val="auto"/>
              </w:rPr>
            </w:pPr>
          </w:p>
        </w:tc>
        <w:tc>
          <w:tcPr>
            <w:tcW w:w="1200" w:type="dxa"/>
            <w:vAlign w:val="bottom"/>
            <w:tcBorders>
              <w:right w:val="single" w:sz="8" w:color="auto"/>
            </w:tcBorders>
            <w:vMerge w:val="continue"/>
            <w:shd w:val="clear" w:color="auto" w:fill="2D53A6"/>
          </w:tcPr>
          <w:p>
            <w:pPr>
              <w:spacing w:after="0"/>
              <w:rPr>
                <w:sz w:val="9"/>
                <w:szCs w:val="9"/>
                <w:color w:val="auto"/>
              </w:rPr>
            </w:pPr>
          </w:p>
        </w:tc>
        <w:tc>
          <w:tcPr>
            <w:tcW w:w="1160" w:type="dxa"/>
            <w:vAlign w:val="bottom"/>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92"/>
              </w:rPr>
              <w:t>Have Not</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80" w:type="dxa"/>
            <w:vAlign w:val="bottom"/>
            <w:tcBorders>
              <w:right w:val="single" w:sz="8" w:color="auto"/>
            </w:tcBorders>
            <w:shd w:val="clear" w:color="auto" w:fill="2D53A6"/>
          </w:tcPr>
          <w:p>
            <w:pPr>
              <w:spacing w:after="0"/>
              <w:rPr>
                <w:sz w:val="9"/>
                <w:szCs w:val="9"/>
                <w:color w:val="auto"/>
              </w:rPr>
            </w:pPr>
          </w:p>
        </w:tc>
        <w:tc>
          <w:tcPr>
            <w:tcW w:w="1280" w:type="dxa"/>
            <w:vAlign w:val="bottom"/>
            <w:tcBorders>
              <w:right w:val="single" w:sz="8" w:color="auto"/>
            </w:tcBorders>
            <w:shd w:val="clear" w:color="auto" w:fill="2D53A6"/>
          </w:tcPr>
          <w:p>
            <w:pPr>
              <w:spacing w:after="0"/>
              <w:rPr>
                <w:sz w:val="9"/>
                <w:szCs w:val="9"/>
                <w:color w:val="auto"/>
              </w:rPr>
            </w:pPr>
          </w:p>
        </w:tc>
        <w:tc>
          <w:tcPr>
            <w:tcW w:w="1240" w:type="dxa"/>
            <w:vAlign w:val="bottom"/>
            <w:tcBorders>
              <w:right w:val="single" w:sz="8" w:color="auto"/>
            </w:tcBorders>
            <w:shd w:val="clear" w:color="auto" w:fill="2D53A6"/>
          </w:tcPr>
          <w:p>
            <w:pPr>
              <w:spacing w:after="0"/>
              <w:rPr>
                <w:sz w:val="9"/>
                <w:szCs w:val="9"/>
                <w:color w:val="auto"/>
              </w:rPr>
            </w:pPr>
          </w:p>
        </w:tc>
        <w:tc>
          <w:tcPr>
            <w:tcW w:w="160" w:type="dxa"/>
            <w:vAlign w:val="bottom"/>
            <w:shd w:val="clear" w:color="auto" w:fill="2D53A6"/>
          </w:tcPr>
          <w:p>
            <w:pPr>
              <w:spacing w:after="0"/>
              <w:rPr>
                <w:sz w:val="9"/>
                <w:szCs w:val="9"/>
                <w:color w:val="auto"/>
              </w:rPr>
            </w:pPr>
          </w:p>
        </w:tc>
        <w:tc>
          <w:tcPr>
            <w:tcW w:w="1080" w:type="dxa"/>
            <w:vAlign w:val="bottom"/>
            <w:tcBorders>
              <w:right w:val="single" w:sz="8" w:color="auto"/>
            </w:tcBorders>
            <w:shd w:val="clear" w:color="auto" w:fill="2D53A6"/>
          </w:tcPr>
          <w:p>
            <w:pPr>
              <w:spacing w:after="0"/>
              <w:rPr>
                <w:sz w:val="9"/>
                <w:szCs w:val="9"/>
                <w:color w:val="auto"/>
              </w:rPr>
            </w:pPr>
          </w:p>
        </w:tc>
        <w:tc>
          <w:tcPr>
            <w:tcW w:w="1280" w:type="dxa"/>
            <w:vAlign w:val="bottom"/>
            <w:tcBorders>
              <w:right w:val="single" w:sz="8" w:color="auto"/>
            </w:tcBorders>
            <w:shd w:val="clear" w:color="auto" w:fill="2D53A6"/>
          </w:tcPr>
          <w:p>
            <w:pPr>
              <w:spacing w:after="0"/>
              <w:rPr>
                <w:sz w:val="9"/>
                <w:szCs w:val="9"/>
                <w:color w:val="auto"/>
              </w:rPr>
            </w:pPr>
          </w:p>
        </w:tc>
        <w:tc>
          <w:tcPr>
            <w:tcW w:w="520" w:type="dxa"/>
            <w:vAlign w:val="bottom"/>
            <w:shd w:val="clear" w:color="auto" w:fill="2D53A6"/>
          </w:tcPr>
          <w:p>
            <w:pPr>
              <w:spacing w:after="0"/>
              <w:rPr>
                <w:sz w:val="9"/>
                <w:szCs w:val="9"/>
                <w:color w:val="auto"/>
              </w:rPr>
            </w:pPr>
          </w:p>
        </w:tc>
        <w:tc>
          <w:tcPr>
            <w:tcW w:w="40" w:type="dxa"/>
            <w:vAlign w:val="bottom"/>
            <w:shd w:val="clear" w:color="auto" w:fill="2D53A6"/>
          </w:tcPr>
          <w:p>
            <w:pPr>
              <w:spacing w:after="0"/>
              <w:rPr>
                <w:sz w:val="9"/>
                <w:szCs w:val="9"/>
                <w:color w:val="auto"/>
              </w:rPr>
            </w:pPr>
          </w:p>
        </w:tc>
        <w:tc>
          <w:tcPr>
            <w:tcW w:w="500" w:type="dxa"/>
            <w:vAlign w:val="bottom"/>
            <w:shd w:val="clear" w:color="auto" w:fill="2D53A6"/>
          </w:tcPr>
          <w:p>
            <w:pPr>
              <w:spacing w:after="0"/>
              <w:rPr>
                <w:sz w:val="9"/>
                <w:szCs w:val="9"/>
                <w:color w:val="auto"/>
              </w:rPr>
            </w:pPr>
          </w:p>
        </w:tc>
        <w:tc>
          <w:tcPr>
            <w:tcW w:w="180" w:type="dxa"/>
            <w:vAlign w:val="bottom"/>
            <w:tcBorders>
              <w:right w:val="single" w:sz="8" w:color="auto"/>
            </w:tcBorders>
            <w:shd w:val="clear" w:color="auto" w:fill="2D53A6"/>
          </w:tcPr>
          <w:p>
            <w:pPr>
              <w:spacing w:after="0"/>
              <w:rPr>
                <w:sz w:val="9"/>
                <w:szCs w:val="9"/>
                <w:color w:val="auto"/>
              </w:rPr>
            </w:pPr>
          </w:p>
        </w:tc>
        <w:tc>
          <w:tcPr>
            <w:tcW w:w="1280" w:type="dxa"/>
            <w:vAlign w:val="bottom"/>
            <w:tcBorders>
              <w:right w:val="single" w:sz="8" w:color="auto"/>
            </w:tcBorders>
            <w:shd w:val="clear" w:color="auto" w:fill="2D53A6"/>
          </w:tcPr>
          <w:p>
            <w:pPr>
              <w:spacing w:after="0"/>
              <w:rPr>
                <w:sz w:val="9"/>
                <w:szCs w:val="9"/>
                <w:color w:val="auto"/>
              </w:rPr>
            </w:pPr>
          </w:p>
        </w:tc>
        <w:tc>
          <w:tcPr>
            <w:tcW w:w="40" w:type="dxa"/>
            <w:vAlign w:val="bottom"/>
            <w:shd w:val="clear" w:color="auto" w:fill="2D53A6"/>
          </w:tcPr>
          <w:p>
            <w:pPr>
              <w:spacing w:after="0"/>
              <w:rPr>
                <w:sz w:val="9"/>
                <w:szCs w:val="9"/>
                <w:color w:val="auto"/>
              </w:rPr>
            </w:pPr>
          </w:p>
        </w:tc>
        <w:tc>
          <w:tcPr>
            <w:tcW w:w="1200" w:type="dxa"/>
            <w:vAlign w:val="bottom"/>
            <w:tcBorders>
              <w:right w:val="single" w:sz="8" w:color="auto"/>
            </w:tcBorders>
            <w:vMerge w:val="restart"/>
            <w:shd w:val="clear" w:color="auto" w:fill="2D53A6"/>
          </w:tcPr>
          <w:p>
            <w:pPr>
              <w:jc w:val="center"/>
              <w:spacing w:after="0" w:line="288" w:lineRule="exact"/>
              <w:rPr>
                <w:sz w:val="20"/>
                <w:szCs w:val="20"/>
                <w:color w:val="auto"/>
              </w:rPr>
            </w:pPr>
            <w:r>
              <w:rPr>
                <w:rFonts w:ascii="Arial" w:cs="Arial" w:eastAsia="Arial" w:hAnsi="Arial"/>
                <w:sz w:val="18"/>
                <w:szCs w:val="18"/>
                <w:b w:val="1"/>
                <w:bCs w:val="1"/>
                <w:color w:val="FFFFFF"/>
                <w:w w:val="83"/>
              </w:rPr>
              <w:t xml:space="preserve">Vested (#) </w:t>
            </w:r>
            <w:r>
              <w:rPr>
                <w:rFonts w:ascii="Arial" w:cs="Arial" w:eastAsia="Arial" w:hAnsi="Arial"/>
                <w:sz w:val="29"/>
                <w:szCs w:val="29"/>
                <w:b w:val="1"/>
                <w:bCs w:val="1"/>
                <w:color w:val="FFFFFF"/>
                <w:w w:val="83"/>
                <w:vertAlign w:val="superscript"/>
              </w:rPr>
              <w:t>(4)</w:t>
            </w:r>
          </w:p>
        </w:tc>
        <w:tc>
          <w:tcPr>
            <w:tcW w:w="1160" w:type="dxa"/>
            <w:vAlign w:val="bottom"/>
            <w:vMerge w:val="continue"/>
            <w:shd w:val="clear" w:color="auto" w:fill="2D53A6"/>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4"/>
        </w:trPr>
        <w:tc>
          <w:tcPr>
            <w:tcW w:w="1280" w:type="dxa"/>
            <w:vAlign w:val="bottom"/>
            <w:tcBorders>
              <w:bottom w:val="single" w:sz="8" w:color="2D53A6"/>
              <w:right w:val="single" w:sz="8" w:color="auto"/>
            </w:tcBorders>
            <w:shd w:val="clear" w:color="auto" w:fill="2D53A6"/>
          </w:tcPr>
          <w:p>
            <w:pPr>
              <w:spacing w:after="0"/>
              <w:rPr>
                <w:sz w:val="20"/>
                <w:szCs w:val="20"/>
                <w:color w:val="auto"/>
              </w:rPr>
            </w:pPr>
          </w:p>
        </w:tc>
        <w:tc>
          <w:tcPr>
            <w:tcW w:w="1280" w:type="dxa"/>
            <w:vAlign w:val="bottom"/>
            <w:tcBorders>
              <w:bottom w:val="single" w:sz="8" w:color="2D53A6"/>
              <w:right w:val="single" w:sz="8" w:color="auto"/>
            </w:tcBorders>
            <w:shd w:val="clear" w:color="auto" w:fill="2D53A6"/>
          </w:tcPr>
          <w:p>
            <w:pPr>
              <w:spacing w:after="0"/>
              <w:rPr>
                <w:sz w:val="20"/>
                <w:szCs w:val="20"/>
                <w:color w:val="auto"/>
              </w:rPr>
            </w:pPr>
          </w:p>
        </w:tc>
        <w:tc>
          <w:tcPr>
            <w:tcW w:w="1240" w:type="dxa"/>
            <w:vAlign w:val="bottom"/>
            <w:tcBorders>
              <w:bottom w:val="single" w:sz="8" w:color="2D53A6"/>
              <w:right w:val="single" w:sz="8" w:color="auto"/>
            </w:tcBorders>
            <w:shd w:val="clear" w:color="auto" w:fill="2D53A6"/>
          </w:tcPr>
          <w:p>
            <w:pPr>
              <w:spacing w:after="0"/>
              <w:rPr>
                <w:sz w:val="20"/>
                <w:szCs w:val="20"/>
                <w:color w:val="auto"/>
              </w:rPr>
            </w:pPr>
          </w:p>
        </w:tc>
        <w:tc>
          <w:tcPr>
            <w:tcW w:w="160" w:type="dxa"/>
            <w:vAlign w:val="bottom"/>
            <w:tcBorders>
              <w:bottom w:val="single" w:sz="8" w:color="2D53A6"/>
            </w:tcBorders>
            <w:shd w:val="clear" w:color="auto" w:fill="2D53A6"/>
          </w:tcPr>
          <w:p>
            <w:pPr>
              <w:spacing w:after="0"/>
              <w:rPr>
                <w:sz w:val="20"/>
                <w:szCs w:val="20"/>
                <w:color w:val="auto"/>
              </w:rPr>
            </w:pPr>
          </w:p>
        </w:tc>
        <w:tc>
          <w:tcPr>
            <w:tcW w:w="1080" w:type="dxa"/>
            <w:vAlign w:val="bottom"/>
            <w:tcBorders>
              <w:bottom w:val="single" w:sz="8" w:color="2D53A6"/>
              <w:right w:val="single" w:sz="8" w:color="auto"/>
            </w:tcBorders>
            <w:shd w:val="clear" w:color="auto" w:fill="2D53A6"/>
          </w:tcPr>
          <w:p>
            <w:pPr>
              <w:spacing w:after="0"/>
              <w:rPr>
                <w:sz w:val="20"/>
                <w:szCs w:val="20"/>
                <w:color w:val="auto"/>
              </w:rPr>
            </w:pPr>
          </w:p>
        </w:tc>
        <w:tc>
          <w:tcPr>
            <w:tcW w:w="1280" w:type="dxa"/>
            <w:vAlign w:val="bottom"/>
            <w:tcBorders>
              <w:bottom w:val="single" w:sz="8" w:color="2D53A6"/>
              <w:right w:val="single" w:sz="8" w:color="auto"/>
            </w:tcBorders>
            <w:shd w:val="clear" w:color="auto" w:fill="2D53A6"/>
          </w:tcPr>
          <w:p>
            <w:pPr>
              <w:spacing w:after="0"/>
              <w:rPr>
                <w:sz w:val="20"/>
                <w:szCs w:val="20"/>
                <w:color w:val="auto"/>
              </w:rPr>
            </w:pPr>
          </w:p>
        </w:tc>
        <w:tc>
          <w:tcPr>
            <w:tcW w:w="520" w:type="dxa"/>
            <w:vAlign w:val="bottom"/>
            <w:tcBorders>
              <w:bottom w:val="single" w:sz="8" w:color="2D53A6"/>
            </w:tcBorders>
            <w:shd w:val="clear" w:color="auto" w:fill="2D53A6"/>
          </w:tcPr>
          <w:p>
            <w:pPr>
              <w:spacing w:after="0"/>
              <w:rPr>
                <w:sz w:val="20"/>
                <w:szCs w:val="20"/>
                <w:color w:val="auto"/>
              </w:rPr>
            </w:pPr>
          </w:p>
        </w:tc>
        <w:tc>
          <w:tcPr>
            <w:tcW w:w="40" w:type="dxa"/>
            <w:vAlign w:val="bottom"/>
            <w:tcBorders>
              <w:bottom w:val="single" w:sz="8" w:color="2D53A6"/>
            </w:tcBorders>
            <w:shd w:val="clear" w:color="auto" w:fill="2D53A6"/>
          </w:tcPr>
          <w:p>
            <w:pPr>
              <w:spacing w:after="0"/>
              <w:rPr>
                <w:sz w:val="20"/>
                <w:szCs w:val="20"/>
                <w:color w:val="auto"/>
              </w:rPr>
            </w:pPr>
          </w:p>
        </w:tc>
        <w:tc>
          <w:tcPr>
            <w:tcW w:w="500" w:type="dxa"/>
            <w:vAlign w:val="bottom"/>
            <w:tcBorders>
              <w:bottom w:val="single" w:sz="8" w:color="2D53A6"/>
            </w:tcBorders>
            <w:shd w:val="clear" w:color="auto" w:fill="2D53A6"/>
          </w:tcPr>
          <w:p>
            <w:pPr>
              <w:spacing w:after="0"/>
              <w:rPr>
                <w:sz w:val="20"/>
                <w:szCs w:val="20"/>
                <w:color w:val="auto"/>
              </w:rPr>
            </w:pPr>
          </w:p>
        </w:tc>
        <w:tc>
          <w:tcPr>
            <w:tcW w:w="180" w:type="dxa"/>
            <w:vAlign w:val="bottom"/>
            <w:tcBorders>
              <w:bottom w:val="single" w:sz="8" w:color="2D53A6"/>
              <w:right w:val="single" w:sz="8" w:color="auto"/>
            </w:tcBorders>
            <w:shd w:val="clear" w:color="auto" w:fill="2D53A6"/>
          </w:tcPr>
          <w:p>
            <w:pPr>
              <w:spacing w:after="0"/>
              <w:rPr>
                <w:sz w:val="20"/>
                <w:szCs w:val="20"/>
                <w:color w:val="auto"/>
              </w:rPr>
            </w:pPr>
          </w:p>
        </w:tc>
        <w:tc>
          <w:tcPr>
            <w:tcW w:w="1280" w:type="dxa"/>
            <w:vAlign w:val="bottom"/>
            <w:tcBorders>
              <w:bottom w:val="single" w:sz="8" w:color="2D53A6"/>
              <w:right w:val="single" w:sz="8" w:color="auto"/>
            </w:tcBorders>
            <w:shd w:val="clear" w:color="auto" w:fill="2D53A6"/>
          </w:tcPr>
          <w:p>
            <w:pPr>
              <w:spacing w:after="0"/>
              <w:rPr>
                <w:sz w:val="20"/>
                <w:szCs w:val="20"/>
                <w:color w:val="auto"/>
              </w:rPr>
            </w:pPr>
          </w:p>
        </w:tc>
        <w:tc>
          <w:tcPr>
            <w:tcW w:w="40" w:type="dxa"/>
            <w:vAlign w:val="bottom"/>
            <w:tcBorders>
              <w:bottom w:val="single" w:sz="8" w:color="2D53A6"/>
            </w:tcBorders>
            <w:shd w:val="clear" w:color="auto" w:fill="2D53A6"/>
          </w:tcPr>
          <w:p>
            <w:pPr>
              <w:spacing w:after="0"/>
              <w:rPr>
                <w:sz w:val="20"/>
                <w:szCs w:val="20"/>
                <w:color w:val="auto"/>
              </w:rPr>
            </w:pPr>
          </w:p>
        </w:tc>
        <w:tc>
          <w:tcPr>
            <w:tcW w:w="1200" w:type="dxa"/>
            <w:vAlign w:val="bottom"/>
            <w:tcBorders>
              <w:bottom w:val="single" w:sz="8" w:color="2D53A6"/>
              <w:right w:val="single" w:sz="8" w:color="auto"/>
            </w:tcBorders>
            <w:vMerge w:val="continue"/>
            <w:shd w:val="clear" w:color="auto" w:fill="2D53A6"/>
          </w:tcPr>
          <w:p>
            <w:pPr>
              <w:spacing w:after="0"/>
              <w:rPr>
                <w:sz w:val="20"/>
                <w:szCs w:val="20"/>
                <w:color w:val="auto"/>
              </w:rPr>
            </w:pPr>
          </w:p>
        </w:tc>
        <w:tc>
          <w:tcPr>
            <w:tcW w:w="1160" w:type="dxa"/>
            <w:vAlign w:val="bottom"/>
            <w:tcBorders>
              <w:bottom w:val="single" w:sz="8" w:color="2D53A6"/>
            </w:tcBorders>
            <w:shd w:val="clear" w:color="auto" w:fill="2D53A6"/>
          </w:tcPr>
          <w:p>
            <w:pPr>
              <w:jc w:val="center"/>
              <w:spacing w:after="0" w:line="235" w:lineRule="exact"/>
              <w:rPr>
                <w:sz w:val="20"/>
                <w:szCs w:val="20"/>
                <w:color w:val="auto"/>
              </w:rPr>
            </w:pPr>
            <w:r>
              <w:rPr>
                <w:rFonts w:ascii="Arial" w:cs="Arial" w:eastAsia="Arial" w:hAnsi="Arial"/>
                <w:sz w:val="17"/>
                <w:szCs w:val="17"/>
                <w:b w:val="1"/>
                <w:bCs w:val="1"/>
                <w:color w:val="FFFFFF"/>
                <w:w w:val="90"/>
              </w:rPr>
              <w:t xml:space="preserve">Vested ($) </w:t>
            </w:r>
            <w:r>
              <w:rPr>
                <w:rFonts w:ascii="Arial" w:cs="Arial" w:eastAsia="Arial" w:hAnsi="Arial"/>
                <w:sz w:val="27"/>
                <w:szCs w:val="27"/>
                <w:b w:val="1"/>
                <w:bCs w:val="1"/>
                <w:color w:val="FFFFFF"/>
                <w:w w:val="90"/>
                <w:vertAlign w:val="superscript"/>
              </w:rPr>
              <w:t>(5)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1280" w:type="dxa"/>
            <w:vAlign w:val="bottom"/>
            <w:tcBorders>
              <w:top w:val="single" w:sz="8" w:color="auto"/>
              <w:right w:val="single" w:sz="8" w:color="2D53A6"/>
            </w:tcBorders>
          </w:tcPr>
          <w:p>
            <w:pPr>
              <w:spacing w:after="0" w:line="195" w:lineRule="exact"/>
              <w:rPr>
                <w:sz w:val="20"/>
                <w:szCs w:val="20"/>
                <w:color w:val="auto"/>
              </w:rPr>
            </w:pPr>
            <w:r>
              <w:rPr>
                <w:rFonts w:ascii="Arial" w:cs="Arial" w:eastAsia="Arial" w:hAnsi="Arial"/>
                <w:sz w:val="18"/>
                <w:szCs w:val="18"/>
                <w:color w:val="auto"/>
              </w:rPr>
              <w:t>Luis A.</w:t>
            </w:r>
          </w:p>
        </w:tc>
        <w:tc>
          <w:tcPr>
            <w:tcW w:w="1280" w:type="dxa"/>
            <w:vAlign w:val="bottom"/>
            <w:tcBorders>
              <w:top w:val="single" w:sz="8" w:color="auto"/>
              <w:right w:val="single" w:sz="8" w:color="2D53A6"/>
            </w:tcBorders>
          </w:tcPr>
          <w:p>
            <w:pPr>
              <w:jc w:val="right"/>
              <w:spacing w:after="0" w:line="195" w:lineRule="exact"/>
              <w:rPr>
                <w:sz w:val="20"/>
                <w:szCs w:val="20"/>
                <w:color w:val="auto"/>
              </w:rPr>
            </w:pPr>
            <w:r>
              <w:rPr>
                <w:rFonts w:ascii="Arial" w:cs="Arial" w:eastAsia="Arial" w:hAnsi="Arial"/>
                <w:sz w:val="18"/>
                <w:szCs w:val="18"/>
                <w:color w:val="auto"/>
              </w:rPr>
              <w:t>-</w:t>
            </w:r>
          </w:p>
        </w:tc>
        <w:tc>
          <w:tcPr>
            <w:tcW w:w="1240" w:type="dxa"/>
            <w:vAlign w:val="bottom"/>
            <w:tcBorders>
              <w:top w:val="single" w:sz="8" w:color="auto"/>
              <w:right w:val="single" w:sz="8" w:color="2D53A6"/>
            </w:tcBorders>
          </w:tcPr>
          <w:p>
            <w:pPr>
              <w:jc w:val="right"/>
              <w:spacing w:after="0" w:line="195"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right w:val="single" w:sz="8" w:color="2D53A6"/>
            </w:tcBorders>
          </w:tcPr>
          <w:p>
            <w:pPr>
              <w:jc w:val="right"/>
              <w:spacing w:after="0" w:line="195" w:lineRule="exact"/>
              <w:rPr>
                <w:sz w:val="20"/>
                <w:szCs w:val="20"/>
                <w:color w:val="auto"/>
              </w:rPr>
            </w:pPr>
            <w:r>
              <w:rPr>
                <w:rFonts w:ascii="Arial" w:cs="Arial" w:eastAsia="Arial" w:hAnsi="Arial"/>
                <w:sz w:val="18"/>
                <w:szCs w:val="18"/>
                <w:color w:val="auto"/>
              </w:rPr>
              <w:t>-</w:t>
            </w:r>
          </w:p>
        </w:tc>
        <w:tc>
          <w:tcPr>
            <w:tcW w:w="1280" w:type="dxa"/>
            <w:vAlign w:val="bottom"/>
            <w:tcBorders>
              <w:top w:val="single" w:sz="8" w:color="auto"/>
              <w:right w:val="single" w:sz="8" w:color="2D53A6"/>
            </w:tcBorders>
          </w:tcPr>
          <w:p>
            <w:pPr>
              <w:jc w:val="center"/>
              <w:spacing w:after="0" w:line="195" w:lineRule="exact"/>
              <w:rPr>
                <w:sz w:val="20"/>
                <w:szCs w:val="20"/>
                <w:color w:val="auto"/>
              </w:rPr>
            </w:pPr>
            <w:r>
              <w:rPr>
                <w:rFonts w:ascii="Arial" w:cs="Arial" w:eastAsia="Arial" w:hAnsi="Arial"/>
                <w:sz w:val="18"/>
                <w:szCs w:val="18"/>
                <w:color w:val="auto"/>
                <w:w w:val="89"/>
              </w:rPr>
              <w:t>3/20/2018</w:t>
            </w:r>
          </w:p>
        </w:tc>
        <w:tc>
          <w:tcPr>
            <w:tcW w:w="520" w:type="dxa"/>
            <w:vAlign w:val="bottom"/>
            <w:tcBorders>
              <w:top w:val="single" w:sz="8" w:color="auto"/>
            </w:tcBorders>
          </w:tcPr>
          <w:p>
            <w:pPr>
              <w:ind w:left="20"/>
              <w:spacing w:after="0" w:line="195" w:lineRule="exact"/>
              <w:rPr>
                <w:sz w:val="20"/>
                <w:szCs w:val="20"/>
                <w:color w:val="auto"/>
              </w:rPr>
            </w:pPr>
            <w:r>
              <w:rPr>
                <w:rFonts w:ascii="Arial" w:cs="Arial" w:eastAsia="Arial" w:hAnsi="Arial"/>
                <w:sz w:val="18"/>
                <w:szCs w:val="18"/>
                <w:color w:val="auto"/>
              </w:rPr>
              <w:t>7,688</w:t>
            </w:r>
          </w:p>
        </w:tc>
        <w:tc>
          <w:tcPr>
            <w:tcW w:w="540" w:type="dxa"/>
            <w:vAlign w:val="bottom"/>
            <w:tcBorders>
              <w:top w:val="single" w:sz="8" w:color="auto"/>
            </w:tcBorders>
            <w:gridSpan w:val="2"/>
          </w:tcPr>
          <w:p>
            <w:pPr>
              <w:jc w:val="center"/>
              <w:ind w:right="305"/>
              <w:spacing w:after="0"/>
              <w:rPr>
                <w:sz w:val="20"/>
                <w:szCs w:val="20"/>
                <w:color w:val="auto"/>
              </w:rPr>
            </w:pPr>
            <w:r>
              <w:rPr>
                <w:rFonts w:ascii="Arial" w:cs="Arial" w:eastAsia="Arial" w:hAnsi="Arial"/>
                <w:sz w:val="15"/>
                <w:szCs w:val="15"/>
                <w:color w:val="auto"/>
                <w:w w:val="87"/>
              </w:rPr>
              <w:t>(2)</w:t>
            </w:r>
          </w:p>
        </w:tc>
        <w:tc>
          <w:tcPr>
            <w:tcW w:w="180" w:type="dxa"/>
            <w:vAlign w:val="bottom"/>
            <w:tcBorders>
              <w:top w:val="single" w:sz="8" w:color="auto"/>
              <w:right w:val="single" w:sz="8" w:color="2D53A6"/>
            </w:tcBorders>
          </w:tcPr>
          <w:p>
            <w:pPr>
              <w:spacing w:after="0"/>
              <w:rPr>
                <w:sz w:val="16"/>
                <w:szCs w:val="16"/>
                <w:color w:val="auto"/>
              </w:rPr>
            </w:pPr>
          </w:p>
        </w:tc>
        <w:tc>
          <w:tcPr>
            <w:tcW w:w="1280" w:type="dxa"/>
            <w:vAlign w:val="bottom"/>
            <w:tcBorders>
              <w:top w:val="single" w:sz="8" w:color="auto"/>
              <w:right w:val="single" w:sz="8" w:color="2D53A6"/>
            </w:tcBorders>
          </w:tcPr>
          <w:p>
            <w:pPr>
              <w:jc w:val="right"/>
              <w:spacing w:after="0" w:line="195" w:lineRule="exact"/>
              <w:rPr>
                <w:sz w:val="20"/>
                <w:szCs w:val="20"/>
                <w:color w:val="auto"/>
              </w:rPr>
            </w:pPr>
            <w:r>
              <w:rPr>
                <w:rFonts w:ascii="Arial" w:cs="Arial" w:eastAsia="Arial" w:hAnsi="Arial"/>
                <w:sz w:val="18"/>
                <w:szCs w:val="18"/>
                <w:color w:val="auto"/>
              </w:rPr>
              <w:t>292,221</w:t>
            </w:r>
          </w:p>
        </w:tc>
        <w:tc>
          <w:tcPr>
            <w:tcW w:w="40" w:type="dxa"/>
            <w:vAlign w:val="bottom"/>
            <w:tcBorders>
              <w:top w:val="single" w:sz="8" w:color="auto"/>
            </w:tcBorders>
          </w:tcPr>
          <w:p>
            <w:pPr>
              <w:spacing w:after="0"/>
              <w:rPr>
                <w:sz w:val="16"/>
                <w:szCs w:val="16"/>
                <w:color w:val="auto"/>
              </w:rPr>
            </w:pPr>
          </w:p>
        </w:tc>
        <w:tc>
          <w:tcPr>
            <w:tcW w:w="1200" w:type="dxa"/>
            <w:vAlign w:val="bottom"/>
            <w:tcBorders>
              <w:top w:val="single" w:sz="8" w:color="auto"/>
              <w:right w:val="single" w:sz="8" w:color="2D53A6"/>
            </w:tcBorders>
          </w:tcPr>
          <w:p>
            <w:pPr>
              <w:jc w:val="right"/>
              <w:spacing w:after="0" w:line="195" w:lineRule="exact"/>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80" w:type="dxa"/>
            <w:vAlign w:val="bottom"/>
            <w:tcBorders>
              <w:right w:val="single" w:sz="8" w:color="2D53A6"/>
            </w:tcBorders>
          </w:tcPr>
          <w:p>
            <w:pPr>
              <w:spacing w:after="0"/>
              <w:rPr>
                <w:sz w:val="20"/>
                <w:szCs w:val="20"/>
                <w:color w:val="auto"/>
              </w:rPr>
            </w:pPr>
            <w:r>
              <w:rPr>
                <w:rFonts w:ascii="Arial" w:cs="Arial" w:eastAsia="Arial" w:hAnsi="Arial"/>
                <w:sz w:val="18"/>
                <w:szCs w:val="18"/>
                <w:color w:val="auto"/>
              </w:rPr>
              <w:t>Müller</w:t>
            </w:r>
          </w:p>
        </w:tc>
        <w:tc>
          <w:tcPr>
            <w:tcW w:w="1280" w:type="dxa"/>
            <w:vAlign w:val="bottom"/>
            <w:tcBorders>
              <w:right w:val="single" w:sz="8" w:color="2D53A6"/>
            </w:tcBorders>
          </w:tcPr>
          <w:p>
            <w:pPr>
              <w:spacing w:after="0"/>
              <w:rPr>
                <w:sz w:val="18"/>
                <w:szCs w:val="18"/>
                <w:color w:val="auto"/>
              </w:rPr>
            </w:pPr>
          </w:p>
        </w:tc>
        <w:tc>
          <w:tcPr>
            <w:tcW w:w="1240" w:type="dxa"/>
            <w:vAlign w:val="bottom"/>
            <w:tcBorders>
              <w:right w:val="single" w:sz="8" w:color="2D53A6"/>
            </w:tcBorders>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Borders>
              <w:right w:val="single" w:sz="8" w:color="2D53A6"/>
            </w:tcBorders>
          </w:tcPr>
          <w:p>
            <w:pPr>
              <w:spacing w:after="0"/>
              <w:rPr>
                <w:sz w:val="18"/>
                <w:szCs w:val="18"/>
                <w:color w:val="auto"/>
              </w:rPr>
            </w:pPr>
          </w:p>
        </w:tc>
        <w:tc>
          <w:tcPr>
            <w:tcW w:w="1280" w:type="dxa"/>
            <w:vAlign w:val="bottom"/>
            <w:tcBorders>
              <w:right w:val="single" w:sz="8" w:color="2D53A6"/>
            </w:tcBorders>
          </w:tcPr>
          <w:p>
            <w:pPr>
              <w:jc w:val="center"/>
              <w:spacing w:after="0"/>
              <w:rPr>
                <w:sz w:val="20"/>
                <w:szCs w:val="20"/>
                <w:color w:val="auto"/>
              </w:rPr>
            </w:pPr>
            <w:r>
              <w:rPr>
                <w:rFonts w:ascii="Arial" w:cs="Arial" w:eastAsia="Arial" w:hAnsi="Arial"/>
                <w:sz w:val="18"/>
                <w:szCs w:val="18"/>
                <w:color w:val="auto"/>
                <w:w w:val="89"/>
              </w:rPr>
              <w:t>3/19/2019</w:t>
            </w:r>
          </w:p>
        </w:tc>
        <w:tc>
          <w:tcPr>
            <w:tcW w:w="560" w:type="dxa"/>
            <w:vAlign w:val="bottom"/>
            <w:gridSpan w:val="2"/>
          </w:tcPr>
          <w:p>
            <w:pPr>
              <w:ind w:left="20"/>
              <w:spacing w:after="0"/>
              <w:rPr>
                <w:sz w:val="20"/>
                <w:szCs w:val="20"/>
                <w:color w:val="auto"/>
              </w:rPr>
            </w:pPr>
            <w:r>
              <w:rPr>
                <w:rFonts w:ascii="Arial" w:cs="Arial" w:eastAsia="Arial" w:hAnsi="Arial"/>
                <w:sz w:val="18"/>
                <w:szCs w:val="18"/>
                <w:color w:val="auto"/>
                <w:w w:val="94"/>
              </w:rPr>
              <w:t>29,560</w:t>
            </w:r>
          </w:p>
        </w:tc>
        <w:tc>
          <w:tcPr>
            <w:tcW w:w="500" w:type="dxa"/>
            <w:vAlign w:val="bottom"/>
          </w:tcPr>
          <w:p>
            <w:pPr>
              <w:jc w:val="right"/>
              <w:ind w:right="205"/>
              <w:spacing w:after="0"/>
              <w:rPr>
                <w:sz w:val="20"/>
                <w:szCs w:val="20"/>
                <w:color w:val="auto"/>
              </w:rPr>
            </w:pPr>
            <w:r>
              <w:rPr>
                <w:rFonts w:ascii="Arial" w:cs="Arial" w:eastAsia="Arial" w:hAnsi="Arial"/>
                <w:sz w:val="15"/>
                <w:szCs w:val="15"/>
                <w:color w:val="auto"/>
              </w:rPr>
              <w:t>(2)</w:t>
            </w:r>
          </w:p>
        </w:tc>
        <w:tc>
          <w:tcPr>
            <w:tcW w:w="180" w:type="dxa"/>
            <w:vAlign w:val="bottom"/>
            <w:tcBorders>
              <w:right w:val="single" w:sz="8" w:color="2D53A6"/>
            </w:tcBorders>
          </w:tcPr>
          <w:p>
            <w:pPr>
              <w:spacing w:after="0"/>
              <w:rPr>
                <w:sz w:val="18"/>
                <w:szCs w:val="18"/>
                <w:color w:val="auto"/>
              </w:rPr>
            </w:pPr>
          </w:p>
        </w:tc>
        <w:tc>
          <w:tcPr>
            <w:tcW w:w="1280" w:type="dxa"/>
            <w:vAlign w:val="bottom"/>
            <w:tcBorders>
              <w:right w:val="single" w:sz="8" w:color="2D53A6"/>
            </w:tcBorders>
          </w:tcPr>
          <w:p>
            <w:pPr>
              <w:jc w:val="right"/>
              <w:spacing w:after="0"/>
              <w:rPr>
                <w:sz w:val="20"/>
                <w:szCs w:val="20"/>
                <w:color w:val="auto"/>
              </w:rPr>
            </w:pPr>
            <w:r>
              <w:rPr>
                <w:rFonts w:ascii="Arial" w:cs="Arial" w:eastAsia="Arial" w:hAnsi="Arial"/>
                <w:sz w:val="18"/>
                <w:szCs w:val="18"/>
                <w:color w:val="auto"/>
              </w:rPr>
              <w:t>1,123,576</w:t>
            </w:r>
          </w:p>
        </w:tc>
        <w:tc>
          <w:tcPr>
            <w:tcW w:w="40" w:type="dxa"/>
            <w:vAlign w:val="bottom"/>
          </w:tcPr>
          <w:p>
            <w:pPr>
              <w:spacing w:after="0"/>
              <w:rPr>
                <w:sz w:val="18"/>
                <w:szCs w:val="18"/>
                <w:color w:val="auto"/>
              </w:rPr>
            </w:pPr>
          </w:p>
        </w:tc>
        <w:tc>
          <w:tcPr>
            <w:tcW w:w="1200" w:type="dxa"/>
            <w:vAlign w:val="bottom"/>
            <w:tcBorders>
              <w:right w:val="single" w:sz="8" w:color="2D53A6"/>
            </w:tcBorders>
          </w:tcPr>
          <w:p>
            <w:pPr>
              <w:jc w:val="right"/>
              <w:spacing w:after="0"/>
              <w:rPr>
                <w:sz w:val="20"/>
                <w:szCs w:val="20"/>
                <w:color w:val="auto"/>
              </w:rPr>
            </w:pPr>
            <w:r>
              <w:rPr>
                <w:rFonts w:ascii="Arial" w:cs="Arial" w:eastAsia="Arial" w:hAnsi="Arial"/>
                <w:sz w:val="18"/>
                <w:szCs w:val="18"/>
                <w:color w:val="auto"/>
              </w:rPr>
              <w:t>59,121</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2,247,189</w:t>
            </w:r>
          </w:p>
        </w:tc>
        <w:tc>
          <w:tcPr>
            <w:tcW w:w="0" w:type="dxa"/>
            <w:vAlign w:val="bottom"/>
          </w:tcPr>
          <w:p>
            <w:pPr>
              <w:spacing w:after="0"/>
              <w:rPr>
                <w:sz w:val="1"/>
                <w:szCs w:val="1"/>
                <w:color w:val="auto"/>
              </w:rPr>
            </w:pPr>
          </w:p>
        </w:tc>
      </w:tr>
      <w:tr>
        <w:trPr>
          <w:trHeight w:val="216"/>
        </w:trPr>
        <w:tc>
          <w:tcPr>
            <w:tcW w:w="1280" w:type="dxa"/>
            <w:vAlign w:val="bottom"/>
            <w:tcBorders>
              <w:right w:val="single" w:sz="8" w:color="2D53A6"/>
            </w:tcBorders>
          </w:tcPr>
          <w:p>
            <w:pPr>
              <w:spacing w:after="0"/>
              <w:rPr>
                <w:sz w:val="18"/>
                <w:szCs w:val="18"/>
                <w:color w:val="auto"/>
              </w:rPr>
            </w:pPr>
          </w:p>
        </w:tc>
        <w:tc>
          <w:tcPr>
            <w:tcW w:w="1280" w:type="dxa"/>
            <w:vAlign w:val="bottom"/>
            <w:tcBorders>
              <w:right w:val="single" w:sz="8" w:color="2D53A6"/>
            </w:tcBorders>
          </w:tcPr>
          <w:p>
            <w:pPr>
              <w:spacing w:after="0"/>
              <w:rPr>
                <w:sz w:val="18"/>
                <w:szCs w:val="18"/>
                <w:color w:val="auto"/>
              </w:rPr>
            </w:pPr>
          </w:p>
        </w:tc>
        <w:tc>
          <w:tcPr>
            <w:tcW w:w="1240" w:type="dxa"/>
            <w:vAlign w:val="bottom"/>
            <w:tcBorders>
              <w:right w:val="single" w:sz="8" w:color="2D53A6"/>
            </w:tcBorders>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Borders>
              <w:right w:val="single" w:sz="8" w:color="2D53A6"/>
            </w:tcBorders>
          </w:tcPr>
          <w:p>
            <w:pPr>
              <w:spacing w:after="0"/>
              <w:rPr>
                <w:sz w:val="18"/>
                <w:szCs w:val="18"/>
                <w:color w:val="auto"/>
              </w:rPr>
            </w:pPr>
          </w:p>
        </w:tc>
        <w:tc>
          <w:tcPr>
            <w:tcW w:w="1280" w:type="dxa"/>
            <w:vAlign w:val="bottom"/>
            <w:tcBorders>
              <w:right w:val="single" w:sz="8" w:color="2D53A6"/>
            </w:tcBorders>
          </w:tcPr>
          <w:p>
            <w:pPr>
              <w:jc w:val="center"/>
              <w:spacing w:after="0"/>
              <w:rPr>
                <w:sz w:val="20"/>
                <w:szCs w:val="20"/>
                <w:color w:val="auto"/>
              </w:rPr>
            </w:pPr>
            <w:r>
              <w:rPr>
                <w:rFonts w:ascii="Arial" w:cs="Arial" w:eastAsia="Arial" w:hAnsi="Arial"/>
                <w:sz w:val="18"/>
                <w:szCs w:val="18"/>
                <w:color w:val="auto"/>
                <w:w w:val="89"/>
              </w:rPr>
              <w:t>3/17/2020</w:t>
            </w:r>
          </w:p>
        </w:tc>
        <w:tc>
          <w:tcPr>
            <w:tcW w:w="560" w:type="dxa"/>
            <w:vAlign w:val="bottom"/>
            <w:gridSpan w:val="2"/>
          </w:tcPr>
          <w:p>
            <w:pPr>
              <w:ind w:left="20"/>
              <w:spacing w:after="0"/>
              <w:rPr>
                <w:sz w:val="20"/>
                <w:szCs w:val="20"/>
                <w:color w:val="auto"/>
              </w:rPr>
            </w:pPr>
            <w:r>
              <w:rPr>
                <w:rFonts w:ascii="Arial" w:cs="Arial" w:eastAsia="Arial" w:hAnsi="Arial"/>
                <w:sz w:val="18"/>
                <w:szCs w:val="18"/>
                <w:color w:val="auto"/>
                <w:w w:val="94"/>
              </w:rPr>
              <w:t>60,528</w:t>
            </w:r>
          </w:p>
        </w:tc>
        <w:tc>
          <w:tcPr>
            <w:tcW w:w="500" w:type="dxa"/>
            <w:vAlign w:val="bottom"/>
          </w:tcPr>
          <w:p>
            <w:pPr>
              <w:jc w:val="right"/>
              <w:ind w:right="205"/>
              <w:spacing w:after="0"/>
              <w:rPr>
                <w:sz w:val="20"/>
                <w:szCs w:val="20"/>
                <w:color w:val="auto"/>
              </w:rPr>
            </w:pPr>
            <w:r>
              <w:rPr>
                <w:rFonts w:ascii="Arial" w:cs="Arial" w:eastAsia="Arial" w:hAnsi="Arial"/>
                <w:sz w:val="15"/>
                <w:szCs w:val="15"/>
                <w:color w:val="auto"/>
              </w:rPr>
              <w:t>(2)</w:t>
            </w:r>
          </w:p>
        </w:tc>
        <w:tc>
          <w:tcPr>
            <w:tcW w:w="180" w:type="dxa"/>
            <w:vAlign w:val="bottom"/>
            <w:tcBorders>
              <w:right w:val="single" w:sz="8" w:color="2D53A6"/>
            </w:tcBorders>
          </w:tcPr>
          <w:p>
            <w:pPr>
              <w:spacing w:after="0"/>
              <w:rPr>
                <w:sz w:val="18"/>
                <w:szCs w:val="18"/>
                <w:color w:val="auto"/>
              </w:rPr>
            </w:pPr>
          </w:p>
        </w:tc>
        <w:tc>
          <w:tcPr>
            <w:tcW w:w="1280" w:type="dxa"/>
            <w:vAlign w:val="bottom"/>
            <w:tcBorders>
              <w:right w:val="single" w:sz="8" w:color="2D53A6"/>
            </w:tcBorders>
          </w:tcPr>
          <w:p>
            <w:pPr>
              <w:jc w:val="right"/>
              <w:spacing w:after="0"/>
              <w:rPr>
                <w:sz w:val="20"/>
                <w:szCs w:val="20"/>
                <w:color w:val="auto"/>
              </w:rPr>
            </w:pPr>
            <w:r>
              <w:rPr>
                <w:rFonts w:ascii="Arial" w:cs="Arial" w:eastAsia="Arial" w:hAnsi="Arial"/>
                <w:sz w:val="18"/>
                <w:szCs w:val="18"/>
                <w:color w:val="auto"/>
              </w:rPr>
              <w:t>2,300,669</w:t>
            </w:r>
          </w:p>
        </w:tc>
        <w:tc>
          <w:tcPr>
            <w:tcW w:w="40" w:type="dxa"/>
            <w:vAlign w:val="bottom"/>
          </w:tcPr>
          <w:p>
            <w:pPr>
              <w:spacing w:after="0"/>
              <w:rPr>
                <w:sz w:val="18"/>
                <w:szCs w:val="18"/>
                <w:color w:val="auto"/>
              </w:rPr>
            </w:pPr>
          </w:p>
        </w:tc>
        <w:tc>
          <w:tcPr>
            <w:tcW w:w="1200" w:type="dxa"/>
            <w:vAlign w:val="bottom"/>
            <w:tcBorders>
              <w:right w:val="single" w:sz="8" w:color="2D53A6"/>
            </w:tcBorders>
          </w:tcPr>
          <w:p>
            <w:pPr>
              <w:jc w:val="right"/>
              <w:spacing w:after="0"/>
              <w:rPr>
                <w:sz w:val="20"/>
                <w:szCs w:val="20"/>
                <w:color w:val="auto"/>
              </w:rPr>
            </w:pPr>
            <w:r>
              <w:rPr>
                <w:rFonts w:ascii="Arial" w:cs="Arial" w:eastAsia="Arial" w:hAnsi="Arial"/>
                <w:sz w:val="18"/>
                <w:szCs w:val="18"/>
                <w:color w:val="auto"/>
              </w:rPr>
              <w:t>80,705</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3,067,597</w:t>
            </w:r>
          </w:p>
        </w:tc>
        <w:tc>
          <w:tcPr>
            <w:tcW w:w="0" w:type="dxa"/>
            <w:vAlign w:val="bottom"/>
          </w:tcPr>
          <w:p>
            <w:pPr>
              <w:spacing w:after="0"/>
              <w:rPr>
                <w:sz w:val="1"/>
                <w:szCs w:val="1"/>
                <w:color w:val="auto"/>
              </w:rPr>
            </w:pPr>
          </w:p>
        </w:tc>
      </w:tr>
      <w:tr>
        <w:trPr>
          <w:trHeight w:val="230"/>
        </w:trPr>
        <w:tc>
          <w:tcPr>
            <w:tcW w:w="1280" w:type="dxa"/>
            <w:vAlign w:val="bottom"/>
            <w:tcBorders>
              <w:right w:val="single" w:sz="8" w:color="2D53A6"/>
            </w:tcBorders>
          </w:tcPr>
          <w:p>
            <w:pPr>
              <w:spacing w:after="0"/>
              <w:rPr>
                <w:sz w:val="20"/>
                <w:szCs w:val="20"/>
                <w:color w:val="auto"/>
              </w:rPr>
            </w:pPr>
          </w:p>
        </w:tc>
        <w:tc>
          <w:tcPr>
            <w:tcW w:w="1280" w:type="dxa"/>
            <w:vAlign w:val="bottom"/>
            <w:tcBorders>
              <w:right w:val="single" w:sz="8" w:color="2D53A6"/>
            </w:tcBorders>
          </w:tcPr>
          <w:p>
            <w:pPr>
              <w:spacing w:after="0"/>
              <w:rPr>
                <w:sz w:val="20"/>
                <w:szCs w:val="20"/>
                <w:color w:val="auto"/>
              </w:rPr>
            </w:pPr>
          </w:p>
        </w:tc>
        <w:tc>
          <w:tcPr>
            <w:tcW w:w="1240" w:type="dxa"/>
            <w:vAlign w:val="bottom"/>
            <w:tcBorders>
              <w:right w:val="single" w:sz="8" w:color="2D53A6"/>
            </w:tcBorders>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Borders>
              <w:right w:val="single" w:sz="8" w:color="2D53A6"/>
            </w:tcBorders>
          </w:tcPr>
          <w:p>
            <w:pPr>
              <w:spacing w:after="0"/>
              <w:rPr>
                <w:sz w:val="20"/>
                <w:szCs w:val="20"/>
                <w:color w:val="auto"/>
              </w:rPr>
            </w:pPr>
          </w:p>
        </w:tc>
        <w:tc>
          <w:tcPr>
            <w:tcW w:w="1280" w:type="dxa"/>
            <w:vAlign w:val="bottom"/>
            <w:tcBorders>
              <w:right w:val="single" w:sz="8" w:color="2D53A6"/>
            </w:tcBorders>
          </w:tcPr>
          <w:p>
            <w:pPr>
              <w:jc w:val="center"/>
              <w:spacing w:after="0"/>
              <w:rPr>
                <w:sz w:val="20"/>
                <w:szCs w:val="20"/>
                <w:color w:val="auto"/>
              </w:rPr>
            </w:pPr>
            <w:r>
              <w:rPr>
                <w:rFonts w:ascii="Arial" w:cs="Arial" w:eastAsia="Arial" w:hAnsi="Arial"/>
                <w:sz w:val="18"/>
                <w:szCs w:val="18"/>
                <w:color w:val="auto"/>
                <w:w w:val="89"/>
              </w:rPr>
              <w:t>3/15/2021</w:t>
            </w:r>
          </w:p>
        </w:tc>
        <w:tc>
          <w:tcPr>
            <w:tcW w:w="560" w:type="dxa"/>
            <w:vAlign w:val="bottom"/>
            <w:gridSpan w:val="2"/>
          </w:tcPr>
          <w:p>
            <w:pPr>
              <w:ind w:left="20"/>
              <w:spacing w:after="0"/>
              <w:rPr>
                <w:sz w:val="20"/>
                <w:szCs w:val="20"/>
                <w:color w:val="auto"/>
              </w:rPr>
            </w:pPr>
            <w:r>
              <w:rPr>
                <w:rFonts w:ascii="Arial" w:cs="Arial" w:eastAsia="Arial" w:hAnsi="Arial"/>
                <w:sz w:val="18"/>
                <w:szCs w:val="18"/>
                <w:color w:val="auto"/>
                <w:w w:val="94"/>
              </w:rPr>
              <w:t>28,604</w:t>
            </w:r>
          </w:p>
        </w:tc>
        <w:tc>
          <w:tcPr>
            <w:tcW w:w="500" w:type="dxa"/>
            <w:vAlign w:val="bottom"/>
          </w:tcPr>
          <w:p>
            <w:pPr>
              <w:jc w:val="right"/>
              <w:ind w:right="205"/>
              <w:spacing w:after="0"/>
              <w:rPr>
                <w:sz w:val="20"/>
                <w:szCs w:val="20"/>
                <w:color w:val="auto"/>
              </w:rPr>
            </w:pPr>
            <w:r>
              <w:rPr>
                <w:rFonts w:ascii="Arial" w:cs="Arial" w:eastAsia="Arial" w:hAnsi="Arial"/>
                <w:sz w:val="15"/>
                <w:szCs w:val="15"/>
                <w:color w:val="auto"/>
              </w:rPr>
              <w:t>(2)</w:t>
            </w:r>
          </w:p>
        </w:tc>
        <w:tc>
          <w:tcPr>
            <w:tcW w:w="180" w:type="dxa"/>
            <w:vAlign w:val="bottom"/>
            <w:tcBorders>
              <w:right w:val="single" w:sz="8" w:color="2D53A6"/>
            </w:tcBorders>
          </w:tcPr>
          <w:p>
            <w:pPr>
              <w:spacing w:after="0"/>
              <w:rPr>
                <w:sz w:val="20"/>
                <w:szCs w:val="20"/>
                <w:color w:val="auto"/>
              </w:rPr>
            </w:pPr>
          </w:p>
        </w:tc>
        <w:tc>
          <w:tcPr>
            <w:tcW w:w="1280" w:type="dxa"/>
            <w:vAlign w:val="bottom"/>
            <w:tcBorders>
              <w:right w:val="single" w:sz="8" w:color="2D53A6"/>
            </w:tcBorders>
          </w:tcPr>
          <w:p>
            <w:pPr>
              <w:jc w:val="right"/>
              <w:spacing w:after="0"/>
              <w:rPr>
                <w:sz w:val="20"/>
                <w:szCs w:val="20"/>
                <w:color w:val="auto"/>
              </w:rPr>
            </w:pPr>
            <w:r>
              <w:rPr>
                <w:rFonts w:ascii="Arial" w:cs="Arial" w:eastAsia="Arial" w:hAnsi="Arial"/>
                <w:sz w:val="18"/>
                <w:szCs w:val="18"/>
                <w:color w:val="auto"/>
              </w:rPr>
              <w:t>1,087,238</w:t>
            </w:r>
          </w:p>
        </w:tc>
        <w:tc>
          <w:tcPr>
            <w:tcW w:w="40" w:type="dxa"/>
            <w:vAlign w:val="bottom"/>
          </w:tcPr>
          <w:p>
            <w:pPr>
              <w:spacing w:after="0"/>
              <w:rPr>
                <w:sz w:val="20"/>
                <w:szCs w:val="20"/>
                <w:color w:val="auto"/>
              </w:rPr>
            </w:pPr>
          </w:p>
        </w:tc>
        <w:tc>
          <w:tcPr>
            <w:tcW w:w="1200" w:type="dxa"/>
            <w:vAlign w:val="bottom"/>
            <w:tcBorders>
              <w:right w:val="single" w:sz="8" w:color="2D53A6"/>
            </w:tcBorders>
          </w:tcPr>
          <w:p>
            <w:pPr>
              <w:jc w:val="right"/>
              <w:spacing w:after="0"/>
              <w:rPr>
                <w:sz w:val="20"/>
                <w:szCs w:val="20"/>
                <w:color w:val="auto"/>
              </w:rPr>
            </w:pPr>
            <w:r>
              <w:rPr>
                <w:rFonts w:ascii="Arial" w:cs="Arial" w:eastAsia="Arial" w:hAnsi="Arial"/>
                <w:sz w:val="18"/>
                <w:szCs w:val="18"/>
                <w:color w:val="auto"/>
              </w:rPr>
              <w:t>28,604</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1,087,238</w:t>
            </w:r>
          </w:p>
        </w:tc>
        <w:tc>
          <w:tcPr>
            <w:tcW w:w="0" w:type="dxa"/>
            <w:vAlign w:val="bottom"/>
          </w:tcPr>
          <w:p>
            <w:pPr>
              <w:spacing w:after="0"/>
              <w:rPr>
                <w:sz w:val="1"/>
                <w:szCs w:val="1"/>
                <w:color w:val="auto"/>
              </w:rPr>
            </w:pPr>
          </w:p>
        </w:tc>
      </w:tr>
      <w:tr>
        <w:trPr>
          <w:trHeight w:val="210"/>
        </w:trPr>
        <w:tc>
          <w:tcPr>
            <w:tcW w:w="1280" w:type="dxa"/>
            <w:vAlign w:val="bottom"/>
            <w:tcBorders>
              <w:top w:val="single" w:sz="8" w:color="2D53A6"/>
              <w:right w:val="single" w:sz="8" w:color="2D53A6"/>
            </w:tcBorders>
            <w:shd w:val="clear" w:color="auto" w:fill="E6E6E6"/>
          </w:tcPr>
          <w:p>
            <w:pPr>
              <w:spacing w:after="0"/>
              <w:rPr>
                <w:sz w:val="20"/>
                <w:szCs w:val="20"/>
                <w:color w:val="auto"/>
              </w:rPr>
            </w:pPr>
            <w:r>
              <w:rPr>
                <w:rFonts w:ascii="Arial" w:cs="Arial" w:eastAsia="Arial" w:hAnsi="Arial"/>
                <w:sz w:val="18"/>
                <w:szCs w:val="18"/>
                <w:color w:val="auto"/>
              </w:rPr>
              <w:t>Jeffrey D.</w:t>
            </w:r>
          </w:p>
        </w:tc>
        <w:tc>
          <w:tcPr>
            <w:tcW w:w="1280" w:type="dxa"/>
            <w:vAlign w:val="bottom"/>
            <w:tcBorders>
              <w:top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12,442</w:t>
            </w:r>
          </w:p>
        </w:tc>
        <w:tc>
          <w:tcPr>
            <w:tcW w:w="1240" w:type="dxa"/>
            <w:vAlign w:val="bottom"/>
            <w:tcBorders>
              <w:top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9.44</w:t>
            </w:r>
          </w:p>
        </w:tc>
        <w:tc>
          <w:tcPr>
            <w:tcW w:w="160" w:type="dxa"/>
            <w:vAlign w:val="bottom"/>
            <w:tcBorders>
              <w:top w:val="single" w:sz="8" w:color="2D53A6"/>
            </w:tcBorders>
            <w:shd w:val="clear" w:color="auto" w:fill="E6E6E6"/>
          </w:tcPr>
          <w:p>
            <w:pPr>
              <w:spacing w:after="0"/>
              <w:rPr>
                <w:sz w:val="18"/>
                <w:szCs w:val="18"/>
                <w:color w:val="auto"/>
              </w:rPr>
            </w:pPr>
          </w:p>
        </w:tc>
        <w:tc>
          <w:tcPr>
            <w:tcW w:w="1080" w:type="dxa"/>
            <w:vAlign w:val="bottom"/>
            <w:tcBorders>
              <w:top w:val="single" w:sz="8" w:color="2D53A6"/>
              <w:right w:val="single" w:sz="8" w:color="2D53A6"/>
            </w:tcBorders>
            <w:shd w:val="clear" w:color="auto" w:fill="E6E6E6"/>
          </w:tcPr>
          <w:p>
            <w:pPr>
              <w:jc w:val="center"/>
              <w:ind w:right="90"/>
              <w:spacing w:after="0"/>
              <w:rPr>
                <w:sz w:val="20"/>
                <w:szCs w:val="20"/>
                <w:color w:val="auto"/>
              </w:rPr>
            </w:pPr>
            <w:r>
              <w:rPr>
                <w:rFonts w:ascii="Arial" w:cs="Arial" w:eastAsia="Arial" w:hAnsi="Arial"/>
                <w:sz w:val="18"/>
                <w:szCs w:val="18"/>
                <w:color w:val="auto"/>
                <w:w w:val="92"/>
              </w:rPr>
              <w:t>3/26/2023</w:t>
            </w:r>
          </w:p>
        </w:tc>
        <w:tc>
          <w:tcPr>
            <w:tcW w:w="1280" w:type="dxa"/>
            <w:vAlign w:val="bottom"/>
            <w:tcBorders>
              <w:top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89"/>
              </w:rPr>
              <w:t>3/20/2018</w:t>
            </w:r>
          </w:p>
        </w:tc>
        <w:tc>
          <w:tcPr>
            <w:tcW w:w="520" w:type="dxa"/>
            <w:vAlign w:val="bottom"/>
            <w:tcBorders>
              <w:top w:val="single" w:sz="8" w:color="2D53A6"/>
            </w:tcBorders>
            <w:shd w:val="clear" w:color="auto" w:fill="E6E6E6"/>
          </w:tcPr>
          <w:p>
            <w:pPr>
              <w:ind w:left="20"/>
              <w:spacing w:after="0"/>
              <w:rPr>
                <w:sz w:val="20"/>
                <w:szCs w:val="20"/>
                <w:color w:val="auto"/>
              </w:rPr>
            </w:pPr>
            <w:r>
              <w:rPr>
                <w:rFonts w:ascii="Arial" w:cs="Arial" w:eastAsia="Arial" w:hAnsi="Arial"/>
                <w:sz w:val="18"/>
                <w:szCs w:val="18"/>
                <w:color w:val="auto"/>
              </w:rPr>
              <w:t>3,295</w:t>
            </w:r>
          </w:p>
        </w:tc>
        <w:tc>
          <w:tcPr>
            <w:tcW w:w="540" w:type="dxa"/>
            <w:vAlign w:val="bottom"/>
            <w:tcBorders>
              <w:top w:val="single" w:sz="8" w:color="2D53A6"/>
            </w:tcBorders>
            <w:gridSpan w:val="2"/>
            <w:shd w:val="clear" w:color="auto" w:fill="E6E6E6"/>
          </w:tcPr>
          <w:p>
            <w:pPr>
              <w:jc w:val="center"/>
              <w:ind w:right="305"/>
              <w:spacing w:after="0"/>
              <w:rPr>
                <w:sz w:val="20"/>
                <w:szCs w:val="20"/>
                <w:color w:val="auto"/>
              </w:rPr>
            </w:pPr>
            <w:r>
              <w:rPr>
                <w:rFonts w:ascii="Arial" w:cs="Arial" w:eastAsia="Arial" w:hAnsi="Arial"/>
                <w:sz w:val="15"/>
                <w:szCs w:val="15"/>
                <w:color w:val="auto"/>
                <w:w w:val="87"/>
              </w:rPr>
              <w:t>(2)</w:t>
            </w:r>
          </w:p>
        </w:tc>
        <w:tc>
          <w:tcPr>
            <w:tcW w:w="180" w:type="dxa"/>
            <w:vAlign w:val="bottom"/>
            <w:tcBorders>
              <w:top w:val="single" w:sz="8" w:color="2D53A6"/>
              <w:right w:val="single" w:sz="8" w:color="2D53A6"/>
            </w:tcBorders>
            <w:shd w:val="clear" w:color="auto" w:fill="E6E6E6"/>
          </w:tcPr>
          <w:p>
            <w:pPr>
              <w:spacing w:after="0"/>
              <w:rPr>
                <w:sz w:val="18"/>
                <w:szCs w:val="18"/>
                <w:color w:val="auto"/>
              </w:rPr>
            </w:pPr>
          </w:p>
        </w:tc>
        <w:tc>
          <w:tcPr>
            <w:tcW w:w="1280" w:type="dxa"/>
            <w:vAlign w:val="bottom"/>
            <w:tcBorders>
              <w:top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125,243</w:t>
            </w:r>
          </w:p>
        </w:tc>
        <w:tc>
          <w:tcPr>
            <w:tcW w:w="40" w:type="dxa"/>
            <w:vAlign w:val="bottom"/>
            <w:tcBorders>
              <w:top w:val="single" w:sz="8" w:color="2D53A6"/>
            </w:tcBorders>
            <w:shd w:val="clear" w:color="auto" w:fill="E6E6E6"/>
          </w:tcPr>
          <w:p>
            <w:pPr>
              <w:spacing w:after="0"/>
              <w:rPr>
                <w:sz w:val="18"/>
                <w:szCs w:val="18"/>
                <w:color w:val="auto"/>
              </w:rPr>
            </w:pPr>
          </w:p>
        </w:tc>
        <w:tc>
          <w:tcPr>
            <w:tcW w:w="1200" w:type="dxa"/>
            <w:vAlign w:val="bottom"/>
            <w:tcBorders>
              <w:top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Borders>
              <w:right w:val="single" w:sz="8" w:color="2D53A6"/>
            </w:tcBorders>
            <w:shd w:val="clear" w:color="auto" w:fill="E6E6E6"/>
          </w:tcPr>
          <w:p>
            <w:pPr>
              <w:spacing w:after="0"/>
              <w:rPr>
                <w:sz w:val="20"/>
                <w:szCs w:val="20"/>
                <w:color w:val="auto"/>
              </w:rPr>
            </w:pPr>
            <w:r>
              <w:rPr>
                <w:rFonts w:ascii="Arial" w:cs="Arial" w:eastAsia="Arial" w:hAnsi="Arial"/>
                <w:sz w:val="18"/>
                <w:szCs w:val="18"/>
                <w:color w:val="auto"/>
              </w:rPr>
              <w:t>Jones</w:t>
            </w:r>
          </w:p>
        </w:tc>
        <w:tc>
          <w:tcPr>
            <w:tcW w:w="1280" w:type="dxa"/>
            <w:vAlign w:val="bottom"/>
            <w:tcBorders>
              <w:right w:val="single" w:sz="8" w:color="2D53A6"/>
            </w:tcBorders>
            <w:shd w:val="clear" w:color="auto" w:fill="E6E6E6"/>
          </w:tcPr>
          <w:p>
            <w:pPr>
              <w:spacing w:after="0"/>
              <w:rPr>
                <w:sz w:val="18"/>
                <w:szCs w:val="18"/>
                <w:color w:val="auto"/>
              </w:rPr>
            </w:pPr>
          </w:p>
        </w:tc>
        <w:tc>
          <w:tcPr>
            <w:tcW w:w="1240" w:type="dxa"/>
            <w:vAlign w:val="bottom"/>
            <w:tcBorders>
              <w:right w:val="single" w:sz="8" w:color="2D53A6"/>
            </w:tcBorders>
            <w:shd w:val="clear" w:color="auto" w:fill="E6E6E6"/>
          </w:tcPr>
          <w:p>
            <w:pPr>
              <w:spacing w:after="0"/>
              <w:rPr>
                <w:sz w:val="18"/>
                <w:szCs w:val="18"/>
                <w:color w:val="auto"/>
              </w:rPr>
            </w:pPr>
          </w:p>
        </w:tc>
        <w:tc>
          <w:tcPr>
            <w:tcW w:w="160" w:type="dxa"/>
            <w:vAlign w:val="bottom"/>
            <w:shd w:val="clear" w:color="auto" w:fill="E6E6E6"/>
          </w:tcPr>
          <w:p>
            <w:pPr>
              <w:spacing w:after="0"/>
              <w:rPr>
                <w:sz w:val="18"/>
                <w:szCs w:val="18"/>
                <w:color w:val="auto"/>
              </w:rPr>
            </w:pPr>
          </w:p>
        </w:tc>
        <w:tc>
          <w:tcPr>
            <w:tcW w:w="1080" w:type="dxa"/>
            <w:vAlign w:val="bottom"/>
            <w:tcBorders>
              <w:right w:val="single" w:sz="8" w:color="2D53A6"/>
            </w:tcBorders>
            <w:shd w:val="clear" w:color="auto" w:fill="E6E6E6"/>
          </w:tcPr>
          <w:p>
            <w:pPr>
              <w:spacing w:after="0"/>
              <w:rPr>
                <w:sz w:val="18"/>
                <w:szCs w:val="18"/>
                <w:color w:val="auto"/>
              </w:rPr>
            </w:pPr>
          </w:p>
        </w:tc>
        <w:tc>
          <w:tcPr>
            <w:tcW w:w="1280" w:type="dxa"/>
            <w:vAlign w:val="bottom"/>
            <w:tcBorders>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89"/>
              </w:rPr>
              <w:t>3/19/2019</w:t>
            </w:r>
          </w:p>
        </w:tc>
        <w:tc>
          <w:tcPr>
            <w:tcW w:w="520" w:type="dxa"/>
            <w:vAlign w:val="bottom"/>
            <w:shd w:val="clear" w:color="auto" w:fill="E6E6E6"/>
          </w:tcPr>
          <w:p>
            <w:pPr>
              <w:ind w:left="20"/>
              <w:spacing w:after="0"/>
              <w:rPr>
                <w:sz w:val="20"/>
                <w:szCs w:val="20"/>
                <w:color w:val="auto"/>
              </w:rPr>
            </w:pPr>
            <w:r>
              <w:rPr>
                <w:rFonts w:ascii="Arial" w:cs="Arial" w:eastAsia="Arial" w:hAnsi="Arial"/>
                <w:sz w:val="18"/>
                <w:szCs w:val="18"/>
                <w:color w:val="auto"/>
                <w:w w:val="87"/>
              </w:rPr>
              <w:t>11,148</w:t>
            </w:r>
          </w:p>
        </w:tc>
        <w:tc>
          <w:tcPr>
            <w:tcW w:w="40" w:type="dxa"/>
            <w:vAlign w:val="bottom"/>
            <w:shd w:val="clear" w:color="auto" w:fill="E6E6E6"/>
          </w:tcPr>
          <w:p>
            <w:pPr>
              <w:spacing w:after="0"/>
              <w:rPr>
                <w:sz w:val="18"/>
                <w:szCs w:val="18"/>
                <w:color w:val="auto"/>
              </w:rPr>
            </w:pPr>
          </w:p>
        </w:tc>
        <w:tc>
          <w:tcPr>
            <w:tcW w:w="500" w:type="dxa"/>
            <w:vAlign w:val="bottom"/>
            <w:shd w:val="clear" w:color="auto" w:fill="E6E6E6"/>
          </w:tcPr>
          <w:p>
            <w:pPr>
              <w:jc w:val="right"/>
              <w:ind w:right="225"/>
              <w:spacing w:after="0"/>
              <w:rPr>
                <w:sz w:val="20"/>
                <w:szCs w:val="20"/>
                <w:color w:val="auto"/>
              </w:rPr>
            </w:pPr>
            <w:r>
              <w:rPr>
                <w:rFonts w:ascii="Arial" w:cs="Arial" w:eastAsia="Arial" w:hAnsi="Arial"/>
                <w:sz w:val="15"/>
                <w:szCs w:val="15"/>
                <w:color w:val="auto"/>
                <w:w w:val="97"/>
              </w:rPr>
              <w:t>(2)</w:t>
            </w:r>
          </w:p>
        </w:tc>
        <w:tc>
          <w:tcPr>
            <w:tcW w:w="180" w:type="dxa"/>
            <w:vAlign w:val="bottom"/>
            <w:tcBorders>
              <w:right w:val="single" w:sz="8" w:color="2D53A6"/>
            </w:tcBorders>
            <w:shd w:val="clear" w:color="auto" w:fill="E6E6E6"/>
          </w:tcPr>
          <w:p>
            <w:pPr>
              <w:spacing w:after="0"/>
              <w:rPr>
                <w:sz w:val="18"/>
                <w:szCs w:val="18"/>
                <w:color w:val="auto"/>
              </w:rPr>
            </w:pPr>
          </w:p>
        </w:tc>
        <w:tc>
          <w:tcPr>
            <w:tcW w:w="1280" w:type="dxa"/>
            <w:vAlign w:val="bottom"/>
            <w:tcBorders>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423,735</w:t>
            </w:r>
          </w:p>
        </w:tc>
        <w:tc>
          <w:tcPr>
            <w:tcW w:w="40" w:type="dxa"/>
            <w:vAlign w:val="bottom"/>
            <w:shd w:val="clear" w:color="auto" w:fill="E6E6E6"/>
          </w:tcPr>
          <w:p>
            <w:pPr>
              <w:spacing w:after="0"/>
              <w:rPr>
                <w:sz w:val="18"/>
                <w:szCs w:val="18"/>
                <w:color w:val="auto"/>
              </w:rPr>
            </w:pPr>
          </w:p>
        </w:tc>
        <w:tc>
          <w:tcPr>
            <w:tcW w:w="1200" w:type="dxa"/>
            <w:vAlign w:val="bottom"/>
            <w:tcBorders>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22,297</w:t>
            </w:r>
          </w:p>
        </w:tc>
        <w:tc>
          <w:tcPr>
            <w:tcW w:w="11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847,509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Borders>
              <w:right w:val="single" w:sz="8" w:color="2D53A6"/>
            </w:tcBorders>
            <w:shd w:val="clear" w:color="auto" w:fill="E6E6E6"/>
          </w:tcPr>
          <w:p>
            <w:pPr>
              <w:spacing w:after="0"/>
              <w:rPr>
                <w:sz w:val="18"/>
                <w:szCs w:val="18"/>
                <w:color w:val="auto"/>
              </w:rPr>
            </w:pPr>
          </w:p>
        </w:tc>
        <w:tc>
          <w:tcPr>
            <w:tcW w:w="1280" w:type="dxa"/>
            <w:vAlign w:val="bottom"/>
            <w:tcBorders>
              <w:right w:val="single" w:sz="8" w:color="2D53A6"/>
            </w:tcBorders>
            <w:shd w:val="clear" w:color="auto" w:fill="E6E6E6"/>
          </w:tcPr>
          <w:p>
            <w:pPr>
              <w:spacing w:after="0"/>
              <w:rPr>
                <w:sz w:val="18"/>
                <w:szCs w:val="18"/>
                <w:color w:val="auto"/>
              </w:rPr>
            </w:pPr>
          </w:p>
        </w:tc>
        <w:tc>
          <w:tcPr>
            <w:tcW w:w="1240" w:type="dxa"/>
            <w:vAlign w:val="bottom"/>
            <w:tcBorders>
              <w:right w:val="single" w:sz="8" w:color="2D53A6"/>
            </w:tcBorders>
            <w:shd w:val="clear" w:color="auto" w:fill="E6E6E6"/>
          </w:tcPr>
          <w:p>
            <w:pPr>
              <w:spacing w:after="0"/>
              <w:rPr>
                <w:sz w:val="18"/>
                <w:szCs w:val="18"/>
                <w:color w:val="auto"/>
              </w:rPr>
            </w:pPr>
          </w:p>
        </w:tc>
        <w:tc>
          <w:tcPr>
            <w:tcW w:w="160" w:type="dxa"/>
            <w:vAlign w:val="bottom"/>
            <w:shd w:val="clear" w:color="auto" w:fill="E6E6E6"/>
          </w:tcPr>
          <w:p>
            <w:pPr>
              <w:spacing w:after="0"/>
              <w:rPr>
                <w:sz w:val="18"/>
                <w:szCs w:val="18"/>
                <w:color w:val="auto"/>
              </w:rPr>
            </w:pPr>
          </w:p>
        </w:tc>
        <w:tc>
          <w:tcPr>
            <w:tcW w:w="1080" w:type="dxa"/>
            <w:vAlign w:val="bottom"/>
            <w:tcBorders>
              <w:right w:val="single" w:sz="8" w:color="2D53A6"/>
            </w:tcBorders>
            <w:shd w:val="clear" w:color="auto" w:fill="E6E6E6"/>
          </w:tcPr>
          <w:p>
            <w:pPr>
              <w:spacing w:after="0"/>
              <w:rPr>
                <w:sz w:val="18"/>
                <w:szCs w:val="18"/>
                <w:color w:val="auto"/>
              </w:rPr>
            </w:pPr>
          </w:p>
        </w:tc>
        <w:tc>
          <w:tcPr>
            <w:tcW w:w="1280" w:type="dxa"/>
            <w:vAlign w:val="bottom"/>
            <w:tcBorders>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89"/>
              </w:rPr>
              <w:t>3/17/2020</w:t>
            </w:r>
          </w:p>
        </w:tc>
        <w:tc>
          <w:tcPr>
            <w:tcW w:w="560" w:type="dxa"/>
            <w:vAlign w:val="bottom"/>
            <w:gridSpan w:val="2"/>
            <w:shd w:val="clear" w:color="auto" w:fill="E6E6E6"/>
          </w:tcPr>
          <w:p>
            <w:pPr>
              <w:ind w:left="20"/>
              <w:spacing w:after="0"/>
              <w:rPr>
                <w:sz w:val="20"/>
                <w:szCs w:val="20"/>
                <w:color w:val="auto"/>
              </w:rPr>
            </w:pPr>
            <w:r>
              <w:rPr>
                <w:rFonts w:ascii="Arial" w:cs="Arial" w:eastAsia="Arial" w:hAnsi="Arial"/>
                <w:sz w:val="18"/>
                <w:szCs w:val="18"/>
                <w:color w:val="auto"/>
                <w:w w:val="94"/>
              </w:rPr>
              <w:t>19,988</w:t>
            </w:r>
          </w:p>
        </w:tc>
        <w:tc>
          <w:tcPr>
            <w:tcW w:w="500" w:type="dxa"/>
            <w:vAlign w:val="bottom"/>
            <w:shd w:val="clear" w:color="auto" w:fill="E6E6E6"/>
          </w:tcPr>
          <w:p>
            <w:pPr>
              <w:jc w:val="right"/>
              <w:ind w:right="205"/>
              <w:spacing w:after="0"/>
              <w:rPr>
                <w:sz w:val="20"/>
                <w:szCs w:val="20"/>
                <w:color w:val="auto"/>
              </w:rPr>
            </w:pPr>
            <w:r>
              <w:rPr>
                <w:rFonts w:ascii="Arial" w:cs="Arial" w:eastAsia="Arial" w:hAnsi="Arial"/>
                <w:sz w:val="15"/>
                <w:szCs w:val="15"/>
                <w:color w:val="auto"/>
              </w:rPr>
              <w:t>(2)</w:t>
            </w:r>
          </w:p>
        </w:tc>
        <w:tc>
          <w:tcPr>
            <w:tcW w:w="180" w:type="dxa"/>
            <w:vAlign w:val="bottom"/>
            <w:tcBorders>
              <w:right w:val="single" w:sz="8" w:color="2D53A6"/>
            </w:tcBorders>
            <w:shd w:val="clear" w:color="auto" w:fill="E6E6E6"/>
          </w:tcPr>
          <w:p>
            <w:pPr>
              <w:spacing w:after="0"/>
              <w:rPr>
                <w:sz w:val="18"/>
                <w:szCs w:val="18"/>
                <w:color w:val="auto"/>
              </w:rPr>
            </w:pPr>
          </w:p>
        </w:tc>
        <w:tc>
          <w:tcPr>
            <w:tcW w:w="1280" w:type="dxa"/>
            <w:vAlign w:val="bottom"/>
            <w:tcBorders>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759,744</w:t>
            </w:r>
          </w:p>
        </w:tc>
        <w:tc>
          <w:tcPr>
            <w:tcW w:w="40" w:type="dxa"/>
            <w:vAlign w:val="bottom"/>
            <w:shd w:val="clear" w:color="auto" w:fill="E6E6E6"/>
          </w:tcPr>
          <w:p>
            <w:pPr>
              <w:spacing w:after="0"/>
              <w:rPr>
                <w:sz w:val="18"/>
                <w:szCs w:val="18"/>
                <w:color w:val="auto"/>
              </w:rPr>
            </w:pPr>
          </w:p>
        </w:tc>
        <w:tc>
          <w:tcPr>
            <w:tcW w:w="1200" w:type="dxa"/>
            <w:vAlign w:val="bottom"/>
            <w:tcBorders>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26,651</w:t>
            </w:r>
          </w:p>
        </w:tc>
        <w:tc>
          <w:tcPr>
            <w:tcW w:w="11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1,013,005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Borders>
              <w:bottom w:val="single" w:sz="8" w:color="2D53A6"/>
              <w:right w:val="single" w:sz="8" w:color="2D53A6"/>
            </w:tcBorders>
            <w:shd w:val="clear" w:color="auto" w:fill="E6E6E6"/>
          </w:tcPr>
          <w:p>
            <w:pPr>
              <w:spacing w:after="0"/>
              <w:rPr>
                <w:sz w:val="18"/>
                <w:szCs w:val="18"/>
                <w:color w:val="auto"/>
              </w:rPr>
            </w:pPr>
          </w:p>
        </w:tc>
        <w:tc>
          <w:tcPr>
            <w:tcW w:w="1280" w:type="dxa"/>
            <w:vAlign w:val="bottom"/>
            <w:tcBorders>
              <w:bottom w:val="single" w:sz="8" w:color="2D53A6"/>
              <w:right w:val="single" w:sz="8" w:color="2D53A6"/>
            </w:tcBorders>
            <w:shd w:val="clear" w:color="auto" w:fill="E6E6E6"/>
          </w:tcPr>
          <w:p>
            <w:pPr>
              <w:spacing w:after="0"/>
              <w:rPr>
                <w:sz w:val="18"/>
                <w:szCs w:val="18"/>
                <w:color w:val="auto"/>
              </w:rPr>
            </w:pPr>
          </w:p>
        </w:tc>
        <w:tc>
          <w:tcPr>
            <w:tcW w:w="1240" w:type="dxa"/>
            <w:vAlign w:val="bottom"/>
            <w:tcBorders>
              <w:bottom w:val="single" w:sz="8" w:color="2D53A6"/>
              <w:right w:val="single" w:sz="8" w:color="2D53A6"/>
            </w:tcBorders>
            <w:shd w:val="clear" w:color="auto" w:fill="E6E6E6"/>
          </w:tcPr>
          <w:p>
            <w:pPr>
              <w:spacing w:after="0"/>
              <w:rPr>
                <w:sz w:val="18"/>
                <w:szCs w:val="18"/>
                <w:color w:val="auto"/>
              </w:rPr>
            </w:pPr>
          </w:p>
        </w:tc>
        <w:tc>
          <w:tcPr>
            <w:tcW w:w="160" w:type="dxa"/>
            <w:vAlign w:val="bottom"/>
            <w:tcBorders>
              <w:bottom w:val="single" w:sz="8" w:color="2D53A6"/>
            </w:tcBorders>
            <w:shd w:val="clear" w:color="auto" w:fill="E6E6E6"/>
          </w:tcPr>
          <w:p>
            <w:pPr>
              <w:spacing w:after="0"/>
              <w:rPr>
                <w:sz w:val="18"/>
                <w:szCs w:val="18"/>
                <w:color w:val="auto"/>
              </w:rPr>
            </w:pPr>
          </w:p>
        </w:tc>
        <w:tc>
          <w:tcPr>
            <w:tcW w:w="1080" w:type="dxa"/>
            <w:vAlign w:val="bottom"/>
            <w:tcBorders>
              <w:bottom w:val="single" w:sz="8" w:color="2D53A6"/>
              <w:right w:val="single" w:sz="8" w:color="2D53A6"/>
            </w:tcBorders>
            <w:shd w:val="clear" w:color="auto" w:fill="E6E6E6"/>
          </w:tcPr>
          <w:p>
            <w:pPr>
              <w:spacing w:after="0"/>
              <w:rPr>
                <w:sz w:val="18"/>
                <w:szCs w:val="18"/>
                <w:color w:val="auto"/>
              </w:rPr>
            </w:pPr>
          </w:p>
        </w:tc>
        <w:tc>
          <w:tcPr>
            <w:tcW w:w="128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89"/>
              </w:rPr>
              <w:t>3/15/2021</w:t>
            </w:r>
          </w:p>
        </w:tc>
        <w:tc>
          <w:tcPr>
            <w:tcW w:w="520" w:type="dxa"/>
            <w:vAlign w:val="bottom"/>
            <w:tcBorders>
              <w:bottom w:val="single" w:sz="8" w:color="2D53A6"/>
            </w:tcBorders>
            <w:shd w:val="clear" w:color="auto" w:fill="E6E6E6"/>
          </w:tcPr>
          <w:p>
            <w:pPr>
              <w:ind w:left="20"/>
              <w:spacing w:after="0"/>
              <w:rPr>
                <w:sz w:val="20"/>
                <w:szCs w:val="20"/>
                <w:color w:val="auto"/>
              </w:rPr>
            </w:pPr>
            <w:r>
              <w:rPr>
                <w:rFonts w:ascii="Arial" w:cs="Arial" w:eastAsia="Arial" w:hAnsi="Arial"/>
                <w:sz w:val="18"/>
                <w:szCs w:val="18"/>
                <w:color w:val="auto"/>
              </w:rPr>
              <w:t>9,382</w:t>
            </w:r>
          </w:p>
        </w:tc>
        <w:tc>
          <w:tcPr>
            <w:tcW w:w="540" w:type="dxa"/>
            <w:vAlign w:val="bottom"/>
            <w:tcBorders>
              <w:bottom w:val="single" w:sz="8" w:color="2D53A6"/>
            </w:tcBorders>
            <w:gridSpan w:val="2"/>
            <w:shd w:val="clear" w:color="auto" w:fill="E6E6E6"/>
          </w:tcPr>
          <w:p>
            <w:pPr>
              <w:jc w:val="center"/>
              <w:ind w:right="305"/>
              <w:spacing w:after="0"/>
              <w:rPr>
                <w:sz w:val="20"/>
                <w:szCs w:val="20"/>
                <w:color w:val="auto"/>
              </w:rPr>
            </w:pPr>
            <w:r>
              <w:rPr>
                <w:rFonts w:ascii="Arial" w:cs="Arial" w:eastAsia="Arial" w:hAnsi="Arial"/>
                <w:sz w:val="15"/>
                <w:szCs w:val="15"/>
                <w:color w:val="auto"/>
                <w:w w:val="87"/>
              </w:rPr>
              <w:t>(2)</w:t>
            </w:r>
          </w:p>
        </w:tc>
        <w:tc>
          <w:tcPr>
            <w:tcW w:w="180" w:type="dxa"/>
            <w:vAlign w:val="bottom"/>
            <w:tcBorders>
              <w:bottom w:val="single" w:sz="8" w:color="2D53A6"/>
              <w:right w:val="single" w:sz="8" w:color="2D53A6"/>
            </w:tcBorders>
            <w:shd w:val="clear" w:color="auto" w:fill="E6E6E6"/>
          </w:tcPr>
          <w:p>
            <w:pPr>
              <w:spacing w:after="0"/>
              <w:rPr>
                <w:sz w:val="18"/>
                <w:szCs w:val="18"/>
                <w:color w:val="auto"/>
              </w:rPr>
            </w:pPr>
          </w:p>
        </w:tc>
        <w:tc>
          <w:tcPr>
            <w:tcW w:w="128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356,610</w:t>
            </w:r>
          </w:p>
        </w:tc>
        <w:tc>
          <w:tcPr>
            <w:tcW w:w="40" w:type="dxa"/>
            <w:vAlign w:val="bottom"/>
            <w:tcBorders>
              <w:bottom w:val="single" w:sz="8" w:color="2D53A6"/>
            </w:tcBorders>
            <w:shd w:val="clear" w:color="auto" w:fill="E6E6E6"/>
          </w:tcPr>
          <w:p>
            <w:pPr>
              <w:spacing w:after="0"/>
              <w:rPr>
                <w:sz w:val="18"/>
                <w:szCs w:val="18"/>
                <w:color w:val="auto"/>
              </w:rPr>
            </w:pPr>
          </w:p>
        </w:tc>
        <w:tc>
          <w:tcPr>
            <w:tcW w:w="120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9,382</w:t>
            </w:r>
          </w:p>
        </w:tc>
        <w:tc>
          <w:tcPr>
            <w:tcW w:w="1160" w:type="dxa"/>
            <w:vAlign w:val="bottom"/>
            <w:tcBorders>
              <w:bottom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356,610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280" w:type="dxa"/>
            <w:vAlign w:val="bottom"/>
            <w:tcBorders>
              <w:right w:val="single" w:sz="8" w:color="2D53A6"/>
            </w:tcBorders>
          </w:tcPr>
          <w:p>
            <w:pPr>
              <w:spacing w:after="0" w:line="195" w:lineRule="exact"/>
              <w:rPr>
                <w:sz w:val="20"/>
                <w:szCs w:val="20"/>
                <w:color w:val="auto"/>
              </w:rPr>
            </w:pPr>
            <w:r>
              <w:rPr>
                <w:rFonts w:ascii="Arial" w:cs="Arial" w:eastAsia="Arial" w:hAnsi="Arial"/>
                <w:sz w:val="18"/>
                <w:szCs w:val="18"/>
                <w:color w:val="auto"/>
              </w:rPr>
              <w:t>Christopher G.</w:t>
            </w:r>
          </w:p>
        </w:tc>
        <w:tc>
          <w:tcPr>
            <w:tcW w:w="1280" w:type="dxa"/>
            <w:vAlign w:val="bottom"/>
            <w:tcBorders>
              <w:right w:val="single" w:sz="8" w:color="2D53A6"/>
            </w:tcBorders>
          </w:tcPr>
          <w:p>
            <w:pPr>
              <w:jc w:val="right"/>
              <w:spacing w:after="0" w:line="195" w:lineRule="exact"/>
              <w:rPr>
                <w:sz w:val="20"/>
                <w:szCs w:val="20"/>
                <w:color w:val="auto"/>
              </w:rPr>
            </w:pPr>
            <w:r>
              <w:rPr>
                <w:rFonts w:ascii="Arial" w:cs="Arial" w:eastAsia="Arial" w:hAnsi="Arial"/>
                <w:sz w:val="18"/>
                <w:szCs w:val="18"/>
                <w:color w:val="auto"/>
              </w:rPr>
              <w:t>-</w:t>
            </w:r>
          </w:p>
        </w:tc>
        <w:tc>
          <w:tcPr>
            <w:tcW w:w="1240" w:type="dxa"/>
            <w:vAlign w:val="bottom"/>
            <w:tcBorders>
              <w:right w:val="single" w:sz="8" w:color="2D53A6"/>
            </w:tcBorders>
          </w:tcPr>
          <w:p>
            <w:pPr>
              <w:jc w:val="right"/>
              <w:spacing w:after="0" w:line="195"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6"/>
                <w:szCs w:val="16"/>
                <w:color w:val="auto"/>
              </w:rPr>
            </w:pPr>
          </w:p>
        </w:tc>
        <w:tc>
          <w:tcPr>
            <w:tcW w:w="1080" w:type="dxa"/>
            <w:vAlign w:val="bottom"/>
            <w:tcBorders>
              <w:right w:val="single" w:sz="8" w:color="2D53A6"/>
            </w:tcBorders>
          </w:tcPr>
          <w:p>
            <w:pPr>
              <w:jc w:val="right"/>
              <w:spacing w:after="0" w:line="195" w:lineRule="exact"/>
              <w:rPr>
                <w:sz w:val="20"/>
                <w:szCs w:val="20"/>
                <w:color w:val="auto"/>
              </w:rPr>
            </w:pPr>
            <w:r>
              <w:rPr>
                <w:rFonts w:ascii="Arial" w:cs="Arial" w:eastAsia="Arial" w:hAnsi="Arial"/>
                <w:sz w:val="18"/>
                <w:szCs w:val="18"/>
                <w:color w:val="auto"/>
              </w:rPr>
              <w:t>-</w:t>
            </w:r>
          </w:p>
        </w:tc>
        <w:tc>
          <w:tcPr>
            <w:tcW w:w="1280" w:type="dxa"/>
            <w:vAlign w:val="bottom"/>
            <w:tcBorders>
              <w:right w:val="single" w:sz="8" w:color="2D53A6"/>
            </w:tcBorders>
          </w:tcPr>
          <w:p>
            <w:pPr>
              <w:jc w:val="center"/>
              <w:spacing w:after="0" w:line="195" w:lineRule="exact"/>
              <w:rPr>
                <w:sz w:val="20"/>
                <w:szCs w:val="20"/>
                <w:color w:val="auto"/>
              </w:rPr>
            </w:pPr>
            <w:r>
              <w:rPr>
                <w:rFonts w:ascii="Arial" w:cs="Arial" w:eastAsia="Arial" w:hAnsi="Arial"/>
                <w:sz w:val="18"/>
                <w:szCs w:val="18"/>
                <w:color w:val="auto"/>
                <w:w w:val="89"/>
              </w:rPr>
              <w:t>3/20/2018</w:t>
            </w:r>
          </w:p>
        </w:tc>
        <w:tc>
          <w:tcPr>
            <w:tcW w:w="520" w:type="dxa"/>
            <w:vAlign w:val="bottom"/>
          </w:tcPr>
          <w:p>
            <w:pPr>
              <w:ind w:left="20"/>
              <w:spacing w:after="0" w:line="195" w:lineRule="exact"/>
              <w:rPr>
                <w:sz w:val="20"/>
                <w:szCs w:val="20"/>
                <w:color w:val="auto"/>
              </w:rPr>
            </w:pPr>
            <w:r>
              <w:rPr>
                <w:rFonts w:ascii="Arial" w:cs="Arial" w:eastAsia="Arial" w:hAnsi="Arial"/>
                <w:sz w:val="18"/>
                <w:szCs w:val="18"/>
                <w:color w:val="auto"/>
              </w:rPr>
              <w:t>1,812</w:t>
            </w:r>
          </w:p>
        </w:tc>
        <w:tc>
          <w:tcPr>
            <w:tcW w:w="540" w:type="dxa"/>
            <w:vAlign w:val="bottom"/>
            <w:gridSpan w:val="2"/>
          </w:tcPr>
          <w:p>
            <w:pPr>
              <w:jc w:val="center"/>
              <w:ind w:right="305"/>
              <w:spacing w:after="0"/>
              <w:rPr>
                <w:sz w:val="20"/>
                <w:szCs w:val="20"/>
                <w:color w:val="auto"/>
              </w:rPr>
            </w:pPr>
            <w:r>
              <w:rPr>
                <w:rFonts w:ascii="Arial" w:cs="Arial" w:eastAsia="Arial" w:hAnsi="Arial"/>
                <w:sz w:val="15"/>
                <w:szCs w:val="15"/>
                <w:color w:val="auto"/>
                <w:w w:val="87"/>
              </w:rPr>
              <w:t>(2)</w:t>
            </w:r>
          </w:p>
        </w:tc>
        <w:tc>
          <w:tcPr>
            <w:tcW w:w="180" w:type="dxa"/>
            <w:vAlign w:val="bottom"/>
            <w:tcBorders>
              <w:right w:val="single" w:sz="8" w:color="2D53A6"/>
            </w:tcBorders>
          </w:tcPr>
          <w:p>
            <w:pPr>
              <w:spacing w:after="0"/>
              <w:rPr>
                <w:sz w:val="16"/>
                <w:szCs w:val="16"/>
                <w:color w:val="auto"/>
              </w:rPr>
            </w:pPr>
          </w:p>
        </w:tc>
        <w:tc>
          <w:tcPr>
            <w:tcW w:w="1280" w:type="dxa"/>
            <w:vAlign w:val="bottom"/>
            <w:tcBorders>
              <w:right w:val="single" w:sz="8" w:color="2D53A6"/>
            </w:tcBorders>
          </w:tcPr>
          <w:p>
            <w:pPr>
              <w:jc w:val="right"/>
              <w:spacing w:after="0" w:line="195" w:lineRule="exact"/>
              <w:rPr>
                <w:sz w:val="20"/>
                <w:szCs w:val="20"/>
                <w:color w:val="auto"/>
              </w:rPr>
            </w:pPr>
            <w:r>
              <w:rPr>
                <w:rFonts w:ascii="Arial" w:cs="Arial" w:eastAsia="Arial" w:hAnsi="Arial"/>
                <w:sz w:val="18"/>
                <w:szCs w:val="18"/>
                <w:color w:val="auto"/>
              </w:rPr>
              <w:t>68,874</w:t>
            </w:r>
          </w:p>
        </w:tc>
        <w:tc>
          <w:tcPr>
            <w:tcW w:w="40" w:type="dxa"/>
            <w:vAlign w:val="bottom"/>
          </w:tcPr>
          <w:p>
            <w:pPr>
              <w:spacing w:after="0"/>
              <w:rPr>
                <w:sz w:val="16"/>
                <w:szCs w:val="16"/>
                <w:color w:val="auto"/>
              </w:rPr>
            </w:pPr>
          </w:p>
        </w:tc>
        <w:tc>
          <w:tcPr>
            <w:tcW w:w="1200" w:type="dxa"/>
            <w:vAlign w:val="bottom"/>
            <w:tcBorders>
              <w:right w:val="single" w:sz="8" w:color="2D53A6"/>
            </w:tcBorders>
          </w:tcPr>
          <w:p>
            <w:pPr>
              <w:jc w:val="right"/>
              <w:spacing w:after="0" w:line="195"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80" w:type="dxa"/>
            <w:vAlign w:val="bottom"/>
            <w:tcBorders>
              <w:right w:val="single" w:sz="8" w:color="2D53A6"/>
            </w:tcBorders>
          </w:tcPr>
          <w:p>
            <w:pPr>
              <w:spacing w:after="0"/>
              <w:rPr>
                <w:sz w:val="20"/>
                <w:szCs w:val="20"/>
                <w:color w:val="auto"/>
              </w:rPr>
            </w:pPr>
            <w:r>
              <w:rPr>
                <w:rFonts w:ascii="Arial" w:cs="Arial" w:eastAsia="Arial" w:hAnsi="Arial"/>
                <w:sz w:val="18"/>
                <w:szCs w:val="18"/>
                <w:color w:val="auto"/>
              </w:rPr>
              <w:t>Bohrson</w:t>
            </w:r>
          </w:p>
        </w:tc>
        <w:tc>
          <w:tcPr>
            <w:tcW w:w="1280" w:type="dxa"/>
            <w:vAlign w:val="bottom"/>
            <w:tcBorders>
              <w:right w:val="single" w:sz="8" w:color="2D53A6"/>
            </w:tcBorders>
          </w:tcPr>
          <w:p>
            <w:pPr>
              <w:spacing w:after="0"/>
              <w:rPr>
                <w:sz w:val="18"/>
                <w:szCs w:val="18"/>
                <w:color w:val="auto"/>
              </w:rPr>
            </w:pPr>
          </w:p>
        </w:tc>
        <w:tc>
          <w:tcPr>
            <w:tcW w:w="1240" w:type="dxa"/>
            <w:vAlign w:val="bottom"/>
            <w:tcBorders>
              <w:right w:val="single" w:sz="8" w:color="2D53A6"/>
            </w:tcBorders>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Borders>
              <w:right w:val="single" w:sz="8" w:color="2D53A6"/>
            </w:tcBorders>
          </w:tcPr>
          <w:p>
            <w:pPr>
              <w:spacing w:after="0"/>
              <w:rPr>
                <w:sz w:val="18"/>
                <w:szCs w:val="18"/>
                <w:color w:val="auto"/>
              </w:rPr>
            </w:pPr>
          </w:p>
        </w:tc>
        <w:tc>
          <w:tcPr>
            <w:tcW w:w="1280" w:type="dxa"/>
            <w:vAlign w:val="bottom"/>
            <w:tcBorders>
              <w:right w:val="single" w:sz="8" w:color="2D53A6"/>
            </w:tcBorders>
          </w:tcPr>
          <w:p>
            <w:pPr>
              <w:jc w:val="center"/>
              <w:spacing w:after="0"/>
              <w:rPr>
                <w:sz w:val="20"/>
                <w:szCs w:val="20"/>
                <w:color w:val="auto"/>
              </w:rPr>
            </w:pPr>
            <w:r>
              <w:rPr>
                <w:rFonts w:ascii="Arial" w:cs="Arial" w:eastAsia="Arial" w:hAnsi="Arial"/>
                <w:sz w:val="18"/>
                <w:szCs w:val="18"/>
                <w:color w:val="auto"/>
                <w:w w:val="89"/>
              </w:rPr>
              <w:t>3/19/2019</w:t>
            </w:r>
          </w:p>
        </w:tc>
        <w:tc>
          <w:tcPr>
            <w:tcW w:w="520" w:type="dxa"/>
            <w:vAlign w:val="bottom"/>
          </w:tcPr>
          <w:p>
            <w:pPr>
              <w:ind w:left="20"/>
              <w:spacing w:after="0"/>
              <w:rPr>
                <w:sz w:val="20"/>
                <w:szCs w:val="20"/>
                <w:color w:val="auto"/>
              </w:rPr>
            </w:pPr>
            <w:r>
              <w:rPr>
                <w:rFonts w:ascii="Arial" w:cs="Arial" w:eastAsia="Arial" w:hAnsi="Arial"/>
                <w:sz w:val="18"/>
                <w:szCs w:val="18"/>
                <w:color w:val="auto"/>
              </w:rPr>
              <w:t>7,432</w:t>
            </w:r>
          </w:p>
        </w:tc>
        <w:tc>
          <w:tcPr>
            <w:tcW w:w="540" w:type="dxa"/>
            <w:vAlign w:val="bottom"/>
            <w:gridSpan w:val="2"/>
          </w:tcPr>
          <w:p>
            <w:pPr>
              <w:jc w:val="center"/>
              <w:ind w:right="305"/>
              <w:spacing w:after="0"/>
              <w:rPr>
                <w:sz w:val="20"/>
                <w:szCs w:val="20"/>
                <w:color w:val="auto"/>
              </w:rPr>
            </w:pPr>
            <w:r>
              <w:rPr>
                <w:rFonts w:ascii="Arial" w:cs="Arial" w:eastAsia="Arial" w:hAnsi="Arial"/>
                <w:sz w:val="15"/>
                <w:szCs w:val="15"/>
                <w:color w:val="auto"/>
                <w:w w:val="87"/>
              </w:rPr>
              <w:t>(2)</w:t>
            </w:r>
          </w:p>
        </w:tc>
        <w:tc>
          <w:tcPr>
            <w:tcW w:w="180" w:type="dxa"/>
            <w:vAlign w:val="bottom"/>
            <w:tcBorders>
              <w:right w:val="single" w:sz="8" w:color="2D53A6"/>
            </w:tcBorders>
          </w:tcPr>
          <w:p>
            <w:pPr>
              <w:spacing w:after="0"/>
              <w:rPr>
                <w:sz w:val="18"/>
                <w:szCs w:val="18"/>
                <w:color w:val="auto"/>
              </w:rPr>
            </w:pPr>
          </w:p>
        </w:tc>
        <w:tc>
          <w:tcPr>
            <w:tcW w:w="1280" w:type="dxa"/>
            <w:vAlign w:val="bottom"/>
            <w:tcBorders>
              <w:right w:val="single" w:sz="8" w:color="2D53A6"/>
            </w:tcBorders>
          </w:tcPr>
          <w:p>
            <w:pPr>
              <w:jc w:val="right"/>
              <w:spacing w:after="0"/>
              <w:rPr>
                <w:sz w:val="20"/>
                <w:szCs w:val="20"/>
                <w:color w:val="auto"/>
              </w:rPr>
            </w:pPr>
            <w:r>
              <w:rPr>
                <w:rFonts w:ascii="Arial" w:cs="Arial" w:eastAsia="Arial" w:hAnsi="Arial"/>
                <w:sz w:val="18"/>
                <w:szCs w:val="18"/>
                <w:color w:val="auto"/>
              </w:rPr>
              <w:t>282,490</w:t>
            </w:r>
          </w:p>
        </w:tc>
        <w:tc>
          <w:tcPr>
            <w:tcW w:w="40" w:type="dxa"/>
            <w:vAlign w:val="bottom"/>
          </w:tcPr>
          <w:p>
            <w:pPr>
              <w:spacing w:after="0"/>
              <w:rPr>
                <w:sz w:val="18"/>
                <w:szCs w:val="18"/>
                <w:color w:val="auto"/>
              </w:rPr>
            </w:pPr>
          </w:p>
        </w:tc>
        <w:tc>
          <w:tcPr>
            <w:tcW w:w="1200" w:type="dxa"/>
            <w:vAlign w:val="bottom"/>
            <w:tcBorders>
              <w:right w:val="single" w:sz="8" w:color="2D53A6"/>
            </w:tcBorders>
          </w:tcPr>
          <w:p>
            <w:pPr>
              <w:jc w:val="right"/>
              <w:spacing w:after="0"/>
              <w:rPr>
                <w:sz w:val="20"/>
                <w:szCs w:val="20"/>
                <w:color w:val="auto"/>
              </w:rPr>
            </w:pPr>
            <w:r>
              <w:rPr>
                <w:rFonts w:ascii="Arial" w:cs="Arial" w:eastAsia="Arial" w:hAnsi="Arial"/>
                <w:sz w:val="18"/>
                <w:szCs w:val="18"/>
                <w:color w:val="auto"/>
              </w:rPr>
              <w:t>14,864</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564,981</w:t>
            </w:r>
          </w:p>
        </w:tc>
        <w:tc>
          <w:tcPr>
            <w:tcW w:w="0" w:type="dxa"/>
            <w:vAlign w:val="bottom"/>
          </w:tcPr>
          <w:p>
            <w:pPr>
              <w:spacing w:after="0"/>
              <w:rPr>
                <w:sz w:val="1"/>
                <w:szCs w:val="1"/>
                <w:color w:val="auto"/>
              </w:rPr>
            </w:pPr>
          </w:p>
        </w:tc>
      </w:tr>
      <w:tr>
        <w:trPr>
          <w:trHeight w:val="216"/>
        </w:trPr>
        <w:tc>
          <w:tcPr>
            <w:tcW w:w="1280" w:type="dxa"/>
            <w:vAlign w:val="bottom"/>
            <w:tcBorders>
              <w:right w:val="single" w:sz="8" w:color="2D53A6"/>
            </w:tcBorders>
          </w:tcPr>
          <w:p>
            <w:pPr>
              <w:spacing w:after="0"/>
              <w:rPr>
                <w:sz w:val="18"/>
                <w:szCs w:val="18"/>
                <w:color w:val="auto"/>
              </w:rPr>
            </w:pPr>
          </w:p>
        </w:tc>
        <w:tc>
          <w:tcPr>
            <w:tcW w:w="1280" w:type="dxa"/>
            <w:vAlign w:val="bottom"/>
            <w:tcBorders>
              <w:right w:val="single" w:sz="8" w:color="2D53A6"/>
            </w:tcBorders>
          </w:tcPr>
          <w:p>
            <w:pPr>
              <w:spacing w:after="0"/>
              <w:rPr>
                <w:sz w:val="18"/>
                <w:szCs w:val="18"/>
                <w:color w:val="auto"/>
              </w:rPr>
            </w:pPr>
          </w:p>
        </w:tc>
        <w:tc>
          <w:tcPr>
            <w:tcW w:w="1240" w:type="dxa"/>
            <w:vAlign w:val="bottom"/>
            <w:tcBorders>
              <w:right w:val="single" w:sz="8" w:color="2D53A6"/>
            </w:tcBorders>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Borders>
              <w:right w:val="single" w:sz="8" w:color="2D53A6"/>
            </w:tcBorders>
          </w:tcPr>
          <w:p>
            <w:pPr>
              <w:spacing w:after="0"/>
              <w:rPr>
                <w:sz w:val="18"/>
                <w:szCs w:val="18"/>
                <w:color w:val="auto"/>
              </w:rPr>
            </w:pPr>
          </w:p>
        </w:tc>
        <w:tc>
          <w:tcPr>
            <w:tcW w:w="1280" w:type="dxa"/>
            <w:vAlign w:val="bottom"/>
            <w:tcBorders>
              <w:right w:val="single" w:sz="8" w:color="2D53A6"/>
            </w:tcBorders>
          </w:tcPr>
          <w:p>
            <w:pPr>
              <w:jc w:val="center"/>
              <w:spacing w:after="0"/>
              <w:rPr>
                <w:sz w:val="20"/>
                <w:szCs w:val="20"/>
                <w:color w:val="auto"/>
              </w:rPr>
            </w:pPr>
            <w:r>
              <w:rPr>
                <w:rFonts w:ascii="Arial" w:cs="Arial" w:eastAsia="Arial" w:hAnsi="Arial"/>
                <w:sz w:val="18"/>
                <w:szCs w:val="18"/>
                <w:color w:val="auto"/>
                <w:w w:val="89"/>
              </w:rPr>
              <w:t>3/17/2020</w:t>
            </w:r>
          </w:p>
        </w:tc>
        <w:tc>
          <w:tcPr>
            <w:tcW w:w="560" w:type="dxa"/>
            <w:vAlign w:val="bottom"/>
            <w:gridSpan w:val="2"/>
          </w:tcPr>
          <w:p>
            <w:pPr>
              <w:ind w:left="20"/>
              <w:spacing w:after="0"/>
              <w:rPr>
                <w:sz w:val="20"/>
                <w:szCs w:val="20"/>
                <w:color w:val="auto"/>
              </w:rPr>
            </w:pPr>
            <w:r>
              <w:rPr>
                <w:rFonts w:ascii="Arial" w:cs="Arial" w:eastAsia="Arial" w:hAnsi="Arial"/>
                <w:sz w:val="18"/>
                <w:szCs w:val="18"/>
                <w:color w:val="auto"/>
                <w:w w:val="94"/>
              </w:rPr>
              <w:t>12,668</w:t>
            </w:r>
          </w:p>
        </w:tc>
        <w:tc>
          <w:tcPr>
            <w:tcW w:w="500" w:type="dxa"/>
            <w:vAlign w:val="bottom"/>
          </w:tcPr>
          <w:p>
            <w:pPr>
              <w:jc w:val="right"/>
              <w:ind w:right="205"/>
              <w:spacing w:after="0"/>
              <w:rPr>
                <w:sz w:val="20"/>
                <w:szCs w:val="20"/>
                <w:color w:val="auto"/>
              </w:rPr>
            </w:pPr>
            <w:r>
              <w:rPr>
                <w:rFonts w:ascii="Arial" w:cs="Arial" w:eastAsia="Arial" w:hAnsi="Arial"/>
                <w:sz w:val="15"/>
                <w:szCs w:val="15"/>
                <w:color w:val="auto"/>
              </w:rPr>
              <w:t>(2)</w:t>
            </w:r>
          </w:p>
        </w:tc>
        <w:tc>
          <w:tcPr>
            <w:tcW w:w="180" w:type="dxa"/>
            <w:vAlign w:val="bottom"/>
            <w:tcBorders>
              <w:right w:val="single" w:sz="8" w:color="2D53A6"/>
            </w:tcBorders>
          </w:tcPr>
          <w:p>
            <w:pPr>
              <w:spacing w:after="0"/>
              <w:rPr>
                <w:sz w:val="18"/>
                <w:szCs w:val="18"/>
                <w:color w:val="auto"/>
              </w:rPr>
            </w:pPr>
          </w:p>
        </w:tc>
        <w:tc>
          <w:tcPr>
            <w:tcW w:w="1280" w:type="dxa"/>
            <w:vAlign w:val="bottom"/>
            <w:tcBorders>
              <w:right w:val="single" w:sz="8" w:color="2D53A6"/>
            </w:tcBorders>
          </w:tcPr>
          <w:p>
            <w:pPr>
              <w:jc w:val="right"/>
              <w:spacing w:after="0"/>
              <w:rPr>
                <w:sz w:val="20"/>
                <w:szCs w:val="20"/>
                <w:color w:val="auto"/>
              </w:rPr>
            </w:pPr>
            <w:r>
              <w:rPr>
                <w:rFonts w:ascii="Arial" w:cs="Arial" w:eastAsia="Arial" w:hAnsi="Arial"/>
                <w:sz w:val="18"/>
                <w:szCs w:val="18"/>
                <w:color w:val="auto"/>
              </w:rPr>
              <w:t>481,511</w:t>
            </w:r>
          </w:p>
        </w:tc>
        <w:tc>
          <w:tcPr>
            <w:tcW w:w="40" w:type="dxa"/>
            <w:vAlign w:val="bottom"/>
          </w:tcPr>
          <w:p>
            <w:pPr>
              <w:spacing w:after="0"/>
              <w:rPr>
                <w:sz w:val="18"/>
                <w:szCs w:val="18"/>
                <w:color w:val="auto"/>
              </w:rPr>
            </w:pPr>
          </w:p>
        </w:tc>
        <w:tc>
          <w:tcPr>
            <w:tcW w:w="1200" w:type="dxa"/>
            <w:vAlign w:val="bottom"/>
            <w:tcBorders>
              <w:right w:val="single" w:sz="8" w:color="2D53A6"/>
            </w:tcBorders>
          </w:tcPr>
          <w:p>
            <w:pPr>
              <w:jc w:val="right"/>
              <w:spacing w:after="0"/>
              <w:rPr>
                <w:sz w:val="20"/>
                <w:szCs w:val="20"/>
                <w:color w:val="auto"/>
              </w:rPr>
            </w:pPr>
            <w:r>
              <w:rPr>
                <w:rFonts w:ascii="Arial" w:cs="Arial" w:eastAsia="Arial" w:hAnsi="Arial"/>
                <w:sz w:val="18"/>
                <w:szCs w:val="18"/>
                <w:color w:val="auto"/>
              </w:rPr>
              <w:t>16,891</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642,027</w:t>
            </w:r>
          </w:p>
        </w:tc>
        <w:tc>
          <w:tcPr>
            <w:tcW w:w="0" w:type="dxa"/>
            <w:vAlign w:val="bottom"/>
          </w:tcPr>
          <w:p>
            <w:pPr>
              <w:spacing w:after="0"/>
              <w:rPr>
                <w:sz w:val="1"/>
                <w:szCs w:val="1"/>
                <w:color w:val="auto"/>
              </w:rPr>
            </w:pPr>
          </w:p>
        </w:tc>
      </w:tr>
      <w:tr>
        <w:trPr>
          <w:trHeight w:val="230"/>
        </w:trPr>
        <w:tc>
          <w:tcPr>
            <w:tcW w:w="1280" w:type="dxa"/>
            <w:vAlign w:val="bottom"/>
            <w:tcBorders>
              <w:right w:val="single" w:sz="8" w:color="2D53A6"/>
            </w:tcBorders>
          </w:tcPr>
          <w:p>
            <w:pPr>
              <w:spacing w:after="0"/>
              <w:rPr>
                <w:sz w:val="20"/>
                <w:szCs w:val="20"/>
                <w:color w:val="auto"/>
              </w:rPr>
            </w:pPr>
          </w:p>
        </w:tc>
        <w:tc>
          <w:tcPr>
            <w:tcW w:w="1280" w:type="dxa"/>
            <w:vAlign w:val="bottom"/>
            <w:tcBorders>
              <w:right w:val="single" w:sz="8" w:color="2D53A6"/>
            </w:tcBorders>
          </w:tcPr>
          <w:p>
            <w:pPr>
              <w:spacing w:after="0"/>
              <w:rPr>
                <w:sz w:val="20"/>
                <w:szCs w:val="20"/>
                <w:color w:val="auto"/>
              </w:rPr>
            </w:pPr>
          </w:p>
        </w:tc>
        <w:tc>
          <w:tcPr>
            <w:tcW w:w="1240" w:type="dxa"/>
            <w:vAlign w:val="bottom"/>
            <w:tcBorders>
              <w:right w:val="single" w:sz="8" w:color="2D53A6"/>
            </w:tcBorders>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Borders>
              <w:right w:val="single" w:sz="8" w:color="2D53A6"/>
            </w:tcBorders>
          </w:tcPr>
          <w:p>
            <w:pPr>
              <w:spacing w:after="0"/>
              <w:rPr>
                <w:sz w:val="20"/>
                <w:szCs w:val="20"/>
                <w:color w:val="auto"/>
              </w:rPr>
            </w:pPr>
          </w:p>
        </w:tc>
        <w:tc>
          <w:tcPr>
            <w:tcW w:w="1280" w:type="dxa"/>
            <w:vAlign w:val="bottom"/>
            <w:tcBorders>
              <w:right w:val="single" w:sz="8" w:color="2D53A6"/>
            </w:tcBorders>
          </w:tcPr>
          <w:p>
            <w:pPr>
              <w:jc w:val="center"/>
              <w:spacing w:after="0"/>
              <w:rPr>
                <w:sz w:val="20"/>
                <w:szCs w:val="20"/>
                <w:color w:val="auto"/>
              </w:rPr>
            </w:pPr>
            <w:r>
              <w:rPr>
                <w:rFonts w:ascii="Arial" w:cs="Arial" w:eastAsia="Arial" w:hAnsi="Arial"/>
                <w:sz w:val="18"/>
                <w:szCs w:val="18"/>
                <w:color w:val="auto"/>
                <w:w w:val="89"/>
              </w:rPr>
              <w:t>3/15/2021</w:t>
            </w:r>
          </w:p>
        </w:tc>
        <w:tc>
          <w:tcPr>
            <w:tcW w:w="520" w:type="dxa"/>
            <w:vAlign w:val="bottom"/>
          </w:tcPr>
          <w:p>
            <w:pPr>
              <w:ind w:left="20"/>
              <w:spacing w:after="0"/>
              <w:rPr>
                <w:sz w:val="20"/>
                <w:szCs w:val="20"/>
                <w:color w:val="auto"/>
              </w:rPr>
            </w:pPr>
            <w:r>
              <w:rPr>
                <w:rFonts w:ascii="Arial" w:cs="Arial" w:eastAsia="Arial" w:hAnsi="Arial"/>
                <w:sz w:val="18"/>
                <w:szCs w:val="18"/>
                <w:color w:val="auto"/>
              </w:rPr>
              <w:t>6,178</w:t>
            </w:r>
          </w:p>
        </w:tc>
        <w:tc>
          <w:tcPr>
            <w:tcW w:w="540" w:type="dxa"/>
            <w:vAlign w:val="bottom"/>
            <w:gridSpan w:val="2"/>
          </w:tcPr>
          <w:p>
            <w:pPr>
              <w:jc w:val="center"/>
              <w:ind w:right="305"/>
              <w:spacing w:after="0"/>
              <w:rPr>
                <w:sz w:val="20"/>
                <w:szCs w:val="20"/>
                <w:color w:val="auto"/>
              </w:rPr>
            </w:pPr>
            <w:r>
              <w:rPr>
                <w:rFonts w:ascii="Arial" w:cs="Arial" w:eastAsia="Arial" w:hAnsi="Arial"/>
                <w:sz w:val="15"/>
                <w:szCs w:val="15"/>
                <w:color w:val="auto"/>
                <w:w w:val="87"/>
              </w:rPr>
              <w:t>(2)</w:t>
            </w:r>
          </w:p>
        </w:tc>
        <w:tc>
          <w:tcPr>
            <w:tcW w:w="180" w:type="dxa"/>
            <w:vAlign w:val="bottom"/>
            <w:tcBorders>
              <w:right w:val="single" w:sz="8" w:color="2D53A6"/>
            </w:tcBorders>
          </w:tcPr>
          <w:p>
            <w:pPr>
              <w:spacing w:after="0"/>
              <w:rPr>
                <w:sz w:val="20"/>
                <w:szCs w:val="20"/>
                <w:color w:val="auto"/>
              </w:rPr>
            </w:pPr>
          </w:p>
        </w:tc>
        <w:tc>
          <w:tcPr>
            <w:tcW w:w="1280" w:type="dxa"/>
            <w:vAlign w:val="bottom"/>
            <w:tcBorders>
              <w:right w:val="single" w:sz="8" w:color="2D53A6"/>
            </w:tcBorders>
          </w:tcPr>
          <w:p>
            <w:pPr>
              <w:jc w:val="right"/>
              <w:spacing w:after="0"/>
              <w:rPr>
                <w:sz w:val="20"/>
                <w:szCs w:val="20"/>
                <w:color w:val="auto"/>
              </w:rPr>
            </w:pPr>
            <w:r>
              <w:rPr>
                <w:rFonts w:ascii="Arial" w:cs="Arial" w:eastAsia="Arial" w:hAnsi="Arial"/>
                <w:sz w:val="18"/>
                <w:szCs w:val="18"/>
                <w:color w:val="auto"/>
              </w:rPr>
              <w:t>234,826</w:t>
            </w:r>
          </w:p>
        </w:tc>
        <w:tc>
          <w:tcPr>
            <w:tcW w:w="40" w:type="dxa"/>
            <w:vAlign w:val="bottom"/>
          </w:tcPr>
          <w:p>
            <w:pPr>
              <w:spacing w:after="0"/>
              <w:rPr>
                <w:sz w:val="20"/>
                <w:szCs w:val="20"/>
                <w:color w:val="auto"/>
              </w:rPr>
            </w:pPr>
          </w:p>
        </w:tc>
        <w:tc>
          <w:tcPr>
            <w:tcW w:w="1200" w:type="dxa"/>
            <w:vAlign w:val="bottom"/>
            <w:tcBorders>
              <w:right w:val="single" w:sz="8" w:color="2D53A6"/>
            </w:tcBorders>
          </w:tcPr>
          <w:p>
            <w:pPr>
              <w:jc w:val="right"/>
              <w:spacing w:after="0"/>
              <w:rPr>
                <w:sz w:val="20"/>
                <w:szCs w:val="20"/>
                <w:color w:val="auto"/>
              </w:rPr>
            </w:pPr>
            <w:r>
              <w:rPr>
                <w:rFonts w:ascii="Arial" w:cs="Arial" w:eastAsia="Arial" w:hAnsi="Arial"/>
                <w:sz w:val="18"/>
                <w:szCs w:val="18"/>
                <w:color w:val="auto"/>
              </w:rPr>
              <w:t>6,178</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234,826</w:t>
            </w:r>
          </w:p>
        </w:tc>
        <w:tc>
          <w:tcPr>
            <w:tcW w:w="0" w:type="dxa"/>
            <w:vAlign w:val="bottom"/>
          </w:tcPr>
          <w:p>
            <w:pPr>
              <w:spacing w:after="0"/>
              <w:rPr>
                <w:sz w:val="1"/>
                <w:szCs w:val="1"/>
                <w:color w:val="auto"/>
              </w:rPr>
            </w:pPr>
          </w:p>
        </w:tc>
      </w:tr>
      <w:tr>
        <w:trPr>
          <w:trHeight w:val="210"/>
        </w:trPr>
        <w:tc>
          <w:tcPr>
            <w:tcW w:w="1280" w:type="dxa"/>
            <w:vAlign w:val="bottom"/>
            <w:tcBorders>
              <w:top w:val="single" w:sz="8" w:color="2D53A6"/>
              <w:right w:val="single" w:sz="8" w:color="2D53A6"/>
            </w:tcBorders>
            <w:shd w:val="clear" w:color="auto" w:fill="E6E6E6"/>
          </w:tcPr>
          <w:p>
            <w:pPr>
              <w:spacing w:after="0"/>
              <w:rPr>
                <w:sz w:val="20"/>
                <w:szCs w:val="20"/>
                <w:color w:val="auto"/>
              </w:rPr>
            </w:pPr>
            <w:r>
              <w:rPr>
                <w:rFonts w:ascii="Arial" w:cs="Arial" w:eastAsia="Arial" w:hAnsi="Arial"/>
                <w:sz w:val="18"/>
                <w:szCs w:val="18"/>
                <w:color w:val="auto"/>
              </w:rPr>
              <w:t>Thomas D.</w:t>
            </w:r>
          </w:p>
        </w:tc>
        <w:tc>
          <w:tcPr>
            <w:tcW w:w="1280" w:type="dxa"/>
            <w:vAlign w:val="bottom"/>
            <w:tcBorders>
              <w:top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2D53A6"/>
            </w:tcBorders>
            <w:shd w:val="clear" w:color="auto" w:fill="E6E6E6"/>
          </w:tcPr>
          <w:p>
            <w:pPr>
              <w:spacing w:after="0"/>
              <w:rPr>
                <w:sz w:val="18"/>
                <w:szCs w:val="18"/>
                <w:color w:val="auto"/>
              </w:rPr>
            </w:pPr>
          </w:p>
        </w:tc>
        <w:tc>
          <w:tcPr>
            <w:tcW w:w="1080" w:type="dxa"/>
            <w:vAlign w:val="bottom"/>
            <w:tcBorders>
              <w:top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89"/>
              </w:rPr>
              <w:t>3/20/2018</w:t>
            </w:r>
          </w:p>
        </w:tc>
        <w:tc>
          <w:tcPr>
            <w:tcW w:w="520" w:type="dxa"/>
            <w:vAlign w:val="bottom"/>
            <w:tcBorders>
              <w:top w:val="single" w:sz="8" w:color="2D53A6"/>
            </w:tcBorders>
            <w:shd w:val="clear" w:color="auto" w:fill="E6E6E6"/>
          </w:tcPr>
          <w:p>
            <w:pPr>
              <w:ind w:left="20"/>
              <w:spacing w:after="0"/>
              <w:rPr>
                <w:sz w:val="20"/>
                <w:szCs w:val="20"/>
                <w:color w:val="auto"/>
              </w:rPr>
            </w:pPr>
            <w:r>
              <w:rPr>
                <w:rFonts w:ascii="Arial" w:cs="Arial" w:eastAsia="Arial" w:hAnsi="Arial"/>
                <w:sz w:val="18"/>
                <w:szCs w:val="18"/>
                <w:color w:val="auto"/>
              </w:rPr>
              <w:t>1,812</w:t>
            </w:r>
          </w:p>
        </w:tc>
        <w:tc>
          <w:tcPr>
            <w:tcW w:w="540" w:type="dxa"/>
            <w:vAlign w:val="bottom"/>
            <w:tcBorders>
              <w:top w:val="single" w:sz="8" w:color="2D53A6"/>
            </w:tcBorders>
            <w:gridSpan w:val="2"/>
            <w:shd w:val="clear" w:color="auto" w:fill="E6E6E6"/>
          </w:tcPr>
          <w:p>
            <w:pPr>
              <w:jc w:val="center"/>
              <w:ind w:right="305"/>
              <w:spacing w:after="0"/>
              <w:rPr>
                <w:sz w:val="20"/>
                <w:szCs w:val="20"/>
                <w:color w:val="auto"/>
              </w:rPr>
            </w:pPr>
            <w:r>
              <w:rPr>
                <w:rFonts w:ascii="Arial" w:cs="Arial" w:eastAsia="Arial" w:hAnsi="Arial"/>
                <w:sz w:val="15"/>
                <w:szCs w:val="15"/>
                <w:color w:val="auto"/>
                <w:w w:val="87"/>
              </w:rPr>
              <w:t>(2)</w:t>
            </w:r>
          </w:p>
        </w:tc>
        <w:tc>
          <w:tcPr>
            <w:tcW w:w="180" w:type="dxa"/>
            <w:vAlign w:val="bottom"/>
            <w:tcBorders>
              <w:top w:val="single" w:sz="8" w:color="2D53A6"/>
              <w:right w:val="single" w:sz="8" w:color="2D53A6"/>
            </w:tcBorders>
            <w:shd w:val="clear" w:color="auto" w:fill="E6E6E6"/>
          </w:tcPr>
          <w:p>
            <w:pPr>
              <w:spacing w:after="0"/>
              <w:rPr>
                <w:sz w:val="18"/>
                <w:szCs w:val="18"/>
                <w:color w:val="auto"/>
              </w:rPr>
            </w:pPr>
          </w:p>
        </w:tc>
        <w:tc>
          <w:tcPr>
            <w:tcW w:w="1280" w:type="dxa"/>
            <w:vAlign w:val="bottom"/>
            <w:tcBorders>
              <w:top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68,874</w:t>
            </w:r>
          </w:p>
        </w:tc>
        <w:tc>
          <w:tcPr>
            <w:tcW w:w="40" w:type="dxa"/>
            <w:vAlign w:val="bottom"/>
            <w:tcBorders>
              <w:top w:val="single" w:sz="8" w:color="2D53A6"/>
            </w:tcBorders>
            <w:shd w:val="clear" w:color="auto" w:fill="E6E6E6"/>
          </w:tcPr>
          <w:p>
            <w:pPr>
              <w:spacing w:after="0"/>
              <w:rPr>
                <w:sz w:val="18"/>
                <w:szCs w:val="18"/>
                <w:color w:val="auto"/>
              </w:rPr>
            </w:pPr>
          </w:p>
        </w:tc>
        <w:tc>
          <w:tcPr>
            <w:tcW w:w="1200" w:type="dxa"/>
            <w:vAlign w:val="bottom"/>
            <w:tcBorders>
              <w:top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Borders>
              <w:right w:val="single" w:sz="8" w:color="2D53A6"/>
            </w:tcBorders>
            <w:shd w:val="clear" w:color="auto" w:fill="E6E6E6"/>
          </w:tcPr>
          <w:p>
            <w:pPr>
              <w:spacing w:after="0"/>
              <w:rPr>
                <w:sz w:val="20"/>
                <w:szCs w:val="20"/>
                <w:color w:val="auto"/>
              </w:rPr>
            </w:pPr>
            <w:r>
              <w:rPr>
                <w:rFonts w:ascii="Arial" w:cs="Arial" w:eastAsia="Arial" w:hAnsi="Arial"/>
                <w:sz w:val="18"/>
                <w:szCs w:val="18"/>
                <w:color w:val="auto"/>
              </w:rPr>
              <w:t>Kampfer</w:t>
            </w:r>
          </w:p>
        </w:tc>
        <w:tc>
          <w:tcPr>
            <w:tcW w:w="1280" w:type="dxa"/>
            <w:vAlign w:val="bottom"/>
            <w:tcBorders>
              <w:right w:val="single" w:sz="8" w:color="2D53A6"/>
            </w:tcBorders>
            <w:shd w:val="clear" w:color="auto" w:fill="E6E6E6"/>
          </w:tcPr>
          <w:p>
            <w:pPr>
              <w:spacing w:after="0"/>
              <w:rPr>
                <w:sz w:val="18"/>
                <w:szCs w:val="18"/>
                <w:color w:val="auto"/>
              </w:rPr>
            </w:pPr>
          </w:p>
        </w:tc>
        <w:tc>
          <w:tcPr>
            <w:tcW w:w="1240" w:type="dxa"/>
            <w:vAlign w:val="bottom"/>
            <w:tcBorders>
              <w:right w:val="single" w:sz="8" w:color="2D53A6"/>
            </w:tcBorders>
            <w:shd w:val="clear" w:color="auto" w:fill="E6E6E6"/>
          </w:tcPr>
          <w:p>
            <w:pPr>
              <w:spacing w:after="0"/>
              <w:rPr>
                <w:sz w:val="18"/>
                <w:szCs w:val="18"/>
                <w:color w:val="auto"/>
              </w:rPr>
            </w:pPr>
          </w:p>
        </w:tc>
        <w:tc>
          <w:tcPr>
            <w:tcW w:w="160" w:type="dxa"/>
            <w:vAlign w:val="bottom"/>
            <w:shd w:val="clear" w:color="auto" w:fill="E6E6E6"/>
          </w:tcPr>
          <w:p>
            <w:pPr>
              <w:spacing w:after="0"/>
              <w:rPr>
                <w:sz w:val="18"/>
                <w:szCs w:val="18"/>
                <w:color w:val="auto"/>
              </w:rPr>
            </w:pPr>
          </w:p>
        </w:tc>
        <w:tc>
          <w:tcPr>
            <w:tcW w:w="1080" w:type="dxa"/>
            <w:vAlign w:val="bottom"/>
            <w:tcBorders>
              <w:right w:val="single" w:sz="8" w:color="2D53A6"/>
            </w:tcBorders>
            <w:shd w:val="clear" w:color="auto" w:fill="E6E6E6"/>
          </w:tcPr>
          <w:p>
            <w:pPr>
              <w:spacing w:after="0"/>
              <w:rPr>
                <w:sz w:val="18"/>
                <w:szCs w:val="18"/>
                <w:color w:val="auto"/>
              </w:rPr>
            </w:pPr>
          </w:p>
        </w:tc>
        <w:tc>
          <w:tcPr>
            <w:tcW w:w="1280" w:type="dxa"/>
            <w:vAlign w:val="bottom"/>
            <w:tcBorders>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89"/>
              </w:rPr>
              <w:t>3/19/2019</w:t>
            </w:r>
          </w:p>
        </w:tc>
        <w:tc>
          <w:tcPr>
            <w:tcW w:w="520" w:type="dxa"/>
            <w:vAlign w:val="bottom"/>
            <w:shd w:val="clear" w:color="auto" w:fill="E6E6E6"/>
          </w:tcPr>
          <w:p>
            <w:pPr>
              <w:ind w:left="20"/>
              <w:spacing w:after="0"/>
              <w:rPr>
                <w:sz w:val="20"/>
                <w:szCs w:val="20"/>
                <w:color w:val="auto"/>
              </w:rPr>
            </w:pPr>
            <w:r>
              <w:rPr>
                <w:rFonts w:ascii="Arial" w:cs="Arial" w:eastAsia="Arial" w:hAnsi="Arial"/>
                <w:sz w:val="18"/>
                <w:szCs w:val="18"/>
                <w:color w:val="auto"/>
              </w:rPr>
              <w:t>6,250</w:t>
            </w:r>
          </w:p>
        </w:tc>
        <w:tc>
          <w:tcPr>
            <w:tcW w:w="540" w:type="dxa"/>
            <w:vAlign w:val="bottom"/>
            <w:gridSpan w:val="2"/>
            <w:shd w:val="clear" w:color="auto" w:fill="E6E6E6"/>
          </w:tcPr>
          <w:p>
            <w:pPr>
              <w:jc w:val="center"/>
              <w:ind w:right="305"/>
              <w:spacing w:after="0"/>
              <w:rPr>
                <w:sz w:val="20"/>
                <w:szCs w:val="20"/>
                <w:color w:val="auto"/>
              </w:rPr>
            </w:pPr>
            <w:r>
              <w:rPr>
                <w:rFonts w:ascii="Arial" w:cs="Arial" w:eastAsia="Arial" w:hAnsi="Arial"/>
                <w:sz w:val="15"/>
                <w:szCs w:val="15"/>
                <w:color w:val="auto"/>
                <w:w w:val="87"/>
              </w:rPr>
              <w:t>(2)</w:t>
            </w:r>
          </w:p>
        </w:tc>
        <w:tc>
          <w:tcPr>
            <w:tcW w:w="180" w:type="dxa"/>
            <w:vAlign w:val="bottom"/>
            <w:tcBorders>
              <w:right w:val="single" w:sz="8" w:color="2D53A6"/>
            </w:tcBorders>
            <w:shd w:val="clear" w:color="auto" w:fill="E6E6E6"/>
          </w:tcPr>
          <w:p>
            <w:pPr>
              <w:spacing w:after="0"/>
              <w:rPr>
                <w:sz w:val="18"/>
                <w:szCs w:val="18"/>
                <w:color w:val="auto"/>
              </w:rPr>
            </w:pPr>
          </w:p>
        </w:tc>
        <w:tc>
          <w:tcPr>
            <w:tcW w:w="1280" w:type="dxa"/>
            <w:vAlign w:val="bottom"/>
            <w:tcBorders>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237,563</w:t>
            </w:r>
          </w:p>
        </w:tc>
        <w:tc>
          <w:tcPr>
            <w:tcW w:w="40" w:type="dxa"/>
            <w:vAlign w:val="bottom"/>
            <w:shd w:val="clear" w:color="auto" w:fill="E6E6E6"/>
          </w:tcPr>
          <w:p>
            <w:pPr>
              <w:spacing w:after="0"/>
              <w:rPr>
                <w:sz w:val="18"/>
                <w:szCs w:val="18"/>
                <w:color w:val="auto"/>
              </w:rPr>
            </w:pPr>
          </w:p>
        </w:tc>
        <w:tc>
          <w:tcPr>
            <w:tcW w:w="1200" w:type="dxa"/>
            <w:vAlign w:val="bottom"/>
            <w:tcBorders>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12,500</w:t>
            </w:r>
          </w:p>
        </w:tc>
        <w:tc>
          <w:tcPr>
            <w:tcW w:w="11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475,125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Borders>
              <w:right w:val="single" w:sz="8" w:color="2D53A6"/>
            </w:tcBorders>
            <w:shd w:val="clear" w:color="auto" w:fill="E6E6E6"/>
          </w:tcPr>
          <w:p>
            <w:pPr>
              <w:spacing w:after="0"/>
              <w:rPr>
                <w:sz w:val="18"/>
                <w:szCs w:val="18"/>
                <w:color w:val="auto"/>
              </w:rPr>
            </w:pPr>
          </w:p>
        </w:tc>
        <w:tc>
          <w:tcPr>
            <w:tcW w:w="1280" w:type="dxa"/>
            <w:vAlign w:val="bottom"/>
            <w:tcBorders>
              <w:right w:val="single" w:sz="8" w:color="2D53A6"/>
            </w:tcBorders>
            <w:shd w:val="clear" w:color="auto" w:fill="E6E6E6"/>
          </w:tcPr>
          <w:p>
            <w:pPr>
              <w:spacing w:after="0"/>
              <w:rPr>
                <w:sz w:val="18"/>
                <w:szCs w:val="18"/>
                <w:color w:val="auto"/>
              </w:rPr>
            </w:pPr>
          </w:p>
        </w:tc>
        <w:tc>
          <w:tcPr>
            <w:tcW w:w="1240" w:type="dxa"/>
            <w:vAlign w:val="bottom"/>
            <w:tcBorders>
              <w:right w:val="single" w:sz="8" w:color="2D53A6"/>
            </w:tcBorders>
            <w:shd w:val="clear" w:color="auto" w:fill="E6E6E6"/>
          </w:tcPr>
          <w:p>
            <w:pPr>
              <w:spacing w:after="0"/>
              <w:rPr>
                <w:sz w:val="18"/>
                <w:szCs w:val="18"/>
                <w:color w:val="auto"/>
              </w:rPr>
            </w:pPr>
          </w:p>
        </w:tc>
        <w:tc>
          <w:tcPr>
            <w:tcW w:w="160" w:type="dxa"/>
            <w:vAlign w:val="bottom"/>
            <w:shd w:val="clear" w:color="auto" w:fill="E6E6E6"/>
          </w:tcPr>
          <w:p>
            <w:pPr>
              <w:spacing w:after="0"/>
              <w:rPr>
                <w:sz w:val="18"/>
                <w:szCs w:val="18"/>
                <w:color w:val="auto"/>
              </w:rPr>
            </w:pPr>
          </w:p>
        </w:tc>
        <w:tc>
          <w:tcPr>
            <w:tcW w:w="1080" w:type="dxa"/>
            <w:vAlign w:val="bottom"/>
            <w:tcBorders>
              <w:right w:val="single" w:sz="8" w:color="2D53A6"/>
            </w:tcBorders>
            <w:shd w:val="clear" w:color="auto" w:fill="E6E6E6"/>
          </w:tcPr>
          <w:p>
            <w:pPr>
              <w:spacing w:after="0"/>
              <w:rPr>
                <w:sz w:val="18"/>
                <w:szCs w:val="18"/>
                <w:color w:val="auto"/>
              </w:rPr>
            </w:pPr>
          </w:p>
        </w:tc>
        <w:tc>
          <w:tcPr>
            <w:tcW w:w="1280" w:type="dxa"/>
            <w:vAlign w:val="bottom"/>
            <w:tcBorders>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89"/>
              </w:rPr>
              <w:t>3/17/2020</w:t>
            </w:r>
          </w:p>
        </w:tc>
        <w:tc>
          <w:tcPr>
            <w:tcW w:w="520" w:type="dxa"/>
            <w:vAlign w:val="bottom"/>
            <w:shd w:val="clear" w:color="auto" w:fill="E6E6E6"/>
          </w:tcPr>
          <w:p>
            <w:pPr>
              <w:ind w:left="20"/>
              <w:spacing w:after="0"/>
              <w:rPr>
                <w:sz w:val="20"/>
                <w:szCs w:val="20"/>
                <w:color w:val="auto"/>
              </w:rPr>
            </w:pPr>
            <w:r>
              <w:rPr>
                <w:rFonts w:ascii="Arial" w:cs="Arial" w:eastAsia="Arial" w:hAnsi="Arial"/>
                <w:sz w:val="18"/>
                <w:szCs w:val="18"/>
                <w:color w:val="auto"/>
              </w:rPr>
              <w:t>9,009</w:t>
            </w:r>
          </w:p>
        </w:tc>
        <w:tc>
          <w:tcPr>
            <w:tcW w:w="540" w:type="dxa"/>
            <w:vAlign w:val="bottom"/>
            <w:gridSpan w:val="2"/>
            <w:shd w:val="clear" w:color="auto" w:fill="E6E6E6"/>
          </w:tcPr>
          <w:p>
            <w:pPr>
              <w:jc w:val="center"/>
              <w:ind w:right="305"/>
              <w:spacing w:after="0"/>
              <w:rPr>
                <w:sz w:val="20"/>
                <w:szCs w:val="20"/>
                <w:color w:val="auto"/>
              </w:rPr>
            </w:pPr>
            <w:r>
              <w:rPr>
                <w:rFonts w:ascii="Arial" w:cs="Arial" w:eastAsia="Arial" w:hAnsi="Arial"/>
                <w:sz w:val="15"/>
                <w:szCs w:val="15"/>
                <w:color w:val="auto"/>
                <w:w w:val="87"/>
              </w:rPr>
              <w:t>(2)</w:t>
            </w:r>
          </w:p>
        </w:tc>
        <w:tc>
          <w:tcPr>
            <w:tcW w:w="180" w:type="dxa"/>
            <w:vAlign w:val="bottom"/>
            <w:tcBorders>
              <w:right w:val="single" w:sz="8" w:color="2D53A6"/>
            </w:tcBorders>
            <w:shd w:val="clear" w:color="auto" w:fill="E6E6E6"/>
          </w:tcPr>
          <w:p>
            <w:pPr>
              <w:spacing w:after="0"/>
              <w:rPr>
                <w:sz w:val="18"/>
                <w:szCs w:val="18"/>
                <w:color w:val="auto"/>
              </w:rPr>
            </w:pPr>
          </w:p>
        </w:tc>
        <w:tc>
          <w:tcPr>
            <w:tcW w:w="1280" w:type="dxa"/>
            <w:vAlign w:val="bottom"/>
            <w:tcBorders>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342,432</w:t>
            </w:r>
          </w:p>
        </w:tc>
        <w:tc>
          <w:tcPr>
            <w:tcW w:w="40" w:type="dxa"/>
            <w:vAlign w:val="bottom"/>
            <w:shd w:val="clear" w:color="auto" w:fill="E6E6E6"/>
          </w:tcPr>
          <w:p>
            <w:pPr>
              <w:spacing w:after="0"/>
              <w:rPr>
                <w:sz w:val="18"/>
                <w:szCs w:val="18"/>
                <w:color w:val="auto"/>
              </w:rPr>
            </w:pPr>
          </w:p>
        </w:tc>
        <w:tc>
          <w:tcPr>
            <w:tcW w:w="1200" w:type="dxa"/>
            <w:vAlign w:val="bottom"/>
            <w:tcBorders>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12,012</w:t>
            </w:r>
          </w:p>
        </w:tc>
        <w:tc>
          <w:tcPr>
            <w:tcW w:w="11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456,576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Borders>
              <w:bottom w:val="single" w:sz="8" w:color="2D53A6"/>
              <w:right w:val="single" w:sz="8" w:color="2D53A6"/>
            </w:tcBorders>
            <w:shd w:val="clear" w:color="auto" w:fill="E6E6E6"/>
          </w:tcPr>
          <w:p>
            <w:pPr>
              <w:spacing w:after="0"/>
              <w:rPr>
                <w:sz w:val="18"/>
                <w:szCs w:val="18"/>
                <w:color w:val="auto"/>
              </w:rPr>
            </w:pPr>
          </w:p>
        </w:tc>
        <w:tc>
          <w:tcPr>
            <w:tcW w:w="1280" w:type="dxa"/>
            <w:vAlign w:val="bottom"/>
            <w:tcBorders>
              <w:bottom w:val="single" w:sz="8" w:color="2D53A6"/>
              <w:right w:val="single" w:sz="8" w:color="2D53A6"/>
            </w:tcBorders>
            <w:shd w:val="clear" w:color="auto" w:fill="E6E6E6"/>
          </w:tcPr>
          <w:p>
            <w:pPr>
              <w:spacing w:after="0"/>
              <w:rPr>
                <w:sz w:val="18"/>
                <w:szCs w:val="18"/>
                <w:color w:val="auto"/>
              </w:rPr>
            </w:pPr>
          </w:p>
        </w:tc>
        <w:tc>
          <w:tcPr>
            <w:tcW w:w="1240" w:type="dxa"/>
            <w:vAlign w:val="bottom"/>
            <w:tcBorders>
              <w:bottom w:val="single" w:sz="8" w:color="2D53A6"/>
              <w:right w:val="single" w:sz="8" w:color="2D53A6"/>
            </w:tcBorders>
            <w:shd w:val="clear" w:color="auto" w:fill="E6E6E6"/>
          </w:tcPr>
          <w:p>
            <w:pPr>
              <w:spacing w:after="0"/>
              <w:rPr>
                <w:sz w:val="18"/>
                <w:szCs w:val="18"/>
                <w:color w:val="auto"/>
              </w:rPr>
            </w:pPr>
          </w:p>
        </w:tc>
        <w:tc>
          <w:tcPr>
            <w:tcW w:w="160" w:type="dxa"/>
            <w:vAlign w:val="bottom"/>
            <w:tcBorders>
              <w:bottom w:val="single" w:sz="8" w:color="2D53A6"/>
            </w:tcBorders>
            <w:shd w:val="clear" w:color="auto" w:fill="E6E6E6"/>
          </w:tcPr>
          <w:p>
            <w:pPr>
              <w:spacing w:after="0"/>
              <w:rPr>
                <w:sz w:val="18"/>
                <w:szCs w:val="18"/>
                <w:color w:val="auto"/>
              </w:rPr>
            </w:pPr>
          </w:p>
        </w:tc>
        <w:tc>
          <w:tcPr>
            <w:tcW w:w="1080" w:type="dxa"/>
            <w:vAlign w:val="bottom"/>
            <w:tcBorders>
              <w:bottom w:val="single" w:sz="8" w:color="2D53A6"/>
              <w:right w:val="single" w:sz="8" w:color="2D53A6"/>
            </w:tcBorders>
            <w:shd w:val="clear" w:color="auto" w:fill="E6E6E6"/>
          </w:tcPr>
          <w:p>
            <w:pPr>
              <w:spacing w:after="0"/>
              <w:rPr>
                <w:sz w:val="18"/>
                <w:szCs w:val="18"/>
                <w:color w:val="auto"/>
              </w:rPr>
            </w:pPr>
          </w:p>
        </w:tc>
        <w:tc>
          <w:tcPr>
            <w:tcW w:w="1280" w:type="dxa"/>
            <w:vAlign w:val="bottom"/>
            <w:tcBorders>
              <w:bottom w:val="single" w:sz="8" w:color="2D53A6"/>
              <w:right w:val="single" w:sz="8" w:color="2D53A6"/>
            </w:tcBorders>
            <w:shd w:val="clear" w:color="auto" w:fill="E6E6E6"/>
          </w:tcPr>
          <w:p>
            <w:pPr>
              <w:jc w:val="center"/>
              <w:spacing w:after="0"/>
              <w:rPr>
                <w:sz w:val="20"/>
                <w:szCs w:val="20"/>
                <w:color w:val="auto"/>
              </w:rPr>
            </w:pPr>
            <w:r>
              <w:rPr>
                <w:rFonts w:ascii="Arial" w:cs="Arial" w:eastAsia="Arial" w:hAnsi="Arial"/>
                <w:sz w:val="18"/>
                <w:szCs w:val="18"/>
                <w:color w:val="auto"/>
                <w:w w:val="89"/>
              </w:rPr>
              <w:t>3/15/2021</w:t>
            </w:r>
          </w:p>
        </w:tc>
        <w:tc>
          <w:tcPr>
            <w:tcW w:w="520" w:type="dxa"/>
            <w:vAlign w:val="bottom"/>
            <w:tcBorders>
              <w:bottom w:val="single" w:sz="8" w:color="2D53A6"/>
            </w:tcBorders>
            <w:shd w:val="clear" w:color="auto" w:fill="E6E6E6"/>
          </w:tcPr>
          <w:p>
            <w:pPr>
              <w:ind w:left="20"/>
              <w:spacing w:after="0"/>
              <w:rPr>
                <w:sz w:val="20"/>
                <w:szCs w:val="20"/>
                <w:color w:val="auto"/>
              </w:rPr>
            </w:pPr>
            <w:r>
              <w:rPr>
                <w:rFonts w:ascii="Arial" w:cs="Arial" w:eastAsia="Arial" w:hAnsi="Arial"/>
                <w:sz w:val="18"/>
                <w:szCs w:val="18"/>
                <w:color w:val="auto"/>
              </w:rPr>
              <w:t>4,576</w:t>
            </w:r>
          </w:p>
        </w:tc>
        <w:tc>
          <w:tcPr>
            <w:tcW w:w="540" w:type="dxa"/>
            <w:vAlign w:val="bottom"/>
            <w:tcBorders>
              <w:bottom w:val="single" w:sz="8" w:color="2D53A6"/>
            </w:tcBorders>
            <w:gridSpan w:val="2"/>
            <w:shd w:val="clear" w:color="auto" w:fill="E6E6E6"/>
          </w:tcPr>
          <w:p>
            <w:pPr>
              <w:jc w:val="center"/>
              <w:ind w:right="305"/>
              <w:spacing w:after="0"/>
              <w:rPr>
                <w:sz w:val="20"/>
                <w:szCs w:val="20"/>
                <w:color w:val="auto"/>
              </w:rPr>
            </w:pPr>
            <w:r>
              <w:rPr>
                <w:rFonts w:ascii="Arial" w:cs="Arial" w:eastAsia="Arial" w:hAnsi="Arial"/>
                <w:sz w:val="15"/>
                <w:szCs w:val="15"/>
                <w:color w:val="auto"/>
                <w:w w:val="87"/>
              </w:rPr>
              <w:t>(2)</w:t>
            </w:r>
          </w:p>
        </w:tc>
        <w:tc>
          <w:tcPr>
            <w:tcW w:w="180" w:type="dxa"/>
            <w:vAlign w:val="bottom"/>
            <w:tcBorders>
              <w:bottom w:val="single" w:sz="8" w:color="2D53A6"/>
              <w:right w:val="single" w:sz="8" w:color="2D53A6"/>
            </w:tcBorders>
            <w:shd w:val="clear" w:color="auto" w:fill="E6E6E6"/>
          </w:tcPr>
          <w:p>
            <w:pPr>
              <w:spacing w:after="0"/>
              <w:rPr>
                <w:sz w:val="18"/>
                <w:szCs w:val="18"/>
                <w:color w:val="auto"/>
              </w:rPr>
            </w:pPr>
          </w:p>
        </w:tc>
        <w:tc>
          <w:tcPr>
            <w:tcW w:w="128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173,934</w:t>
            </w:r>
          </w:p>
        </w:tc>
        <w:tc>
          <w:tcPr>
            <w:tcW w:w="40" w:type="dxa"/>
            <w:vAlign w:val="bottom"/>
            <w:tcBorders>
              <w:bottom w:val="single" w:sz="8" w:color="2D53A6"/>
            </w:tcBorders>
            <w:shd w:val="clear" w:color="auto" w:fill="E6E6E6"/>
          </w:tcPr>
          <w:p>
            <w:pPr>
              <w:spacing w:after="0"/>
              <w:rPr>
                <w:sz w:val="18"/>
                <w:szCs w:val="18"/>
                <w:color w:val="auto"/>
              </w:rPr>
            </w:pPr>
          </w:p>
        </w:tc>
        <w:tc>
          <w:tcPr>
            <w:tcW w:w="120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4,576</w:t>
            </w:r>
          </w:p>
        </w:tc>
        <w:tc>
          <w:tcPr>
            <w:tcW w:w="1160" w:type="dxa"/>
            <w:vAlign w:val="bottom"/>
            <w:tcBorders>
              <w:bottom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173,934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280" w:type="dxa"/>
            <w:vAlign w:val="bottom"/>
            <w:tcBorders>
              <w:right w:val="single" w:sz="8" w:color="2D53A6"/>
            </w:tcBorders>
          </w:tcPr>
          <w:p>
            <w:pPr>
              <w:spacing w:after="0" w:line="195" w:lineRule="exact"/>
              <w:rPr>
                <w:sz w:val="20"/>
                <w:szCs w:val="20"/>
                <w:color w:val="auto"/>
              </w:rPr>
            </w:pPr>
            <w:r>
              <w:rPr>
                <w:rFonts w:ascii="Arial" w:cs="Arial" w:eastAsia="Arial" w:hAnsi="Arial"/>
                <w:sz w:val="18"/>
                <w:szCs w:val="18"/>
                <w:color w:val="auto"/>
              </w:rPr>
              <w:t>Ian P.</w:t>
            </w:r>
          </w:p>
        </w:tc>
        <w:tc>
          <w:tcPr>
            <w:tcW w:w="1280" w:type="dxa"/>
            <w:vAlign w:val="bottom"/>
            <w:tcBorders>
              <w:right w:val="single" w:sz="8" w:color="2D53A6"/>
            </w:tcBorders>
          </w:tcPr>
          <w:p>
            <w:pPr>
              <w:jc w:val="right"/>
              <w:spacing w:after="0" w:line="195" w:lineRule="exact"/>
              <w:rPr>
                <w:sz w:val="20"/>
                <w:szCs w:val="20"/>
                <w:color w:val="auto"/>
              </w:rPr>
            </w:pPr>
            <w:r>
              <w:rPr>
                <w:rFonts w:ascii="Arial" w:cs="Arial" w:eastAsia="Arial" w:hAnsi="Arial"/>
                <w:sz w:val="18"/>
                <w:szCs w:val="18"/>
                <w:color w:val="auto"/>
              </w:rPr>
              <w:t>-</w:t>
            </w:r>
          </w:p>
        </w:tc>
        <w:tc>
          <w:tcPr>
            <w:tcW w:w="1240" w:type="dxa"/>
            <w:vAlign w:val="bottom"/>
            <w:tcBorders>
              <w:right w:val="single" w:sz="8" w:color="2D53A6"/>
            </w:tcBorders>
          </w:tcPr>
          <w:p>
            <w:pPr>
              <w:jc w:val="right"/>
              <w:spacing w:after="0" w:line="195"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6"/>
                <w:szCs w:val="16"/>
                <w:color w:val="auto"/>
              </w:rPr>
            </w:pPr>
          </w:p>
        </w:tc>
        <w:tc>
          <w:tcPr>
            <w:tcW w:w="1080" w:type="dxa"/>
            <w:vAlign w:val="bottom"/>
            <w:tcBorders>
              <w:right w:val="single" w:sz="8" w:color="2D53A6"/>
            </w:tcBorders>
          </w:tcPr>
          <w:p>
            <w:pPr>
              <w:jc w:val="right"/>
              <w:spacing w:after="0" w:line="195" w:lineRule="exact"/>
              <w:rPr>
                <w:sz w:val="20"/>
                <w:szCs w:val="20"/>
                <w:color w:val="auto"/>
              </w:rPr>
            </w:pPr>
            <w:r>
              <w:rPr>
                <w:rFonts w:ascii="Arial" w:cs="Arial" w:eastAsia="Arial" w:hAnsi="Arial"/>
                <w:sz w:val="18"/>
                <w:szCs w:val="18"/>
                <w:color w:val="auto"/>
              </w:rPr>
              <w:t>-</w:t>
            </w:r>
          </w:p>
        </w:tc>
        <w:tc>
          <w:tcPr>
            <w:tcW w:w="1280" w:type="dxa"/>
            <w:vAlign w:val="bottom"/>
            <w:tcBorders>
              <w:right w:val="single" w:sz="8" w:color="2D53A6"/>
            </w:tcBorders>
          </w:tcPr>
          <w:p>
            <w:pPr>
              <w:jc w:val="center"/>
              <w:spacing w:after="0" w:line="195" w:lineRule="exact"/>
              <w:rPr>
                <w:sz w:val="20"/>
                <w:szCs w:val="20"/>
                <w:color w:val="auto"/>
              </w:rPr>
            </w:pPr>
            <w:r>
              <w:rPr>
                <w:rFonts w:ascii="Arial" w:cs="Arial" w:eastAsia="Arial" w:hAnsi="Arial"/>
                <w:sz w:val="18"/>
                <w:szCs w:val="18"/>
                <w:color w:val="auto"/>
                <w:w w:val="89"/>
              </w:rPr>
              <w:t>3/19/2019</w:t>
            </w:r>
          </w:p>
        </w:tc>
        <w:tc>
          <w:tcPr>
            <w:tcW w:w="1060" w:type="dxa"/>
            <w:vAlign w:val="bottom"/>
            <w:gridSpan w:val="3"/>
          </w:tcPr>
          <w:p>
            <w:pPr>
              <w:ind w:left="20"/>
              <w:spacing w:after="0" w:line="195" w:lineRule="exact"/>
              <w:rPr>
                <w:sz w:val="20"/>
                <w:szCs w:val="20"/>
                <w:color w:val="auto"/>
              </w:rPr>
            </w:pPr>
            <w:r>
              <w:rPr>
                <w:rFonts w:ascii="Arial" w:cs="Arial" w:eastAsia="Arial" w:hAnsi="Arial"/>
                <w:sz w:val="14"/>
                <w:szCs w:val="14"/>
                <w:color w:val="auto"/>
              </w:rPr>
              <w:t xml:space="preserve">6,111 </w:t>
            </w:r>
            <w:r>
              <w:rPr>
                <w:rFonts w:ascii="Arial" w:cs="Arial" w:eastAsia="Arial" w:hAnsi="Arial"/>
                <w:sz w:val="22"/>
                <w:szCs w:val="22"/>
                <w:color w:val="auto"/>
                <w:vertAlign w:val="superscript"/>
              </w:rPr>
              <w:t>(2)</w:t>
            </w:r>
          </w:p>
        </w:tc>
        <w:tc>
          <w:tcPr>
            <w:tcW w:w="180" w:type="dxa"/>
            <w:vAlign w:val="bottom"/>
            <w:tcBorders>
              <w:right w:val="single" w:sz="8" w:color="2D53A6"/>
            </w:tcBorders>
          </w:tcPr>
          <w:p>
            <w:pPr>
              <w:spacing w:after="0"/>
              <w:rPr>
                <w:sz w:val="16"/>
                <w:szCs w:val="16"/>
                <w:color w:val="auto"/>
              </w:rPr>
            </w:pPr>
          </w:p>
        </w:tc>
        <w:tc>
          <w:tcPr>
            <w:tcW w:w="1280" w:type="dxa"/>
            <w:vAlign w:val="bottom"/>
            <w:tcBorders>
              <w:right w:val="single" w:sz="8" w:color="2D53A6"/>
            </w:tcBorders>
          </w:tcPr>
          <w:p>
            <w:pPr>
              <w:jc w:val="right"/>
              <w:spacing w:after="0" w:line="195" w:lineRule="exact"/>
              <w:rPr>
                <w:sz w:val="20"/>
                <w:szCs w:val="20"/>
                <w:color w:val="auto"/>
              </w:rPr>
            </w:pPr>
            <w:r>
              <w:rPr>
                <w:rFonts w:ascii="Arial" w:cs="Arial" w:eastAsia="Arial" w:hAnsi="Arial"/>
                <w:sz w:val="18"/>
                <w:szCs w:val="18"/>
                <w:color w:val="auto"/>
              </w:rPr>
              <w:t>232,279</w:t>
            </w:r>
          </w:p>
        </w:tc>
        <w:tc>
          <w:tcPr>
            <w:tcW w:w="40" w:type="dxa"/>
            <w:vAlign w:val="bottom"/>
          </w:tcPr>
          <w:p>
            <w:pPr>
              <w:spacing w:after="0"/>
              <w:rPr>
                <w:sz w:val="16"/>
                <w:szCs w:val="16"/>
                <w:color w:val="auto"/>
              </w:rPr>
            </w:pPr>
          </w:p>
        </w:tc>
        <w:tc>
          <w:tcPr>
            <w:tcW w:w="1200" w:type="dxa"/>
            <w:vAlign w:val="bottom"/>
            <w:tcBorders>
              <w:right w:val="single" w:sz="8" w:color="2D53A6"/>
            </w:tcBorders>
          </w:tcPr>
          <w:p>
            <w:pPr>
              <w:jc w:val="right"/>
              <w:spacing w:after="0" w:line="195"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80" w:type="dxa"/>
            <w:vAlign w:val="bottom"/>
            <w:tcBorders>
              <w:right w:val="single" w:sz="8" w:color="2D53A6"/>
            </w:tcBorders>
          </w:tcPr>
          <w:p>
            <w:pPr>
              <w:spacing w:after="0"/>
              <w:rPr>
                <w:sz w:val="20"/>
                <w:szCs w:val="20"/>
                <w:color w:val="auto"/>
              </w:rPr>
            </w:pPr>
            <w:r>
              <w:rPr>
                <w:rFonts w:ascii="Arial" w:cs="Arial" w:eastAsia="Arial" w:hAnsi="Arial"/>
                <w:sz w:val="18"/>
                <w:szCs w:val="18"/>
                <w:color w:val="auto"/>
              </w:rPr>
              <w:t>Lawee</w:t>
            </w:r>
          </w:p>
        </w:tc>
        <w:tc>
          <w:tcPr>
            <w:tcW w:w="1280" w:type="dxa"/>
            <w:vAlign w:val="bottom"/>
            <w:tcBorders>
              <w:right w:val="single" w:sz="8" w:color="2D53A6"/>
            </w:tcBorders>
          </w:tcPr>
          <w:p>
            <w:pPr>
              <w:spacing w:after="0"/>
              <w:rPr>
                <w:sz w:val="18"/>
                <w:szCs w:val="18"/>
                <w:color w:val="auto"/>
              </w:rPr>
            </w:pPr>
          </w:p>
        </w:tc>
        <w:tc>
          <w:tcPr>
            <w:tcW w:w="1240" w:type="dxa"/>
            <w:vAlign w:val="bottom"/>
            <w:tcBorders>
              <w:right w:val="single" w:sz="8" w:color="2D53A6"/>
            </w:tcBorders>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Borders>
              <w:right w:val="single" w:sz="8" w:color="2D53A6"/>
            </w:tcBorders>
          </w:tcPr>
          <w:p>
            <w:pPr>
              <w:spacing w:after="0"/>
              <w:rPr>
                <w:sz w:val="18"/>
                <w:szCs w:val="18"/>
                <w:color w:val="auto"/>
              </w:rPr>
            </w:pPr>
          </w:p>
        </w:tc>
        <w:tc>
          <w:tcPr>
            <w:tcW w:w="1280" w:type="dxa"/>
            <w:vAlign w:val="bottom"/>
            <w:tcBorders>
              <w:right w:val="single" w:sz="8" w:color="2D53A6"/>
            </w:tcBorders>
          </w:tcPr>
          <w:p>
            <w:pPr>
              <w:jc w:val="center"/>
              <w:spacing w:after="0"/>
              <w:rPr>
                <w:sz w:val="20"/>
                <w:szCs w:val="20"/>
                <w:color w:val="auto"/>
              </w:rPr>
            </w:pPr>
            <w:r>
              <w:rPr>
                <w:rFonts w:ascii="Arial" w:cs="Arial" w:eastAsia="Arial" w:hAnsi="Arial"/>
                <w:sz w:val="18"/>
                <w:szCs w:val="18"/>
                <w:color w:val="auto"/>
                <w:w w:val="89"/>
              </w:rPr>
              <w:t>3/17/2020</w:t>
            </w:r>
          </w:p>
        </w:tc>
        <w:tc>
          <w:tcPr>
            <w:tcW w:w="520" w:type="dxa"/>
            <w:vAlign w:val="bottom"/>
          </w:tcPr>
          <w:p>
            <w:pPr>
              <w:ind w:left="20"/>
              <w:spacing w:after="0"/>
              <w:rPr>
                <w:sz w:val="20"/>
                <w:szCs w:val="20"/>
                <w:color w:val="auto"/>
              </w:rPr>
            </w:pPr>
            <w:r>
              <w:rPr>
                <w:rFonts w:ascii="Arial" w:cs="Arial" w:eastAsia="Arial" w:hAnsi="Arial"/>
                <w:sz w:val="18"/>
                <w:szCs w:val="18"/>
                <w:color w:val="auto"/>
              </w:rPr>
              <w:t>8,445</w:t>
            </w:r>
          </w:p>
        </w:tc>
        <w:tc>
          <w:tcPr>
            <w:tcW w:w="540" w:type="dxa"/>
            <w:vAlign w:val="bottom"/>
            <w:gridSpan w:val="2"/>
          </w:tcPr>
          <w:p>
            <w:pPr>
              <w:jc w:val="center"/>
              <w:ind w:right="305"/>
              <w:spacing w:after="0"/>
              <w:rPr>
                <w:sz w:val="20"/>
                <w:szCs w:val="20"/>
                <w:color w:val="auto"/>
              </w:rPr>
            </w:pPr>
            <w:r>
              <w:rPr>
                <w:rFonts w:ascii="Arial" w:cs="Arial" w:eastAsia="Arial" w:hAnsi="Arial"/>
                <w:sz w:val="15"/>
                <w:szCs w:val="15"/>
                <w:color w:val="auto"/>
                <w:w w:val="87"/>
              </w:rPr>
              <w:t>(2)</w:t>
            </w:r>
          </w:p>
        </w:tc>
        <w:tc>
          <w:tcPr>
            <w:tcW w:w="180" w:type="dxa"/>
            <w:vAlign w:val="bottom"/>
            <w:tcBorders>
              <w:right w:val="single" w:sz="8" w:color="2D53A6"/>
            </w:tcBorders>
          </w:tcPr>
          <w:p>
            <w:pPr>
              <w:spacing w:after="0"/>
              <w:rPr>
                <w:sz w:val="18"/>
                <w:szCs w:val="18"/>
                <w:color w:val="auto"/>
              </w:rPr>
            </w:pPr>
          </w:p>
        </w:tc>
        <w:tc>
          <w:tcPr>
            <w:tcW w:w="1280" w:type="dxa"/>
            <w:vAlign w:val="bottom"/>
            <w:tcBorders>
              <w:right w:val="single" w:sz="8" w:color="2D53A6"/>
            </w:tcBorders>
          </w:tcPr>
          <w:p>
            <w:pPr>
              <w:jc w:val="right"/>
              <w:spacing w:after="0"/>
              <w:rPr>
                <w:sz w:val="20"/>
                <w:szCs w:val="20"/>
                <w:color w:val="auto"/>
              </w:rPr>
            </w:pPr>
            <w:r>
              <w:rPr>
                <w:rFonts w:ascii="Arial" w:cs="Arial" w:eastAsia="Arial" w:hAnsi="Arial"/>
                <w:sz w:val="18"/>
                <w:szCs w:val="18"/>
                <w:color w:val="auto"/>
              </w:rPr>
              <w:t>320,994</w:t>
            </w:r>
          </w:p>
        </w:tc>
        <w:tc>
          <w:tcPr>
            <w:tcW w:w="40" w:type="dxa"/>
            <w:vAlign w:val="bottom"/>
          </w:tcPr>
          <w:p>
            <w:pPr>
              <w:spacing w:after="0"/>
              <w:rPr>
                <w:sz w:val="18"/>
                <w:szCs w:val="18"/>
                <w:color w:val="auto"/>
              </w:rPr>
            </w:pPr>
          </w:p>
        </w:tc>
        <w:tc>
          <w:tcPr>
            <w:tcW w:w="1200" w:type="dxa"/>
            <w:vAlign w:val="bottom"/>
            <w:tcBorders>
              <w:right w:val="single" w:sz="8" w:color="2D53A6"/>
            </w:tcBorders>
          </w:tcPr>
          <w:p>
            <w:pPr>
              <w:jc w:val="right"/>
              <w:spacing w:after="0"/>
              <w:rPr>
                <w:sz w:val="20"/>
                <w:szCs w:val="20"/>
                <w:color w:val="auto"/>
              </w:rPr>
            </w:pPr>
            <w:r>
              <w:rPr>
                <w:rFonts w:ascii="Arial" w:cs="Arial" w:eastAsia="Arial" w:hAnsi="Arial"/>
                <w:sz w:val="18"/>
                <w:szCs w:val="18"/>
                <w:color w:val="auto"/>
              </w:rPr>
              <w:t>11,261</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428,031</w:t>
            </w:r>
          </w:p>
        </w:tc>
        <w:tc>
          <w:tcPr>
            <w:tcW w:w="0" w:type="dxa"/>
            <w:vAlign w:val="bottom"/>
          </w:tcPr>
          <w:p>
            <w:pPr>
              <w:spacing w:after="0"/>
              <w:rPr>
                <w:sz w:val="1"/>
                <w:szCs w:val="1"/>
                <w:color w:val="auto"/>
              </w:rPr>
            </w:pPr>
          </w:p>
        </w:tc>
      </w:tr>
      <w:tr>
        <w:trPr>
          <w:trHeight w:val="230"/>
        </w:trPr>
        <w:tc>
          <w:tcPr>
            <w:tcW w:w="1280" w:type="dxa"/>
            <w:vAlign w:val="bottom"/>
            <w:tcBorders>
              <w:bottom w:val="single" w:sz="8" w:color="2D53A6"/>
              <w:right w:val="single" w:sz="8" w:color="2D53A6"/>
            </w:tcBorders>
          </w:tcPr>
          <w:p>
            <w:pPr>
              <w:spacing w:after="0"/>
              <w:rPr>
                <w:sz w:val="20"/>
                <w:szCs w:val="20"/>
                <w:color w:val="auto"/>
              </w:rPr>
            </w:pPr>
          </w:p>
        </w:tc>
        <w:tc>
          <w:tcPr>
            <w:tcW w:w="1280" w:type="dxa"/>
            <w:vAlign w:val="bottom"/>
            <w:tcBorders>
              <w:bottom w:val="single" w:sz="8" w:color="2D53A6"/>
              <w:right w:val="single" w:sz="8" w:color="2D53A6"/>
            </w:tcBorders>
          </w:tcPr>
          <w:p>
            <w:pPr>
              <w:spacing w:after="0"/>
              <w:rPr>
                <w:sz w:val="20"/>
                <w:szCs w:val="20"/>
                <w:color w:val="auto"/>
              </w:rPr>
            </w:pPr>
          </w:p>
        </w:tc>
        <w:tc>
          <w:tcPr>
            <w:tcW w:w="1240" w:type="dxa"/>
            <w:vAlign w:val="bottom"/>
            <w:tcBorders>
              <w:bottom w:val="single" w:sz="8" w:color="2D53A6"/>
              <w:right w:val="single" w:sz="8" w:color="2D53A6"/>
            </w:tcBorders>
          </w:tcPr>
          <w:p>
            <w:pPr>
              <w:spacing w:after="0"/>
              <w:rPr>
                <w:sz w:val="20"/>
                <w:szCs w:val="20"/>
                <w:color w:val="auto"/>
              </w:rPr>
            </w:pPr>
          </w:p>
        </w:tc>
        <w:tc>
          <w:tcPr>
            <w:tcW w:w="160" w:type="dxa"/>
            <w:vAlign w:val="bottom"/>
            <w:tcBorders>
              <w:bottom w:val="single" w:sz="8" w:color="2D53A6"/>
            </w:tcBorders>
          </w:tcPr>
          <w:p>
            <w:pPr>
              <w:spacing w:after="0"/>
              <w:rPr>
                <w:sz w:val="20"/>
                <w:szCs w:val="20"/>
                <w:color w:val="auto"/>
              </w:rPr>
            </w:pPr>
          </w:p>
        </w:tc>
        <w:tc>
          <w:tcPr>
            <w:tcW w:w="1080" w:type="dxa"/>
            <w:vAlign w:val="bottom"/>
            <w:tcBorders>
              <w:bottom w:val="single" w:sz="8" w:color="2D53A6"/>
              <w:right w:val="single" w:sz="8" w:color="2D53A6"/>
            </w:tcBorders>
          </w:tcPr>
          <w:p>
            <w:pPr>
              <w:spacing w:after="0"/>
              <w:rPr>
                <w:sz w:val="20"/>
                <w:szCs w:val="20"/>
                <w:color w:val="auto"/>
              </w:rPr>
            </w:pPr>
          </w:p>
        </w:tc>
        <w:tc>
          <w:tcPr>
            <w:tcW w:w="1280" w:type="dxa"/>
            <w:vAlign w:val="bottom"/>
            <w:tcBorders>
              <w:bottom w:val="single" w:sz="8" w:color="2D53A6"/>
              <w:right w:val="single" w:sz="8" w:color="2D53A6"/>
            </w:tcBorders>
          </w:tcPr>
          <w:p>
            <w:pPr>
              <w:jc w:val="center"/>
              <w:spacing w:after="0"/>
              <w:rPr>
                <w:sz w:val="20"/>
                <w:szCs w:val="20"/>
                <w:color w:val="auto"/>
              </w:rPr>
            </w:pPr>
            <w:r>
              <w:rPr>
                <w:rFonts w:ascii="Arial" w:cs="Arial" w:eastAsia="Arial" w:hAnsi="Arial"/>
                <w:sz w:val="18"/>
                <w:szCs w:val="18"/>
                <w:color w:val="auto"/>
                <w:w w:val="89"/>
              </w:rPr>
              <w:t>3/15/2021</w:t>
            </w:r>
          </w:p>
        </w:tc>
        <w:tc>
          <w:tcPr>
            <w:tcW w:w="520" w:type="dxa"/>
            <w:vAlign w:val="bottom"/>
            <w:tcBorders>
              <w:bottom w:val="single" w:sz="8" w:color="2D53A6"/>
            </w:tcBorders>
          </w:tcPr>
          <w:p>
            <w:pPr>
              <w:ind w:left="20"/>
              <w:spacing w:after="0"/>
              <w:rPr>
                <w:sz w:val="20"/>
                <w:szCs w:val="20"/>
                <w:color w:val="auto"/>
              </w:rPr>
            </w:pPr>
            <w:r>
              <w:rPr>
                <w:rFonts w:ascii="Arial" w:cs="Arial" w:eastAsia="Arial" w:hAnsi="Arial"/>
                <w:sz w:val="18"/>
                <w:szCs w:val="18"/>
                <w:color w:val="auto"/>
              </w:rPr>
              <w:t>4,004</w:t>
            </w:r>
          </w:p>
        </w:tc>
        <w:tc>
          <w:tcPr>
            <w:tcW w:w="540" w:type="dxa"/>
            <w:vAlign w:val="bottom"/>
            <w:tcBorders>
              <w:bottom w:val="single" w:sz="8" w:color="2D53A6"/>
            </w:tcBorders>
            <w:gridSpan w:val="2"/>
          </w:tcPr>
          <w:p>
            <w:pPr>
              <w:jc w:val="center"/>
              <w:ind w:right="305"/>
              <w:spacing w:after="0"/>
              <w:rPr>
                <w:sz w:val="20"/>
                <w:szCs w:val="20"/>
                <w:color w:val="auto"/>
              </w:rPr>
            </w:pPr>
            <w:r>
              <w:rPr>
                <w:rFonts w:ascii="Arial" w:cs="Arial" w:eastAsia="Arial" w:hAnsi="Arial"/>
                <w:sz w:val="15"/>
                <w:szCs w:val="15"/>
                <w:color w:val="auto"/>
                <w:w w:val="87"/>
              </w:rPr>
              <w:t>(2)</w:t>
            </w:r>
          </w:p>
        </w:tc>
        <w:tc>
          <w:tcPr>
            <w:tcW w:w="180" w:type="dxa"/>
            <w:vAlign w:val="bottom"/>
            <w:tcBorders>
              <w:bottom w:val="single" w:sz="8" w:color="2D53A6"/>
              <w:right w:val="single" w:sz="8" w:color="2D53A6"/>
            </w:tcBorders>
          </w:tcPr>
          <w:p>
            <w:pPr>
              <w:spacing w:after="0"/>
              <w:rPr>
                <w:sz w:val="20"/>
                <w:szCs w:val="20"/>
                <w:color w:val="auto"/>
              </w:rPr>
            </w:pPr>
          </w:p>
        </w:tc>
        <w:tc>
          <w:tcPr>
            <w:tcW w:w="128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152,192</w:t>
            </w:r>
          </w:p>
        </w:tc>
        <w:tc>
          <w:tcPr>
            <w:tcW w:w="40" w:type="dxa"/>
            <w:vAlign w:val="bottom"/>
            <w:tcBorders>
              <w:bottom w:val="single" w:sz="8" w:color="2D53A6"/>
            </w:tcBorders>
          </w:tcPr>
          <w:p>
            <w:pPr>
              <w:spacing w:after="0"/>
              <w:rPr>
                <w:sz w:val="20"/>
                <w:szCs w:val="20"/>
                <w:color w:val="auto"/>
              </w:rPr>
            </w:pPr>
          </w:p>
        </w:tc>
        <w:tc>
          <w:tcPr>
            <w:tcW w:w="120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4,004</w:t>
            </w:r>
          </w:p>
        </w:tc>
        <w:tc>
          <w:tcPr>
            <w:tcW w:w="1180" w:type="dxa"/>
            <w:vAlign w:val="bottom"/>
            <w:tcBorders>
              <w:bottom w:val="single" w:sz="8" w:color="2D53A6"/>
            </w:tcBorders>
            <w:gridSpan w:val="2"/>
          </w:tcPr>
          <w:p>
            <w:pPr>
              <w:jc w:val="right"/>
              <w:ind w:right="20"/>
              <w:spacing w:after="0"/>
              <w:rPr>
                <w:sz w:val="20"/>
                <w:szCs w:val="20"/>
                <w:color w:val="auto"/>
              </w:rPr>
            </w:pPr>
            <w:r>
              <w:rPr>
                <w:rFonts w:ascii="Arial" w:cs="Arial" w:eastAsia="Arial" w:hAnsi="Arial"/>
                <w:sz w:val="18"/>
                <w:szCs w:val="18"/>
                <w:color w:val="auto"/>
              </w:rPr>
              <w:t>152,192</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All stock options vest at a rate of 25% per year over the first four years after the date of grant and have a ten-year term.</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RSUs vest and shares are issued in four equal annual installments beginning one year after the date of grant.</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a closing price of Cohu’s common stock of $38.01 as reported on the Nasdaq Global Select Market on December 25, 2021.</w:t>
      </w:r>
    </w:p>
    <w:p>
      <w:pPr>
        <w:spacing w:after="0" w:line="9" w:lineRule="exact"/>
        <w:rPr>
          <w:rFonts w:ascii="Arial" w:cs="Arial" w:eastAsia="Arial" w:hAnsi="Arial"/>
          <w:sz w:val="18"/>
          <w:szCs w:val="18"/>
          <w:color w:val="auto"/>
        </w:rPr>
      </w:pPr>
    </w:p>
    <w:p>
      <w:pPr>
        <w:ind w:left="340" w:right="280" w:hanging="332"/>
        <w:spacing w:after="0" w:line="250"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Reflects PSUs granted under the 2019, 2020 and 2021 PSU program at the target award level. PSUs granted 2019, 2020 and 2021 vest 100% on the third anniversary of their grant.</w:t>
      </w:r>
    </w:p>
    <w:p>
      <w:pPr>
        <w:ind w:left="340" w:right="240" w:hanging="332"/>
        <w:spacing w:after="0" w:line="260"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a closing price of Cohu’s common stock of $38.01 as reported on the Nasdaq Global Select Market on December 25, 2021. RSUs vest and shares are issued in four equal annual installments beginning one year after the date of grant.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2021 Option Exercise and Stock Vested</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table shows all stock options exercised and the value realized upon exercise and all stock awards vested and the value realized upon vesting by our NEOs during fiscal 2021, which ended on December 25, 2021.</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tcBorders>
              <w:bottom w:val="single" w:sz="8" w:color="2D53A6"/>
              <w:right w:val="single" w:sz="8" w:color="auto"/>
            </w:tcBorders>
            <w:vMerge w:val="restart"/>
            <w:shd w:val="clear" w:color="auto" w:fill="2D53A6"/>
          </w:tcPr>
          <w:p>
            <w:pPr>
              <w:spacing w:after="0"/>
              <w:rPr>
                <w:sz w:val="20"/>
                <w:szCs w:val="20"/>
                <w:color w:val="auto"/>
              </w:rPr>
            </w:pPr>
            <w:r>
              <w:rPr>
                <w:rFonts w:ascii="Arial" w:cs="Arial" w:eastAsia="Arial" w:hAnsi="Arial"/>
                <w:sz w:val="18"/>
                <w:szCs w:val="18"/>
                <w:b w:val="1"/>
                <w:bCs w:val="1"/>
                <w:color w:val="FFFFFF"/>
              </w:rPr>
              <w:t>Named Executive Officer</w:t>
            </w:r>
          </w:p>
        </w:tc>
        <w:tc>
          <w:tcPr>
            <w:tcW w:w="4100" w:type="dxa"/>
            <w:vAlign w:val="bottom"/>
            <w:tcBorders>
              <w:bottom w:val="single" w:sz="8" w:color="auto"/>
              <w:right w:val="single" w:sz="8" w:color="auto"/>
            </w:tcBorders>
            <w:gridSpan w:val="3"/>
            <w:shd w:val="clear" w:color="auto" w:fill="2D53A6"/>
          </w:tcPr>
          <w:p>
            <w:pPr>
              <w:jc w:val="right"/>
              <w:ind w:right="1391"/>
              <w:spacing w:after="0"/>
              <w:rPr>
                <w:sz w:val="20"/>
                <w:szCs w:val="20"/>
                <w:color w:val="auto"/>
              </w:rPr>
            </w:pPr>
            <w:r>
              <w:rPr>
                <w:rFonts w:ascii="Arial" w:cs="Arial" w:eastAsia="Arial" w:hAnsi="Arial"/>
                <w:sz w:val="18"/>
                <w:szCs w:val="18"/>
                <w:b w:val="1"/>
                <w:bCs w:val="1"/>
                <w:color w:val="FFFFFF"/>
              </w:rPr>
              <w:t>Option Awards</w:t>
            </w:r>
          </w:p>
        </w:tc>
        <w:tc>
          <w:tcPr>
            <w:tcW w:w="3980" w:type="dxa"/>
            <w:vAlign w:val="bottom"/>
            <w:tcBorders>
              <w:bottom w:val="single" w:sz="8" w:color="auto"/>
            </w:tcBorders>
            <w:gridSpan w:val="2"/>
            <w:shd w:val="clear" w:color="auto" w:fill="2D53A6"/>
          </w:tcPr>
          <w:p>
            <w:pPr>
              <w:jc w:val="right"/>
              <w:ind w:right="1371"/>
              <w:spacing w:after="0"/>
              <w:rPr>
                <w:sz w:val="20"/>
                <w:szCs w:val="20"/>
                <w:color w:val="auto"/>
              </w:rPr>
            </w:pPr>
            <w:r>
              <w:rPr>
                <w:rFonts w:ascii="Arial" w:cs="Arial" w:eastAsia="Arial" w:hAnsi="Arial"/>
                <w:sz w:val="18"/>
                <w:szCs w:val="18"/>
                <w:b w:val="1"/>
                <w:bCs w:val="1"/>
                <w:color w:val="FFFFFF"/>
              </w:rPr>
              <w:t>Stock Awards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160" w:type="dxa"/>
            <w:vAlign w:val="bottom"/>
            <w:tcBorders>
              <w:right w:val="single" w:sz="8" w:color="auto"/>
            </w:tcBorders>
            <w:vMerge w:val="continue"/>
            <w:shd w:val="clear" w:color="auto" w:fill="2D53A6"/>
          </w:tcPr>
          <w:p>
            <w:pPr>
              <w:spacing w:after="0"/>
              <w:rPr>
                <w:sz w:val="16"/>
                <w:szCs w:val="16"/>
                <w:color w:val="auto"/>
              </w:rPr>
            </w:pPr>
          </w:p>
        </w:tc>
        <w:tc>
          <w:tcPr>
            <w:tcW w:w="1500" w:type="dxa"/>
            <w:vAlign w:val="bottom"/>
            <w:shd w:val="clear" w:color="auto" w:fill="2D53A6"/>
          </w:tcPr>
          <w:p>
            <w:pPr>
              <w:jc w:val="center"/>
              <w:ind w:left="410"/>
              <w:spacing w:after="0" w:line="191" w:lineRule="exact"/>
              <w:rPr>
                <w:sz w:val="20"/>
                <w:szCs w:val="20"/>
                <w:color w:val="auto"/>
              </w:rPr>
            </w:pPr>
            <w:r>
              <w:rPr>
                <w:rFonts w:ascii="Arial" w:cs="Arial" w:eastAsia="Arial" w:hAnsi="Arial"/>
                <w:sz w:val="18"/>
                <w:szCs w:val="18"/>
                <w:b w:val="1"/>
                <w:bCs w:val="1"/>
                <w:color w:val="FFFFFF"/>
                <w:w w:val="94"/>
              </w:rPr>
              <w:t>Number</w:t>
            </w:r>
          </w:p>
        </w:tc>
        <w:tc>
          <w:tcPr>
            <w:tcW w:w="540" w:type="dxa"/>
            <w:vAlign w:val="bottom"/>
            <w:tcBorders>
              <w:right w:val="single" w:sz="8" w:color="auto"/>
            </w:tcBorders>
            <w:shd w:val="clear" w:color="auto" w:fill="2D53A6"/>
          </w:tcPr>
          <w:p>
            <w:pPr>
              <w:spacing w:after="0"/>
              <w:rPr>
                <w:sz w:val="16"/>
                <w:szCs w:val="16"/>
                <w:color w:val="auto"/>
              </w:rPr>
            </w:pPr>
          </w:p>
        </w:tc>
        <w:tc>
          <w:tcPr>
            <w:tcW w:w="2060" w:type="dxa"/>
            <w:vAlign w:val="bottom"/>
            <w:tcBorders>
              <w:right w:val="single" w:sz="8" w:color="auto"/>
            </w:tcBorders>
            <w:shd w:val="clear" w:color="auto" w:fill="2D53A6"/>
          </w:tcPr>
          <w:p>
            <w:pPr>
              <w:spacing w:after="0"/>
              <w:rPr>
                <w:sz w:val="16"/>
                <w:szCs w:val="16"/>
                <w:color w:val="auto"/>
              </w:rPr>
            </w:pPr>
          </w:p>
        </w:tc>
        <w:tc>
          <w:tcPr>
            <w:tcW w:w="2020" w:type="dxa"/>
            <w:vAlign w:val="bottom"/>
            <w:tcBorders>
              <w:right w:val="single" w:sz="8" w:color="auto"/>
            </w:tcBorders>
            <w:shd w:val="clear" w:color="auto" w:fill="2D53A6"/>
          </w:tcPr>
          <w:p>
            <w:pPr>
              <w:jc w:val="center"/>
              <w:spacing w:after="0" w:line="191" w:lineRule="exact"/>
              <w:rPr>
                <w:sz w:val="20"/>
                <w:szCs w:val="20"/>
                <w:color w:val="auto"/>
              </w:rPr>
            </w:pPr>
            <w:r>
              <w:rPr>
                <w:rFonts w:ascii="Arial" w:cs="Arial" w:eastAsia="Arial" w:hAnsi="Arial"/>
                <w:sz w:val="18"/>
                <w:szCs w:val="18"/>
                <w:b w:val="1"/>
                <w:bCs w:val="1"/>
                <w:color w:val="FFFFFF"/>
                <w:w w:val="94"/>
              </w:rPr>
              <w:t>Number</w:t>
            </w:r>
          </w:p>
        </w:tc>
        <w:tc>
          <w:tcPr>
            <w:tcW w:w="1960" w:type="dxa"/>
            <w:vAlign w:val="bottom"/>
            <w:shd w:val="clear" w:color="auto" w:fill="2D53A6"/>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60" w:type="dxa"/>
            <w:vAlign w:val="bottom"/>
            <w:tcBorders>
              <w:right w:val="single" w:sz="8" w:color="auto"/>
            </w:tcBorders>
            <w:shd w:val="clear" w:color="auto" w:fill="2D53A6"/>
          </w:tcPr>
          <w:p>
            <w:pPr>
              <w:spacing w:after="0"/>
              <w:rPr>
                <w:sz w:val="18"/>
                <w:szCs w:val="18"/>
                <w:color w:val="auto"/>
              </w:rPr>
            </w:pPr>
          </w:p>
        </w:tc>
        <w:tc>
          <w:tcPr>
            <w:tcW w:w="1500" w:type="dxa"/>
            <w:vAlign w:val="bottom"/>
            <w:shd w:val="clear" w:color="auto" w:fill="2D53A6"/>
          </w:tcPr>
          <w:p>
            <w:pPr>
              <w:jc w:val="center"/>
              <w:ind w:left="430"/>
              <w:spacing w:after="0"/>
              <w:rPr>
                <w:sz w:val="20"/>
                <w:szCs w:val="20"/>
                <w:color w:val="auto"/>
              </w:rPr>
            </w:pPr>
            <w:r>
              <w:rPr>
                <w:rFonts w:ascii="Arial" w:cs="Arial" w:eastAsia="Arial" w:hAnsi="Arial"/>
                <w:sz w:val="18"/>
                <w:szCs w:val="18"/>
                <w:b w:val="1"/>
                <w:bCs w:val="1"/>
                <w:color w:val="FFFFFF"/>
                <w:w w:val="85"/>
              </w:rPr>
              <w:t>of Shares</w:t>
            </w:r>
          </w:p>
        </w:tc>
        <w:tc>
          <w:tcPr>
            <w:tcW w:w="540" w:type="dxa"/>
            <w:vAlign w:val="bottom"/>
            <w:tcBorders>
              <w:right w:val="single" w:sz="8" w:color="auto"/>
            </w:tcBorders>
            <w:shd w:val="clear" w:color="auto" w:fill="2D53A6"/>
          </w:tcPr>
          <w:p>
            <w:pPr>
              <w:spacing w:after="0"/>
              <w:rPr>
                <w:sz w:val="18"/>
                <w:szCs w:val="18"/>
                <w:color w:val="auto"/>
              </w:rPr>
            </w:pPr>
          </w:p>
        </w:tc>
        <w:tc>
          <w:tcPr>
            <w:tcW w:w="2060" w:type="dxa"/>
            <w:vAlign w:val="bottom"/>
            <w:tcBorders>
              <w:right w:val="single" w:sz="8" w:color="auto"/>
            </w:tcBorders>
            <w:shd w:val="clear" w:color="auto" w:fill="2D53A6"/>
          </w:tcPr>
          <w:p>
            <w:pPr>
              <w:jc w:val="right"/>
              <w:ind w:right="391"/>
              <w:spacing w:after="0"/>
              <w:rPr>
                <w:sz w:val="20"/>
                <w:szCs w:val="20"/>
                <w:color w:val="auto"/>
              </w:rPr>
            </w:pPr>
            <w:r>
              <w:rPr>
                <w:rFonts w:ascii="Arial" w:cs="Arial" w:eastAsia="Arial" w:hAnsi="Arial"/>
                <w:sz w:val="18"/>
                <w:szCs w:val="18"/>
                <w:b w:val="1"/>
                <w:bCs w:val="1"/>
                <w:color w:val="FFFFFF"/>
              </w:rPr>
              <w:t>Value Realized</w:t>
            </w:r>
          </w:p>
        </w:tc>
        <w:tc>
          <w:tcPr>
            <w:tcW w:w="2020" w:type="dxa"/>
            <w:vAlign w:val="bottom"/>
            <w:tcBorders>
              <w:right w:val="single" w:sz="8" w:color="auto"/>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87"/>
              </w:rPr>
              <w:t>of Shares</w:t>
            </w:r>
          </w:p>
        </w:tc>
        <w:tc>
          <w:tcPr>
            <w:tcW w:w="1960" w:type="dxa"/>
            <w:vAlign w:val="bottom"/>
            <w:shd w:val="clear" w:color="auto" w:fill="2D53A6"/>
          </w:tcPr>
          <w:p>
            <w:pPr>
              <w:jc w:val="right"/>
              <w:ind w:right="311"/>
              <w:spacing w:after="0"/>
              <w:rPr>
                <w:sz w:val="20"/>
                <w:szCs w:val="20"/>
                <w:color w:val="auto"/>
              </w:rPr>
            </w:pPr>
            <w:r>
              <w:rPr>
                <w:rFonts w:ascii="Arial" w:cs="Arial" w:eastAsia="Arial" w:hAnsi="Arial"/>
                <w:sz w:val="18"/>
                <w:szCs w:val="18"/>
                <w:b w:val="1"/>
                <w:bCs w:val="1"/>
                <w:color w:val="FFFFFF"/>
              </w:rPr>
              <w:t>Value Realized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Borders>
              <w:right w:val="single" w:sz="8" w:color="auto"/>
            </w:tcBorders>
            <w:shd w:val="clear" w:color="auto" w:fill="2D53A6"/>
          </w:tcPr>
          <w:p>
            <w:pPr>
              <w:spacing w:after="0"/>
              <w:rPr>
                <w:sz w:val="18"/>
                <w:szCs w:val="18"/>
                <w:color w:val="auto"/>
              </w:rPr>
            </w:pPr>
          </w:p>
        </w:tc>
        <w:tc>
          <w:tcPr>
            <w:tcW w:w="1500" w:type="dxa"/>
            <w:vAlign w:val="bottom"/>
            <w:shd w:val="clear" w:color="auto" w:fill="2D53A6"/>
          </w:tcPr>
          <w:p>
            <w:pPr>
              <w:jc w:val="center"/>
              <w:ind w:left="430"/>
              <w:spacing w:after="0"/>
              <w:rPr>
                <w:sz w:val="20"/>
                <w:szCs w:val="20"/>
                <w:color w:val="auto"/>
              </w:rPr>
            </w:pPr>
            <w:r>
              <w:rPr>
                <w:rFonts w:ascii="Arial" w:cs="Arial" w:eastAsia="Arial" w:hAnsi="Arial"/>
                <w:sz w:val="18"/>
                <w:szCs w:val="18"/>
                <w:b w:val="1"/>
                <w:bCs w:val="1"/>
                <w:color w:val="FFFFFF"/>
                <w:w w:val="89"/>
              </w:rPr>
              <w:t>Acquired on</w:t>
            </w:r>
          </w:p>
        </w:tc>
        <w:tc>
          <w:tcPr>
            <w:tcW w:w="540" w:type="dxa"/>
            <w:vAlign w:val="bottom"/>
            <w:tcBorders>
              <w:right w:val="single" w:sz="8" w:color="auto"/>
            </w:tcBorders>
            <w:shd w:val="clear" w:color="auto" w:fill="2D53A6"/>
          </w:tcPr>
          <w:p>
            <w:pPr>
              <w:spacing w:after="0"/>
              <w:rPr>
                <w:sz w:val="18"/>
                <w:szCs w:val="18"/>
                <w:color w:val="auto"/>
              </w:rPr>
            </w:pPr>
          </w:p>
        </w:tc>
        <w:tc>
          <w:tcPr>
            <w:tcW w:w="2060" w:type="dxa"/>
            <w:vAlign w:val="bottom"/>
            <w:tcBorders>
              <w:right w:val="single" w:sz="8" w:color="auto"/>
            </w:tcBorders>
            <w:shd w:val="clear" w:color="auto" w:fill="2D53A6"/>
          </w:tcPr>
          <w:p>
            <w:pPr>
              <w:jc w:val="right"/>
              <w:ind w:right="271"/>
              <w:spacing w:after="0" w:line="216" w:lineRule="exact"/>
              <w:rPr>
                <w:sz w:val="20"/>
                <w:szCs w:val="20"/>
                <w:color w:val="auto"/>
              </w:rPr>
            </w:pPr>
            <w:r>
              <w:rPr>
                <w:rFonts w:ascii="Arial" w:cs="Arial" w:eastAsia="Arial" w:hAnsi="Arial"/>
                <w:sz w:val="16"/>
                <w:szCs w:val="16"/>
                <w:b w:val="1"/>
                <w:bCs w:val="1"/>
                <w:color w:val="FFFFFF"/>
              </w:rPr>
              <w:t xml:space="preserve">on Exercise ($) </w:t>
            </w:r>
            <w:r>
              <w:rPr>
                <w:rFonts w:ascii="Arial" w:cs="Arial" w:eastAsia="Arial" w:hAnsi="Arial"/>
                <w:sz w:val="25"/>
                <w:szCs w:val="25"/>
                <w:b w:val="1"/>
                <w:bCs w:val="1"/>
                <w:color w:val="FFFFFF"/>
                <w:vertAlign w:val="superscript"/>
              </w:rPr>
              <w:t>(1)</w:t>
            </w:r>
          </w:p>
        </w:tc>
        <w:tc>
          <w:tcPr>
            <w:tcW w:w="2020" w:type="dxa"/>
            <w:vAlign w:val="bottom"/>
            <w:tcBorders>
              <w:right w:val="single" w:sz="8" w:color="auto"/>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1"/>
              </w:rPr>
              <w:t>Acquired on</w:t>
            </w:r>
          </w:p>
        </w:tc>
        <w:tc>
          <w:tcPr>
            <w:tcW w:w="1960" w:type="dxa"/>
            <w:vAlign w:val="bottom"/>
            <w:shd w:val="clear" w:color="auto" w:fill="2D53A6"/>
          </w:tcPr>
          <w:p>
            <w:pPr>
              <w:jc w:val="right"/>
              <w:ind w:right="251"/>
              <w:spacing w:after="0" w:line="216" w:lineRule="exact"/>
              <w:rPr>
                <w:sz w:val="20"/>
                <w:szCs w:val="20"/>
                <w:color w:val="auto"/>
              </w:rPr>
            </w:pPr>
            <w:r>
              <w:rPr>
                <w:rFonts w:ascii="Arial" w:cs="Arial" w:eastAsia="Arial" w:hAnsi="Arial"/>
                <w:sz w:val="16"/>
                <w:szCs w:val="16"/>
                <w:b w:val="1"/>
                <w:bCs w:val="1"/>
                <w:color w:val="FFFFFF"/>
              </w:rPr>
              <w:t xml:space="preserve">on Vesting ($) </w:t>
            </w:r>
            <w:r>
              <w:rPr>
                <w:rFonts w:ascii="Arial" w:cs="Arial" w:eastAsia="Arial" w:hAnsi="Arial"/>
                <w:sz w:val="25"/>
                <w:szCs w:val="25"/>
                <w:b w:val="1"/>
                <w:bCs w:val="1"/>
                <w:color w:val="FFFFFF"/>
                <w:vertAlign w:val="superscript"/>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160" w:type="dxa"/>
            <w:vAlign w:val="bottom"/>
            <w:tcBorders>
              <w:bottom w:val="single" w:sz="8" w:color="auto"/>
              <w:right w:val="single" w:sz="8" w:color="auto"/>
            </w:tcBorders>
            <w:shd w:val="clear" w:color="auto" w:fill="2D53A6"/>
          </w:tcPr>
          <w:p>
            <w:pPr>
              <w:spacing w:after="0"/>
              <w:rPr>
                <w:sz w:val="20"/>
                <w:szCs w:val="20"/>
                <w:color w:val="auto"/>
              </w:rPr>
            </w:pPr>
          </w:p>
        </w:tc>
        <w:tc>
          <w:tcPr>
            <w:tcW w:w="1500" w:type="dxa"/>
            <w:vAlign w:val="bottom"/>
            <w:tcBorders>
              <w:bottom w:val="single" w:sz="8" w:color="auto"/>
            </w:tcBorders>
            <w:shd w:val="clear" w:color="auto" w:fill="2D53A6"/>
          </w:tcPr>
          <w:p>
            <w:pPr>
              <w:jc w:val="center"/>
              <w:ind w:left="430"/>
              <w:spacing w:after="0"/>
              <w:rPr>
                <w:sz w:val="20"/>
                <w:szCs w:val="20"/>
                <w:color w:val="auto"/>
              </w:rPr>
            </w:pPr>
            <w:r>
              <w:rPr>
                <w:rFonts w:ascii="Arial" w:cs="Arial" w:eastAsia="Arial" w:hAnsi="Arial"/>
                <w:sz w:val="18"/>
                <w:szCs w:val="18"/>
                <w:b w:val="1"/>
                <w:bCs w:val="1"/>
                <w:color w:val="FFFFFF"/>
                <w:w w:val="89"/>
              </w:rPr>
              <w:t>Exercise (#)</w:t>
            </w:r>
          </w:p>
        </w:tc>
        <w:tc>
          <w:tcPr>
            <w:tcW w:w="540" w:type="dxa"/>
            <w:vAlign w:val="bottom"/>
            <w:tcBorders>
              <w:bottom w:val="single" w:sz="8" w:color="auto"/>
              <w:right w:val="single" w:sz="8" w:color="auto"/>
            </w:tcBorders>
            <w:shd w:val="clear" w:color="auto" w:fill="2D53A6"/>
          </w:tcPr>
          <w:p>
            <w:pPr>
              <w:spacing w:after="0"/>
              <w:rPr>
                <w:sz w:val="20"/>
                <w:szCs w:val="20"/>
                <w:color w:val="auto"/>
              </w:rPr>
            </w:pPr>
          </w:p>
        </w:tc>
        <w:tc>
          <w:tcPr>
            <w:tcW w:w="2060" w:type="dxa"/>
            <w:vAlign w:val="bottom"/>
            <w:tcBorders>
              <w:bottom w:val="single" w:sz="8" w:color="auto"/>
              <w:right w:val="single" w:sz="8" w:color="auto"/>
            </w:tcBorders>
            <w:shd w:val="clear" w:color="auto" w:fill="2D53A6"/>
          </w:tcPr>
          <w:p>
            <w:pPr>
              <w:spacing w:after="0"/>
              <w:rPr>
                <w:sz w:val="20"/>
                <w:szCs w:val="20"/>
                <w:color w:val="auto"/>
              </w:rPr>
            </w:pPr>
          </w:p>
        </w:tc>
        <w:tc>
          <w:tcPr>
            <w:tcW w:w="2020" w:type="dxa"/>
            <w:vAlign w:val="bottom"/>
            <w:tcBorders>
              <w:bottom w:val="single" w:sz="8" w:color="auto"/>
              <w:right w:val="single" w:sz="8" w:color="auto"/>
            </w:tcBorders>
            <w:shd w:val="clear" w:color="auto" w:fill="2D53A6"/>
          </w:tcPr>
          <w:p>
            <w:pPr>
              <w:jc w:val="center"/>
              <w:spacing w:after="0" w:line="235" w:lineRule="exact"/>
              <w:rPr>
                <w:sz w:val="20"/>
                <w:szCs w:val="20"/>
                <w:color w:val="auto"/>
              </w:rPr>
            </w:pPr>
            <w:r>
              <w:rPr>
                <w:rFonts w:ascii="Arial" w:cs="Arial" w:eastAsia="Arial" w:hAnsi="Arial"/>
                <w:sz w:val="17"/>
                <w:szCs w:val="17"/>
                <w:b w:val="1"/>
                <w:bCs w:val="1"/>
                <w:color w:val="FFFFFF"/>
                <w:w w:val="91"/>
              </w:rPr>
              <w:t xml:space="preserve">Vesting (#) </w:t>
            </w:r>
            <w:r>
              <w:rPr>
                <w:rFonts w:ascii="Arial" w:cs="Arial" w:eastAsia="Arial" w:hAnsi="Arial"/>
                <w:sz w:val="27"/>
                <w:szCs w:val="27"/>
                <w:b w:val="1"/>
                <w:bCs w:val="1"/>
                <w:color w:val="FFFFFF"/>
                <w:w w:val="91"/>
                <w:vertAlign w:val="superscript"/>
              </w:rPr>
              <w:t>(2)</w:t>
            </w:r>
          </w:p>
        </w:tc>
        <w:tc>
          <w:tcPr>
            <w:tcW w:w="1960" w:type="dxa"/>
            <w:vAlign w:val="bottom"/>
            <w:tcBorders>
              <w:bottom w:val="single" w:sz="8" w:color="auto"/>
            </w:tcBorders>
            <w:shd w:val="clear" w:color="auto" w:fill="2D53A6"/>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160" w:type="dxa"/>
            <w:vAlign w:val="bottom"/>
            <w:tcBorders>
              <w:bottom w:val="single" w:sz="8" w:color="2D53A6"/>
              <w:right w:val="single" w:sz="8" w:color="2D53A6"/>
            </w:tcBorders>
          </w:tcPr>
          <w:p>
            <w:pPr>
              <w:spacing w:after="0"/>
              <w:rPr>
                <w:sz w:val="20"/>
                <w:szCs w:val="20"/>
                <w:color w:val="auto"/>
              </w:rPr>
            </w:pPr>
            <w:r>
              <w:rPr>
                <w:rFonts w:ascii="Arial" w:cs="Arial" w:eastAsia="Arial" w:hAnsi="Arial"/>
                <w:sz w:val="18"/>
                <w:szCs w:val="18"/>
                <w:color w:val="auto"/>
              </w:rPr>
              <w:t>Luis A. Müller</w:t>
            </w:r>
          </w:p>
        </w:tc>
        <w:tc>
          <w:tcPr>
            <w:tcW w:w="1500" w:type="dxa"/>
            <w:vAlign w:val="bottom"/>
            <w:tcBorders>
              <w:bottom w:val="single" w:sz="8" w:color="2D53A6"/>
            </w:tcBorders>
          </w:tcPr>
          <w:p>
            <w:pPr>
              <w:spacing w:after="0"/>
              <w:rPr>
                <w:sz w:val="18"/>
                <w:szCs w:val="18"/>
                <w:color w:val="auto"/>
              </w:rPr>
            </w:pPr>
          </w:p>
        </w:tc>
        <w:tc>
          <w:tcPr>
            <w:tcW w:w="54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w:t>
            </w:r>
          </w:p>
        </w:tc>
        <w:tc>
          <w:tcPr>
            <w:tcW w:w="206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89,561</w:t>
            </w:r>
          </w:p>
        </w:tc>
        <w:tc>
          <w:tcPr>
            <w:tcW w:w="1960" w:type="dxa"/>
            <w:vAlign w:val="bottom"/>
            <w:tcBorders>
              <w:bottom w:val="single" w:sz="8" w:color="2D53A6"/>
            </w:tcBorders>
          </w:tcPr>
          <w:p>
            <w:pPr>
              <w:jc w:val="right"/>
              <w:spacing w:after="0"/>
              <w:rPr>
                <w:sz w:val="20"/>
                <w:szCs w:val="20"/>
                <w:color w:val="auto"/>
              </w:rPr>
            </w:pPr>
            <w:r>
              <w:rPr>
                <w:rFonts w:ascii="Arial" w:cs="Arial" w:eastAsia="Arial" w:hAnsi="Arial"/>
                <w:sz w:val="18"/>
                <w:szCs w:val="18"/>
                <w:color w:val="auto"/>
              </w:rPr>
              <w:t>3,983,364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60" w:type="dxa"/>
            <w:vAlign w:val="bottom"/>
            <w:tcBorders>
              <w:bottom w:val="single" w:sz="8" w:color="2D53A6"/>
              <w:right w:val="single" w:sz="8" w:color="2D53A6"/>
            </w:tcBorders>
            <w:shd w:val="clear" w:color="auto" w:fill="E6E6E6"/>
          </w:tcPr>
          <w:p>
            <w:pPr>
              <w:spacing w:after="0"/>
              <w:rPr>
                <w:sz w:val="20"/>
                <w:szCs w:val="20"/>
                <w:color w:val="auto"/>
              </w:rPr>
            </w:pPr>
            <w:r>
              <w:rPr>
                <w:rFonts w:ascii="Arial" w:cs="Arial" w:eastAsia="Arial" w:hAnsi="Arial"/>
                <w:sz w:val="18"/>
                <w:szCs w:val="18"/>
                <w:color w:val="auto"/>
              </w:rPr>
              <w:t>Jeffrey D. Jones</w:t>
            </w:r>
          </w:p>
        </w:tc>
        <w:tc>
          <w:tcPr>
            <w:tcW w:w="1500" w:type="dxa"/>
            <w:vAlign w:val="bottom"/>
            <w:tcBorders>
              <w:bottom w:val="single" w:sz="8" w:color="2D53A6"/>
            </w:tcBorders>
            <w:shd w:val="clear" w:color="auto" w:fill="E6E6E6"/>
          </w:tcPr>
          <w:p>
            <w:pPr>
              <w:spacing w:after="0"/>
              <w:rPr>
                <w:sz w:val="18"/>
                <w:szCs w:val="18"/>
                <w:color w:val="auto"/>
              </w:rPr>
            </w:pPr>
          </w:p>
        </w:tc>
        <w:tc>
          <w:tcPr>
            <w:tcW w:w="54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w w:val="90"/>
              </w:rPr>
              <w:t>26,000</w:t>
            </w:r>
          </w:p>
        </w:tc>
        <w:tc>
          <w:tcPr>
            <w:tcW w:w="206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675,318</w:t>
            </w:r>
          </w:p>
        </w:tc>
        <w:tc>
          <w:tcPr>
            <w:tcW w:w="202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35,671</w:t>
            </w:r>
          </w:p>
        </w:tc>
        <w:tc>
          <w:tcPr>
            <w:tcW w:w="1960" w:type="dxa"/>
            <w:vAlign w:val="bottom"/>
            <w:tcBorders>
              <w:bottom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1,583,298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60" w:type="dxa"/>
            <w:vAlign w:val="bottom"/>
            <w:tcBorders>
              <w:bottom w:val="single" w:sz="8" w:color="2D53A6"/>
              <w:right w:val="single" w:sz="8" w:color="2D53A6"/>
            </w:tcBorders>
          </w:tcPr>
          <w:p>
            <w:pPr>
              <w:spacing w:after="0"/>
              <w:rPr>
                <w:sz w:val="20"/>
                <w:szCs w:val="20"/>
                <w:color w:val="auto"/>
              </w:rPr>
            </w:pPr>
            <w:r>
              <w:rPr>
                <w:rFonts w:ascii="Arial" w:cs="Arial" w:eastAsia="Arial" w:hAnsi="Arial"/>
                <w:sz w:val="18"/>
                <w:szCs w:val="18"/>
                <w:color w:val="auto"/>
              </w:rPr>
              <w:t>Christopher G. Bohrson</w:t>
            </w:r>
          </w:p>
        </w:tc>
        <w:tc>
          <w:tcPr>
            <w:tcW w:w="1500" w:type="dxa"/>
            <w:vAlign w:val="bottom"/>
            <w:tcBorders>
              <w:bottom w:val="single" w:sz="8" w:color="2D53A6"/>
            </w:tcBorders>
          </w:tcPr>
          <w:p>
            <w:pPr>
              <w:spacing w:after="0"/>
              <w:rPr>
                <w:sz w:val="18"/>
                <w:szCs w:val="18"/>
                <w:color w:val="auto"/>
              </w:rPr>
            </w:pPr>
          </w:p>
        </w:tc>
        <w:tc>
          <w:tcPr>
            <w:tcW w:w="54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w:t>
            </w:r>
          </w:p>
        </w:tc>
        <w:tc>
          <w:tcPr>
            <w:tcW w:w="206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20,848</w:t>
            </w:r>
          </w:p>
        </w:tc>
        <w:tc>
          <w:tcPr>
            <w:tcW w:w="1960" w:type="dxa"/>
            <w:vAlign w:val="bottom"/>
            <w:tcBorders>
              <w:bottom w:val="single" w:sz="8" w:color="2D53A6"/>
            </w:tcBorders>
          </w:tcPr>
          <w:p>
            <w:pPr>
              <w:jc w:val="right"/>
              <w:spacing w:after="0"/>
              <w:rPr>
                <w:sz w:val="20"/>
                <w:szCs w:val="20"/>
                <w:color w:val="auto"/>
              </w:rPr>
            </w:pPr>
            <w:r>
              <w:rPr>
                <w:rFonts w:ascii="Arial" w:cs="Arial" w:eastAsia="Arial" w:hAnsi="Arial"/>
                <w:sz w:val="18"/>
                <w:szCs w:val="18"/>
                <w:color w:val="auto"/>
              </w:rPr>
              <w:t>926,138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60" w:type="dxa"/>
            <w:vAlign w:val="bottom"/>
            <w:tcBorders>
              <w:bottom w:val="single" w:sz="8" w:color="2D53A6"/>
              <w:right w:val="single" w:sz="8" w:color="2D53A6"/>
            </w:tcBorders>
            <w:shd w:val="clear" w:color="auto" w:fill="E6E6E6"/>
          </w:tcPr>
          <w:p>
            <w:pPr>
              <w:spacing w:after="0"/>
              <w:rPr>
                <w:sz w:val="20"/>
                <w:szCs w:val="20"/>
                <w:color w:val="auto"/>
              </w:rPr>
            </w:pPr>
            <w:r>
              <w:rPr>
                <w:rFonts w:ascii="Arial" w:cs="Arial" w:eastAsia="Arial" w:hAnsi="Arial"/>
                <w:sz w:val="18"/>
                <w:szCs w:val="18"/>
                <w:color w:val="auto"/>
              </w:rPr>
              <w:t>Thomas D. Kampfer</w:t>
            </w:r>
          </w:p>
        </w:tc>
        <w:tc>
          <w:tcPr>
            <w:tcW w:w="1500" w:type="dxa"/>
            <w:vAlign w:val="bottom"/>
            <w:tcBorders>
              <w:bottom w:val="single" w:sz="8" w:color="2D53A6"/>
            </w:tcBorders>
            <w:shd w:val="clear" w:color="auto" w:fill="E6E6E6"/>
          </w:tcPr>
          <w:p>
            <w:pPr>
              <w:spacing w:after="0"/>
              <w:rPr>
                <w:sz w:val="18"/>
                <w:szCs w:val="18"/>
                <w:color w:val="auto"/>
              </w:rPr>
            </w:pPr>
          </w:p>
        </w:tc>
        <w:tc>
          <w:tcPr>
            <w:tcW w:w="54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206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19,106</w:t>
            </w:r>
          </w:p>
        </w:tc>
        <w:tc>
          <w:tcPr>
            <w:tcW w:w="1960" w:type="dxa"/>
            <w:vAlign w:val="bottom"/>
            <w:tcBorders>
              <w:bottom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831,273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60" w:type="dxa"/>
            <w:vAlign w:val="bottom"/>
            <w:tcBorders>
              <w:bottom w:val="single" w:sz="8" w:color="2D53A6"/>
              <w:right w:val="single" w:sz="8" w:color="2D53A6"/>
            </w:tcBorders>
          </w:tcPr>
          <w:p>
            <w:pPr>
              <w:spacing w:after="0"/>
              <w:rPr>
                <w:sz w:val="20"/>
                <w:szCs w:val="20"/>
                <w:color w:val="auto"/>
              </w:rPr>
            </w:pPr>
            <w:r>
              <w:rPr>
                <w:rFonts w:ascii="Arial" w:cs="Arial" w:eastAsia="Arial" w:hAnsi="Arial"/>
                <w:sz w:val="18"/>
                <w:szCs w:val="18"/>
                <w:color w:val="auto"/>
              </w:rPr>
              <w:t>Ian P. Lawee</w:t>
            </w:r>
          </w:p>
        </w:tc>
        <w:tc>
          <w:tcPr>
            <w:tcW w:w="1500" w:type="dxa"/>
            <w:vAlign w:val="bottom"/>
            <w:tcBorders>
              <w:bottom w:val="single" w:sz="8" w:color="2D53A6"/>
            </w:tcBorders>
          </w:tcPr>
          <w:p>
            <w:pPr>
              <w:spacing w:after="0"/>
              <w:rPr>
                <w:sz w:val="18"/>
                <w:szCs w:val="18"/>
                <w:color w:val="auto"/>
              </w:rPr>
            </w:pPr>
          </w:p>
        </w:tc>
        <w:tc>
          <w:tcPr>
            <w:tcW w:w="54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w:t>
            </w:r>
          </w:p>
        </w:tc>
        <w:tc>
          <w:tcPr>
            <w:tcW w:w="206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8,927</w:t>
            </w:r>
          </w:p>
        </w:tc>
        <w:tc>
          <w:tcPr>
            <w:tcW w:w="1960" w:type="dxa"/>
            <w:vAlign w:val="bottom"/>
            <w:tcBorders>
              <w:bottom w:val="single" w:sz="8" w:color="2D53A6"/>
            </w:tcBorders>
          </w:tcPr>
          <w:p>
            <w:pPr>
              <w:jc w:val="right"/>
              <w:spacing w:after="0"/>
              <w:rPr>
                <w:sz w:val="20"/>
                <w:szCs w:val="20"/>
                <w:color w:val="auto"/>
              </w:rPr>
            </w:pPr>
            <w:r>
              <w:rPr>
                <w:rFonts w:ascii="Arial" w:cs="Arial" w:eastAsia="Arial" w:hAnsi="Arial"/>
                <w:sz w:val="18"/>
                <w:szCs w:val="18"/>
                <w:color w:val="auto"/>
              </w:rPr>
              <w:t>367,826</w:t>
            </w:r>
          </w:p>
        </w:tc>
        <w:tc>
          <w:tcPr>
            <w:tcW w:w="20" w:type="dxa"/>
            <w:vAlign w:val="bottom"/>
            <w:tcBorders>
              <w:bottom w:val="single" w:sz="8" w:color="2D53A6"/>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right="120" w:hanging="332"/>
        <w:spacing w:after="0" w:line="258"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the difference between the market price of Cohu’s common stock on the date of exercise and the exercise price, multiplied by the number of shares for which the option was exercised.</w:t>
      </w:r>
    </w:p>
    <w:p>
      <w:pPr>
        <w:spacing w:after="0" w:line="1" w:lineRule="exact"/>
        <w:rPr>
          <w:rFonts w:ascii="Arial" w:cs="Arial" w:eastAsia="Arial" w:hAnsi="Arial"/>
          <w:sz w:val="18"/>
          <w:szCs w:val="18"/>
          <w:color w:val="auto"/>
        </w:rPr>
      </w:pPr>
    </w:p>
    <w:p>
      <w:pPr>
        <w:ind w:left="340" w:right="100" w:hanging="332"/>
        <w:spacing w:after="0" w:line="250"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Number of shares acquired on vesting is before reduction for shares withheld to cover tax withholding. Cohu withheld the following number of shares for tax withholding: Dr. Müller, 44,407 shares; Mr. Jones, 17,688 shares; Mr. Bohrson, 10,339 shares, Mr. Kampfer, 9,475 shares; and Mr. Lawee, 3,960 shares.</w:t>
      </w:r>
    </w:p>
    <w:p>
      <w:pPr>
        <w:spacing w:after="0" w:line="1" w:lineRule="exact"/>
        <w:rPr>
          <w:rFonts w:ascii="Arial" w:cs="Arial" w:eastAsia="Arial" w:hAnsi="Arial"/>
          <w:sz w:val="18"/>
          <w:szCs w:val="18"/>
          <w:color w:val="auto"/>
        </w:rPr>
      </w:pPr>
    </w:p>
    <w:p>
      <w:pPr>
        <w:ind w:left="340" w:right="560" w:hanging="332"/>
        <w:spacing w:after="0" w:line="260"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value realized equals the number of units that vested multiplied by the per-share closing price of Cohu’s common stock on the vesting date. Amounts presented are gross amounts before required tax withholding.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Nonqualified Deferred Compensation</w:t>
      </w:r>
    </w:p>
    <w:p>
      <w:pPr>
        <w:spacing w:after="0" w:line="229"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The Deferred Compensation Plan, as summarized in the Compensation Discussion and Analysis above, permits eligible participants to defer compensation from salary and cash incentives. The Deferred Compensation Plan limits the amount of participant deferrals to 25% of salary and 100% of cash incentives. Cohu may make matching contributions as summarized in the Compensation Discussion and Analysis.</w:t>
      </w:r>
    </w:p>
    <w:p>
      <w:pPr>
        <w:spacing w:after="0" w:line="184"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Participant and employer contributions, distributions and deemed investment earnings and losses are accumulated in individual deferral investment accounts as established by the Deferred Compensation Plan. The deemed investment gains or losses credited to a participant’s account are based on investment elections made by the participant from prescribed mutual fund investment options. Participants may elect to receive payment of their deferral account in ten or fifteen annual installments upon retirement and in lump sum or five, ten or fifteen annual installments upon disability, death, termination or change in control, as defined in the Deferred Compensation Plan.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25, 2021 none of our NEOs have any amounts deferred under the Deferred Compensation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table summarizes information with respect to equity awards under Cohu’s equity compensation plans at December 25, 2021 (</w:t>
      </w:r>
      <w:r>
        <w:rPr>
          <w:rFonts w:ascii="Arial" w:cs="Arial" w:eastAsia="Arial" w:hAnsi="Arial"/>
          <w:sz w:val="18"/>
          <w:szCs w:val="18"/>
          <w:i w:val="1"/>
          <w:iCs w:val="1"/>
          <w:color w:val="auto"/>
        </w:rPr>
        <w:t>in thousands,</w:t>
      </w:r>
      <w:r>
        <w:rPr>
          <w:rFonts w:ascii="Arial" w:cs="Arial" w:eastAsia="Arial" w:hAnsi="Arial"/>
          <w:sz w:val="18"/>
          <w:szCs w:val="18"/>
          <w:color w:val="auto"/>
        </w:rPr>
        <w:t xml:space="preserve"> </w:t>
      </w:r>
      <w:r>
        <w:rPr>
          <w:rFonts w:ascii="Arial" w:cs="Arial" w:eastAsia="Arial" w:hAnsi="Arial"/>
          <w:sz w:val="18"/>
          <w:szCs w:val="18"/>
          <w:i w:val="1"/>
          <w:iCs w:val="1"/>
          <w:color w:val="auto"/>
        </w:rPr>
        <w:t>except per share amounts and amounts quoted in footnotes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1766570</wp:posOffset>
            </wp:positionH>
            <wp:positionV relativeFrom="paragraph">
              <wp:posOffset>104775</wp:posOffset>
            </wp:positionV>
            <wp:extent cx="34290" cy="8566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290" cy="856615"/>
                    </a:xfrm>
                    <a:prstGeom prst="rect">
                      <a:avLst/>
                    </a:prstGeom>
                    <a:noFill/>
                  </pic:spPr>
                </pic:pic>
              </a:graphicData>
            </a:graphic>
          </wp:anchor>
        </w:drawing>
        <w:drawing>
          <wp:anchor simplePos="0" relativeHeight="251657728" behindDoc="1" locked="0" layoutInCell="0" allowOverlap="1">
            <wp:simplePos x="0" y="0"/>
            <wp:positionH relativeFrom="column">
              <wp:posOffset>3549650</wp:posOffset>
            </wp:positionH>
            <wp:positionV relativeFrom="paragraph">
              <wp:posOffset>104775</wp:posOffset>
            </wp:positionV>
            <wp:extent cx="34290" cy="8566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4290" cy="856615"/>
                    </a:xfrm>
                    <a:prstGeom prst="rect">
                      <a:avLst/>
                    </a:prstGeom>
                    <a:noFill/>
                  </pic:spPr>
                </pic:pic>
              </a:graphicData>
            </a:graphic>
          </wp:anchor>
        </w:drawing>
        <w:drawing>
          <wp:anchor simplePos="0" relativeHeight="251657728" behindDoc="1" locked="0" layoutInCell="0" allowOverlap="1">
            <wp:simplePos x="0" y="0"/>
            <wp:positionH relativeFrom="column">
              <wp:posOffset>5332730</wp:posOffset>
            </wp:positionH>
            <wp:positionV relativeFrom="paragraph">
              <wp:posOffset>104775</wp:posOffset>
            </wp:positionV>
            <wp:extent cx="33655" cy="8566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3655" cy="856615"/>
                    </a:xfrm>
                    <a:prstGeom prst="rect">
                      <a:avLst/>
                    </a:prstGeom>
                    <a:noFill/>
                  </pic:spPr>
                </pic:pic>
              </a:graphicData>
            </a:graphic>
          </wp:anchor>
        </w:drawing>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20" w:type="dxa"/>
            <w:vAlign w:val="bottom"/>
            <w:tcBorders>
              <w:right w:val="single" w:sz="8" w:color="2D53A6"/>
            </w:tcBorders>
            <w:shd w:val="clear" w:color="auto" w:fill="2D53A6"/>
          </w:tcPr>
          <w:p>
            <w:pPr>
              <w:spacing w:after="0"/>
              <w:rPr>
                <w:sz w:val="17"/>
                <w:szCs w:val="17"/>
                <w:color w:val="auto"/>
              </w:rPr>
            </w:pPr>
          </w:p>
        </w:tc>
        <w:tc>
          <w:tcPr>
            <w:tcW w:w="282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89"/>
              </w:rPr>
              <w:t>Number of securities</w:t>
            </w:r>
          </w:p>
        </w:tc>
        <w:tc>
          <w:tcPr>
            <w:tcW w:w="280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88"/>
              </w:rPr>
              <w:t>Weighted average</w:t>
            </w:r>
          </w:p>
        </w:tc>
        <w:tc>
          <w:tcPr>
            <w:tcW w:w="2800" w:type="dxa"/>
            <w:vAlign w:val="bottom"/>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89"/>
              </w:rPr>
              <w:t>Number of securities available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820" w:type="dxa"/>
            <w:vAlign w:val="bottom"/>
            <w:tcBorders>
              <w:right w:val="single" w:sz="8" w:color="2D53A6"/>
            </w:tcBorders>
            <w:shd w:val="clear" w:color="auto" w:fill="2D53A6"/>
          </w:tcPr>
          <w:p>
            <w:pPr>
              <w:spacing w:after="0"/>
              <w:rPr>
                <w:sz w:val="9"/>
                <w:szCs w:val="9"/>
                <w:color w:val="auto"/>
              </w:rPr>
            </w:pPr>
          </w:p>
        </w:tc>
        <w:tc>
          <w:tcPr>
            <w:tcW w:w="282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85"/>
              </w:rPr>
              <w:t>to be issued</w:t>
            </w:r>
          </w:p>
        </w:tc>
        <w:tc>
          <w:tcPr>
            <w:tcW w:w="2800" w:type="dxa"/>
            <w:vAlign w:val="bottom"/>
            <w:tcBorders>
              <w:right w:val="single" w:sz="8" w:color="2D53A6"/>
            </w:tcBorders>
            <w:vMerge w:val="continue"/>
            <w:shd w:val="clear" w:color="auto" w:fill="2D53A6"/>
          </w:tcPr>
          <w:p>
            <w:pPr>
              <w:spacing w:after="0"/>
              <w:rPr>
                <w:sz w:val="9"/>
                <w:szCs w:val="9"/>
                <w:color w:val="auto"/>
              </w:rPr>
            </w:pPr>
          </w:p>
        </w:tc>
        <w:tc>
          <w:tcPr>
            <w:tcW w:w="2800" w:type="dxa"/>
            <w:vAlign w:val="bottom"/>
            <w:vMerge w:val="continue"/>
            <w:shd w:val="clear" w:color="auto" w:fill="2D53A6"/>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820" w:type="dxa"/>
            <w:vAlign w:val="bottom"/>
            <w:tcBorders>
              <w:right w:val="single" w:sz="8" w:color="2D53A6"/>
            </w:tcBorders>
            <w:shd w:val="clear" w:color="auto" w:fill="2D53A6"/>
          </w:tcPr>
          <w:p>
            <w:pPr>
              <w:spacing w:after="0"/>
              <w:rPr>
                <w:sz w:val="9"/>
                <w:szCs w:val="9"/>
                <w:color w:val="auto"/>
              </w:rPr>
            </w:pPr>
          </w:p>
        </w:tc>
        <w:tc>
          <w:tcPr>
            <w:tcW w:w="2820" w:type="dxa"/>
            <w:vAlign w:val="bottom"/>
            <w:tcBorders>
              <w:right w:val="single" w:sz="8" w:color="2D53A6"/>
            </w:tcBorders>
            <w:vMerge w:val="continue"/>
            <w:shd w:val="clear" w:color="auto" w:fill="2D53A6"/>
          </w:tcPr>
          <w:p>
            <w:pPr>
              <w:spacing w:after="0"/>
              <w:rPr>
                <w:sz w:val="9"/>
                <w:szCs w:val="9"/>
                <w:color w:val="auto"/>
              </w:rPr>
            </w:pPr>
          </w:p>
        </w:tc>
        <w:tc>
          <w:tcPr>
            <w:tcW w:w="280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87"/>
              </w:rPr>
              <w:t>exercise price of</w:t>
            </w:r>
          </w:p>
        </w:tc>
        <w:tc>
          <w:tcPr>
            <w:tcW w:w="2800" w:type="dxa"/>
            <w:vAlign w:val="bottom"/>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89"/>
              </w:rPr>
              <w:t>for future issuance under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820" w:type="dxa"/>
            <w:vAlign w:val="bottom"/>
            <w:tcBorders>
              <w:right w:val="single" w:sz="8" w:color="2D53A6"/>
            </w:tcBorders>
            <w:shd w:val="clear" w:color="auto" w:fill="2D53A6"/>
          </w:tcPr>
          <w:p>
            <w:pPr>
              <w:spacing w:after="0"/>
              <w:rPr>
                <w:sz w:val="9"/>
                <w:szCs w:val="9"/>
                <w:color w:val="auto"/>
              </w:rPr>
            </w:pPr>
          </w:p>
        </w:tc>
        <w:tc>
          <w:tcPr>
            <w:tcW w:w="282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86"/>
              </w:rPr>
              <w:t>upon exercise of</w:t>
            </w:r>
          </w:p>
        </w:tc>
        <w:tc>
          <w:tcPr>
            <w:tcW w:w="2800" w:type="dxa"/>
            <w:vAlign w:val="bottom"/>
            <w:tcBorders>
              <w:right w:val="single" w:sz="8" w:color="2D53A6"/>
            </w:tcBorders>
            <w:vMerge w:val="continue"/>
            <w:shd w:val="clear" w:color="auto" w:fill="2D53A6"/>
          </w:tcPr>
          <w:p>
            <w:pPr>
              <w:spacing w:after="0"/>
              <w:rPr>
                <w:sz w:val="9"/>
                <w:szCs w:val="9"/>
                <w:color w:val="auto"/>
              </w:rPr>
            </w:pPr>
          </w:p>
        </w:tc>
        <w:tc>
          <w:tcPr>
            <w:tcW w:w="2800" w:type="dxa"/>
            <w:vAlign w:val="bottom"/>
            <w:vMerge w:val="continue"/>
            <w:shd w:val="clear" w:color="auto" w:fill="2D53A6"/>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820" w:type="dxa"/>
            <w:vAlign w:val="bottom"/>
            <w:tcBorders>
              <w:right w:val="single" w:sz="8" w:color="2D53A6"/>
            </w:tcBorders>
            <w:vMerge w:val="restart"/>
            <w:shd w:val="clear" w:color="auto" w:fill="2D53A6"/>
          </w:tcPr>
          <w:p>
            <w:pPr>
              <w:spacing w:after="0"/>
              <w:rPr>
                <w:sz w:val="20"/>
                <w:szCs w:val="20"/>
                <w:color w:val="auto"/>
              </w:rPr>
            </w:pPr>
            <w:r>
              <w:rPr>
                <w:rFonts w:ascii="Arial" w:cs="Arial" w:eastAsia="Arial" w:hAnsi="Arial"/>
                <w:sz w:val="18"/>
                <w:szCs w:val="18"/>
                <w:b w:val="1"/>
                <w:bCs w:val="1"/>
                <w:color w:val="FFFFFF"/>
              </w:rPr>
              <w:t>Plan category</w:t>
            </w:r>
          </w:p>
        </w:tc>
        <w:tc>
          <w:tcPr>
            <w:tcW w:w="2820" w:type="dxa"/>
            <w:vAlign w:val="bottom"/>
            <w:tcBorders>
              <w:right w:val="single" w:sz="8" w:color="2D53A6"/>
            </w:tcBorders>
            <w:vMerge w:val="continue"/>
            <w:shd w:val="clear" w:color="auto" w:fill="2D53A6"/>
          </w:tcPr>
          <w:p>
            <w:pPr>
              <w:spacing w:after="0"/>
              <w:rPr>
                <w:sz w:val="9"/>
                <w:szCs w:val="9"/>
                <w:color w:val="auto"/>
              </w:rPr>
            </w:pPr>
          </w:p>
        </w:tc>
        <w:tc>
          <w:tcPr>
            <w:tcW w:w="280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87"/>
              </w:rPr>
              <w:t>outstanding options,</w:t>
            </w:r>
          </w:p>
        </w:tc>
        <w:tc>
          <w:tcPr>
            <w:tcW w:w="2800" w:type="dxa"/>
            <w:vAlign w:val="bottom"/>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87"/>
              </w:rPr>
              <w:t>equity compensation plans</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820" w:type="dxa"/>
            <w:vAlign w:val="bottom"/>
            <w:tcBorders>
              <w:right w:val="single" w:sz="8" w:color="2D53A6"/>
            </w:tcBorders>
            <w:vMerge w:val="continue"/>
            <w:shd w:val="clear" w:color="auto" w:fill="2D53A6"/>
          </w:tcPr>
          <w:p>
            <w:pPr>
              <w:spacing w:after="0"/>
              <w:rPr>
                <w:sz w:val="9"/>
                <w:szCs w:val="9"/>
                <w:color w:val="auto"/>
              </w:rPr>
            </w:pPr>
          </w:p>
        </w:tc>
        <w:tc>
          <w:tcPr>
            <w:tcW w:w="282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87"/>
              </w:rPr>
              <w:t>outstanding options,</w:t>
            </w:r>
          </w:p>
        </w:tc>
        <w:tc>
          <w:tcPr>
            <w:tcW w:w="2800" w:type="dxa"/>
            <w:vAlign w:val="bottom"/>
            <w:tcBorders>
              <w:right w:val="single" w:sz="8" w:color="2D53A6"/>
            </w:tcBorders>
            <w:vMerge w:val="continue"/>
            <w:shd w:val="clear" w:color="auto" w:fill="2D53A6"/>
          </w:tcPr>
          <w:p>
            <w:pPr>
              <w:spacing w:after="0"/>
              <w:rPr>
                <w:sz w:val="9"/>
                <w:szCs w:val="9"/>
                <w:color w:val="auto"/>
              </w:rPr>
            </w:pPr>
          </w:p>
        </w:tc>
        <w:tc>
          <w:tcPr>
            <w:tcW w:w="2800" w:type="dxa"/>
            <w:vAlign w:val="bottom"/>
            <w:vMerge w:val="continue"/>
            <w:shd w:val="clear" w:color="auto" w:fill="2D53A6"/>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820" w:type="dxa"/>
            <w:vAlign w:val="bottom"/>
            <w:tcBorders>
              <w:right w:val="single" w:sz="8" w:color="2D53A6"/>
            </w:tcBorders>
            <w:shd w:val="clear" w:color="auto" w:fill="2D53A6"/>
          </w:tcPr>
          <w:p>
            <w:pPr>
              <w:spacing w:after="0"/>
              <w:rPr>
                <w:sz w:val="9"/>
                <w:szCs w:val="9"/>
                <w:color w:val="auto"/>
              </w:rPr>
            </w:pPr>
          </w:p>
        </w:tc>
        <w:tc>
          <w:tcPr>
            <w:tcW w:w="2820" w:type="dxa"/>
            <w:vAlign w:val="bottom"/>
            <w:tcBorders>
              <w:right w:val="single" w:sz="8" w:color="2D53A6"/>
            </w:tcBorders>
            <w:vMerge w:val="continue"/>
            <w:shd w:val="clear" w:color="auto" w:fill="2D53A6"/>
          </w:tcPr>
          <w:p>
            <w:pPr>
              <w:spacing w:after="0"/>
              <w:rPr>
                <w:sz w:val="9"/>
                <w:szCs w:val="9"/>
                <w:color w:val="auto"/>
              </w:rPr>
            </w:pPr>
          </w:p>
        </w:tc>
        <w:tc>
          <w:tcPr>
            <w:tcW w:w="280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90"/>
              </w:rPr>
              <w:t>warrants and rights</w:t>
            </w:r>
          </w:p>
        </w:tc>
        <w:tc>
          <w:tcPr>
            <w:tcW w:w="2800" w:type="dxa"/>
            <w:vAlign w:val="bottom"/>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87"/>
              </w:rPr>
              <w:t>(excluding securities reflected</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820" w:type="dxa"/>
            <w:vAlign w:val="bottom"/>
            <w:tcBorders>
              <w:right w:val="single" w:sz="8" w:color="2D53A6"/>
            </w:tcBorders>
            <w:shd w:val="clear" w:color="auto" w:fill="2D53A6"/>
          </w:tcPr>
          <w:p>
            <w:pPr>
              <w:spacing w:after="0"/>
              <w:rPr>
                <w:sz w:val="9"/>
                <w:szCs w:val="9"/>
                <w:color w:val="auto"/>
              </w:rPr>
            </w:pPr>
          </w:p>
        </w:tc>
        <w:tc>
          <w:tcPr>
            <w:tcW w:w="282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92"/>
              </w:rPr>
              <w:t>warrants and rights</w:t>
            </w:r>
          </w:p>
        </w:tc>
        <w:tc>
          <w:tcPr>
            <w:tcW w:w="2800" w:type="dxa"/>
            <w:vAlign w:val="bottom"/>
            <w:tcBorders>
              <w:right w:val="single" w:sz="8" w:color="2D53A6"/>
            </w:tcBorders>
            <w:vMerge w:val="continue"/>
            <w:shd w:val="clear" w:color="auto" w:fill="2D53A6"/>
          </w:tcPr>
          <w:p>
            <w:pPr>
              <w:spacing w:after="0"/>
              <w:rPr>
                <w:sz w:val="9"/>
                <w:szCs w:val="9"/>
                <w:color w:val="auto"/>
              </w:rPr>
            </w:pPr>
          </w:p>
        </w:tc>
        <w:tc>
          <w:tcPr>
            <w:tcW w:w="2800" w:type="dxa"/>
            <w:vAlign w:val="bottom"/>
            <w:vMerge w:val="continue"/>
            <w:shd w:val="clear" w:color="auto" w:fill="2D53A6"/>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820" w:type="dxa"/>
            <w:vAlign w:val="bottom"/>
            <w:tcBorders>
              <w:right w:val="single" w:sz="8" w:color="2D53A6"/>
            </w:tcBorders>
            <w:shd w:val="clear" w:color="auto" w:fill="2D53A6"/>
          </w:tcPr>
          <w:p>
            <w:pPr>
              <w:spacing w:after="0"/>
              <w:rPr>
                <w:sz w:val="9"/>
                <w:szCs w:val="9"/>
                <w:color w:val="auto"/>
              </w:rPr>
            </w:pPr>
          </w:p>
        </w:tc>
        <w:tc>
          <w:tcPr>
            <w:tcW w:w="2820" w:type="dxa"/>
            <w:vAlign w:val="bottom"/>
            <w:tcBorders>
              <w:right w:val="single" w:sz="8" w:color="2D53A6"/>
            </w:tcBorders>
            <w:vMerge w:val="continue"/>
            <w:shd w:val="clear" w:color="auto" w:fill="2D53A6"/>
          </w:tcPr>
          <w:p>
            <w:pPr>
              <w:spacing w:after="0"/>
              <w:rPr>
                <w:sz w:val="9"/>
                <w:szCs w:val="9"/>
                <w:color w:val="auto"/>
              </w:rPr>
            </w:pPr>
          </w:p>
        </w:tc>
        <w:tc>
          <w:tcPr>
            <w:tcW w:w="280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97"/>
              </w:rPr>
              <w:t xml:space="preserve">(b) </w:t>
            </w:r>
            <w:r>
              <w:rPr>
                <w:rFonts w:ascii="Arial" w:cs="Arial" w:eastAsia="Arial" w:hAnsi="Arial"/>
                <w:sz w:val="14"/>
                <w:szCs w:val="14"/>
                <w:b w:val="1"/>
                <w:bCs w:val="1"/>
                <w:color w:val="FFFFFF"/>
                <w:w w:val="97"/>
              </w:rPr>
              <w:t>(2)</w:t>
            </w:r>
          </w:p>
        </w:tc>
        <w:tc>
          <w:tcPr>
            <w:tcW w:w="2800" w:type="dxa"/>
            <w:vAlign w:val="bottom"/>
            <w:vMerge w:val="restart"/>
            <w:shd w:val="clear" w:color="auto" w:fill="2D53A6"/>
          </w:tcPr>
          <w:p>
            <w:pPr>
              <w:jc w:val="center"/>
              <w:spacing w:after="0" w:line="288" w:lineRule="exact"/>
              <w:rPr>
                <w:sz w:val="20"/>
                <w:szCs w:val="20"/>
                <w:color w:val="auto"/>
              </w:rPr>
            </w:pPr>
            <w:r>
              <w:rPr>
                <w:rFonts w:ascii="Arial" w:cs="Arial" w:eastAsia="Arial" w:hAnsi="Arial"/>
                <w:sz w:val="18"/>
                <w:szCs w:val="18"/>
                <w:b w:val="1"/>
                <w:bCs w:val="1"/>
                <w:color w:val="FFFFFF"/>
                <w:w w:val="88"/>
              </w:rPr>
              <w:t xml:space="preserve">in column (a)) (c) </w:t>
            </w:r>
            <w:r>
              <w:rPr>
                <w:rFonts w:ascii="Arial" w:cs="Arial" w:eastAsia="Arial" w:hAnsi="Arial"/>
                <w:sz w:val="29"/>
                <w:szCs w:val="29"/>
                <w:b w:val="1"/>
                <w:bCs w:val="1"/>
                <w:color w:val="FFFFFF"/>
                <w:w w:val="88"/>
                <w:vertAlign w:val="superscript"/>
              </w:rPr>
              <w:t>(3)</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4"/>
        </w:trPr>
        <w:tc>
          <w:tcPr>
            <w:tcW w:w="2820" w:type="dxa"/>
            <w:vAlign w:val="bottom"/>
            <w:tcBorders>
              <w:bottom w:val="single" w:sz="8" w:color="2D53A6"/>
              <w:right w:val="single" w:sz="8" w:color="2D53A6"/>
            </w:tcBorders>
            <w:shd w:val="clear" w:color="auto" w:fill="2D53A6"/>
          </w:tcPr>
          <w:p>
            <w:pPr>
              <w:spacing w:after="0"/>
              <w:rPr>
                <w:sz w:val="20"/>
                <w:szCs w:val="20"/>
                <w:color w:val="auto"/>
              </w:rPr>
            </w:pPr>
          </w:p>
        </w:tc>
        <w:tc>
          <w:tcPr>
            <w:tcW w:w="2820" w:type="dxa"/>
            <w:vAlign w:val="bottom"/>
            <w:tcBorders>
              <w:bottom w:val="single" w:sz="8" w:color="2D53A6"/>
              <w:right w:val="single" w:sz="8" w:color="2D53A6"/>
            </w:tcBorders>
            <w:shd w:val="clear" w:color="auto" w:fill="2D53A6"/>
          </w:tcPr>
          <w:p>
            <w:pPr>
              <w:jc w:val="center"/>
              <w:spacing w:after="0" w:line="235" w:lineRule="exact"/>
              <w:rPr>
                <w:sz w:val="20"/>
                <w:szCs w:val="20"/>
                <w:color w:val="auto"/>
              </w:rPr>
            </w:pPr>
            <w:r>
              <w:rPr>
                <w:rFonts w:ascii="Arial" w:cs="Arial" w:eastAsia="Arial" w:hAnsi="Arial"/>
                <w:sz w:val="17"/>
                <w:szCs w:val="17"/>
                <w:b w:val="1"/>
                <w:bCs w:val="1"/>
                <w:color w:val="FFFFFF"/>
                <w:w w:val="88"/>
              </w:rPr>
              <w:t xml:space="preserve">(a) </w:t>
            </w:r>
            <w:r>
              <w:rPr>
                <w:rFonts w:ascii="Arial" w:cs="Arial" w:eastAsia="Arial" w:hAnsi="Arial"/>
                <w:sz w:val="27"/>
                <w:szCs w:val="27"/>
                <w:b w:val="1"/>
                <w:bCs w:val="1"/>
                <w:color w:val="FFFFFF"/>
                <w:w w:val="88"/>
                <w:vertAlign w:val="superscript"/>
              </w:rPr>
              <w:t>(1)</w:t>
            </w:r>
          </w:p>
        </w:tc>
        <w:tc>
          <w:tcPr>
            <w:tcW w:w="2800" w:type="dxa"/>
            <w:vAlign w:val="bottom"/>
            <w:tcBorders>
              <w:bottom w:val="single" w:sz="8" w:color="2D53A6"/>
              <w:right w:val="single" w:sz="8" w:color="2D53A6"/>
            </w:tcBorders>
            <w:vMerge w:val="continue"/>
            <w:shd w:val="clear" w:color="auto" w:fill="2D53A6"/>
          </w:tcPr>
          <w:p>
            <w:pPr>
              <w:spacing w:after="0"/>
              <w:rPr>
                <w:sz w:val="20"/>
                <w:szCs w:val="20"/>
                <w:color w:val="auto"/>
              </w:rPr>
            </w:pPr>
          </w:p>
        </w:tc>
        <w:tc>
          <w:tcPr>
            <w:tcW w:w="2800" w:type="dxa"/>
            <w:vAlign w:val="bottom"/>
            <w:tcBorders>
              <w:bottom w:val="single" w:sz="8" w:color="2D53A6"/>
            </w:tcBorders>
            <w:vMerge w:val="continue"/>
            <w:shd w:val="clear" w:color="auto" w:fill="2D53A6"/>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820" w:type="dxa"/>
            <w:vAlign w:val="bottom"/>
            <w:tcBorders>
              <w:top w:val="single" w:sz="8" w:color="auto"/>
              <w:right w:val="single" w:sz="8" w:color="2D53A6"/>
            </w:tcBorders>
          </w:tcPr>
          <w:p>
            <w:pPr>
              <w:spacing w:after="0" w:line="195" w:lineRule="exact"/>
              <w:rPr>
                <w:sz w:val="20"/>
                <w:szCs w:val="20"/>
                <w:color w:val="auto"/>
              </w:rPr>
            </w:pPr>
            <w:r>
              <w:rPr>
                <w:rFonts w:ascii="Arial" w:cs="Arial" w:eastAsia="Arial" w:hAnsi="Arial"/>
                <w:sz w:val="18"/>
                <w:szCs w:val="18"/>
                <w:color w:val="auto"/>
                <w:w w:val="94"/>
              </w:rPr>
              <w:t>Equity compensation plans approved</w:t>
            </w:r>
          </w:p>
        </w:tc>
        <w:tc>
          <w:tcPr>
            <w:tcW w:w="2820" w:type="dxa"/>
            <w:vAlign w:val="bottom"/>
            <w:tcBorders>
              <w:top w:val="single" w:sz="8" w:color="auto"/>
              <w:right w:val="single" w:sz="8" w:color="2D53A6"/>
            </w:tcBorders>
            <w:vMerge w:val="restart"/>
          </w:tcPr>
          <w:p>
            <w:pPr>
              <w:jc w:val="right"/>
              <w:spacing w:after="0"/>
              <w:rPr>
                <w:sz w:val="20"/>
                <w:szCs w:val="20"/>
                <w:color w:val="auto"/>
              </w:rPr>
            </w:pPr>
            <w:r>
              <w:rPr>
                <w:rFonts w:ascii="Arial" w:cs="Arial" w:eastAsia="Arial" w:hAnsi="Arial"/>
                <w:sz w:val="18"/>
                <w:szCs w:val="18"/>
                <w:color w:val="auto"/>
              </w:rPr>
              <w:t>1,454</w:t>
            </w:r>
          </w:p>
        </w:tc>
        <w:tc>
          <w:tcPr>
            <w:tcW w:w="2800" w:type="dxa"/>
            <w:vAlign w:val="bottom"/>
            <w:tcBorders>
              <w:top w:val="single" w:sz="8" w:color="auto"/>
              <w:right w:val="single" w:sz="8" w:color="2D53A6"/>
            </w:tcBorders>
            <w:vMerge w:val="restart"/>
          </w:tcPr>
          <w:p>
            <w:pPr>
              <w:jc w:val="right"/>
              <w:spacing w:after="0"/>
              <w:rPr>
                <w:sz w:val="20"/>
                <w:szCs w:val="20"/>
                <w:color w:val="auto"/>
              </w:rPr>
            </w:pPr>
            <w:r>
              <w:rPr>
                <w:rFonts w:ascii="Arial" w:cs="Arial" w:eastAsia="Arial" w:hAnsi="Arial"/>
                <w:sz w:val="18"/>
                <w:szCs w:val="18"/>
                <w:color w:val="auto"/>
              </w:rPr>
              <w:t>$9.44</w:t>
            </w:r>
          </w:p>
        </w:tc>
        <w:tc>
          <w:tcPr>
            <w:tcW w:w="28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1,883</w:t>
            </w: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2820" w:type="dxa"/>
            <w:vAlign w:val="bottom"/>
            <w:tcBorders>
              <w:right w:val="single" w:sz="8" w:color="2D53A6"/>
            </w:tcBorders>
            <w:vMerge w:val="restart"/>
          </w:tcPr>
          <w:p>
            <w:pPr>
              <w:spacing w:after="0"/>
              <w:rPr>
                <w:sz w:val="20"/>
                <w:szCs w:val="20"/>
                <w:color w:val="auto"/>
              </w:rPr>
            </w:pPr>
            <w:r>
              <w:rPr>
                <w:rFonts w:ascii="Arial" w:cs="Arial" w:eastAsia="Arial" w:hAnsi="Arial"/>
                <w:sz w:val="18"/>
                <w:szCs w:val="18"/>
                <w:color w:val="auto"/>
              </w:rPr>
              <w:t>by security holders</w:t>
            </w:r>
          </w:p>
        </w:tc>
        <w:tc>
          <w:tcPr>
            <w:tcW w:w="2820" w:type="dxa"/>
            <w:vAlign w:val="bottom"/>
            <w:tcBorders>
              <w:right w:val="single" w:sz="8" w:color="2D53A6"/>
            </w:tcBorders>
            <w:vMerge w:val="continue"/>
          </w:tcPr>
          <w:p>
            <w:pPr>
              <w:spacing w:after="0"/>
              <w:rPr>
                <w:sz w:val="10"/>
                <w:szCs w:val="10"/>
                <w:color w:val="auto"/>
              </w:rPr>
            </w:pPr>
          </w:p>
        </w:tc>
        <w:tc>
          <w:tcPr>
            <w:tcW w:w="2800" w:type="dxa"/>
            <w:vAlign w:val="bottom"/>
            <w:tcBorders>
              <w:right w:val="single" w:sz="8" w:color="2D53A6"/>
            </w:tcBorders>
            <w:vMerge w:val="continue"/>
          </w:tcPr>
          <w:p>
            <w:pPr>
              <w:spacing w:after="0"/>
              <w:rPr>
                <w:sz w:val="10"/>
                <w:szCs w:val="10"/>
                <w:color w:val="auto"/>
              </w:rPr>
            </w:pPr>
          </w:p>
        </w:tc>
        <w:tc>
          <w:tcPr>
            <w:tcW w:w="2800" w:type="dxa"/>
            <w:vAlign w:val="bottom"/>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20" w:type="dxa"/>
            <w:vAlign w:val="bottom"/>
            <w:tcBorders>
              <w:bottom w:val="single" w:sz="8" w:color="2D53A6"/>
              <w:right w:val="single" w:sz="8" w:color="2D53A6"/>
            </w:tcBorders>
            <w:vMerge w:val="continue"/>
          </w:tcPr>
          <w:p>
            <w:pPr>
              <w:spacing w:after="0"/>
              <w:rPr>
                <w:sz w:val="9"/>
                <w:szCs w:val="9"/>
                <w:color w:val="auto"/>
              </w:rPr>
            </w:pPr>
          </w:p>
        </w:tc>
        <w:tc>
          <w:tcPr>
            <w:tcW w:w="2820" w:type="dxa"/>
            <w:vAlign w:val="bottom"/>
            <w:tcBorders>
              <w:bottom w:val="single" w:sz="8" w:color="2D53A6"/>
              <w:right w:val="single" w:sz="8" w:color="2D53A6"/>
            </w:tcBorders>
          </w:tcPr>
          <w:p>
            <w:pPr>
              <w:spacing w:after="0"/>
              <w:rPr>
                <w:sz w:val="9"/>
                <w:szCs w:val="9"/>
                <w:color w:val="auto"/>
              </w:rPr>
            </w:pPr>
          </w:p>
        </w:tc>
        <w:tc>
          <w:tcPr>
            <w:tcW w:w="2800" w:type="dxa"/>
            <w:vAlign w:val="bottom"/>
            <w:tcBorders>
              <w:bottom w:val="single" w:sz="8" w:color="2D53A6"/>
              <w:right w:val="single" w:sz="8" w:color="2D53A6"/>
            </w:tcBorders>
          </w:tcPr>
          <w:p>
            <w:pPr>
              <w:spacing w:after="0"/>
              <w:rPr>
                <w:sz w:val="9"/>
                <w:szCs w:val="9"/>
                <w:color w:val="auto"/>
              </w:rPr>
            </w:pPr>
          </w:p>
        </w:tc>
        <w:tc>
          <w:tcPr>
            <w:tcW w:w="2800" w:type="dxa"/>
            <w:vAlign w:val="bottom"/>
            <w:tcBorders>
              <w:bottom w:val="single" w:sz="8" w:color="2D53A6"/>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2820" w:type="dxa"/>
            <w:vAlign w:val="bottom"/>
            <w:tcBorders>
              <w:right w:val="single" w:sz="8" w:color="2D53A6"/>
            </w:tcBorders>
          </w:tcPr>
          <w:p>
            <w:pPr>
              <w:spacing w:after="0" w:line="195" w:lineRule="exact"/>
              <w:rPr>
                <w:sz w:val="20"/>
                <w:szCs w:val="20"/>
                <w:color w:val="auto"/>
              </w:rPr>
            </w:pPr>
            <w:r>
              <w:rPr>
                <w:rFonts w:ascii="Arial" w:cs="Arial" w:eastAsia="Arial" w:hAnsi="Arial"/>
                <w:sz w:val="18"/>
                <w:szCs w:val="18"/>
                <w:color w:val="auto"/>
              </w:rPr>
              <w:t>Equity compensation plans not</w:t>
            </w:r>
          </w:p>
        </w:tc>
        <w:tc>
          <w:tcPr>
            <w:tcW w:w="28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8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2820" w:type="dxa"/>
            <w:vAlign w:val="bottom"/>
            <w:tcBorders>
              <w:right w:val="single" w:sz="8" w:color="2D53A6"/>
            </w:tcBorders>
            <w:vMerge w:val="restart"/>
          </w:tcPr>
          <w:p>
            <w:pPr>
              <w:spacing w:after="0"/>
              <w:rPr>
                <w:sz w:val="20"/>
                <w:szCs w:val="20"/>
                <w:color w:val="auto"/>
              </w:rPr>
            </w:pPr>
            <w:r>
              <w:rPr>
                <w:rFonts w:ascii="Arial" w:cs="Arial" w:eastAsia="Arial" w:hAnsi="Arial"/>
                <w:sz w:val="18"/>
                <w:szCs w:val="18"/>
                <w:color w:val="auto"/>
              </w:rPr>
              <w:t>approved by security holders</w:t>
            </w:r>
          </w:p>
        </w:tc>
        <w:tc>
          <w:tcPr>
            <w:tcW w:w="2820" w:type="dxa"/>
            <w:vAlign w:val="bottom"/>
            <w:vMerge w:val="continue"/>
          </w:tcPr>
          <w:p>
            <w:pPr>
              <w:spacing w:after="0"/>
              <w:rPr>
                <w:sz w:val="10"/>
                <w:szCs w:val="10"/>
                <w:color w:val="auto"/>
              </w:rPr>
            </w:pPr>
          </w:p>
        </w:tc>
        <w:tc>
          <w:tcPr>
            <w:tcW w:w="2800" w:type="dxa"/>
            <w:vAlign w:val="bottom"/>
            <w:vMerge w:val="continue"/>
          </w:tcPr>
          <w:p>
            <w:pPr>
              <w:spacing w:after="0"/>
              <w:rPr>
                <w:sz w:val="10"/>
                <w:szCs w:val="10"/>
                <w:color w:val="auto"/>
              </w:rPr>
            </w:pPr>
          </w:p>
        </w:tc>
        <w:tc>
          <w:tcPr>
            <w:tcW w:w="28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20" w:type="dxa"/>
            <w:vAlign w:val="bottom"/>
            <w:tcBorders>
              <w:bottom w:val="single" w:sz="8" w:color="2D53A6"/>
              <w:right w:val="single" w:sz="8" w:color="2D53A6"/>
            </w:tcBorders>
            <w:vMerge w:val="continue"/>
          </w:tcPr>
          <w:p>
            <w:pPr>
              <w:spacing w:after="0"/>
              <w:rPr>
                <w:sz w:val="9"/>
                <w:szCs w:val="9"/>
                <w:color w:val="auto"/>
              </w:rPr>
            </w:pPr>
          </w:p>
        </w:tc>
        <w:tc>
          <w:tcPr>
            <w:tcW w:w="2820" w:type="dxa"/>
            <w:vAlign w:val="bottom"/>
            <w:tcBorders>
              <w:bottom w:val="single" w:sz="8" w:color="auto"/>
            </w:tcBorders>
          </w:tcPr>
          <w:p>
            <w:pPr>
              <w:spacing w:after="0"/>
              <w:rPr>
                <w:sz w:val="9"/>
                <w:szCs w:val="9"/>
                <w:color w:val="auto"/>
              </w:rPr>
            </w:pPr>
          </w:p>
        </w:tc>
        <w:tc>
          <w:tcPr>
            <w:tcW w:w="2800" w:type="dxa"/>
            <w:vAlign w:val="bottom"/>
            <w:tcBorders>
              <w:bottom w:val="single" w:sz="8" w:color="auto"/>
            </w:tcBorders>
          </w:tcPr>
          <w:p>
            <w:pPr>
              <w:spacing w:after="0"/>
              <w:rPr>
                <w:sz w:val="9"/>
                <w:szCs w:val="9"/>
                <w:color w:val="auto"/>
              </w:rPr>
            </w:pPr>
          </w:p>
        </w:tc>
        <w:tc>
          <w:tcPr>
            <w:tcW w:w="2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820" w:type="dxa"/>
            <w:vAlign w:val="bottom"/>
            <w:tcBorders>
              <w:right w:val="single" w:sz="8" w:color="2D53A6"/>
            </w:tcBorders>
          </w:tcPr>
          <w:p>
            <w:pPr>
              <w:spacing w:after="0"/>
              <w:rPr>
                <w:sz w:val="18"/>
                <w:szCs w:val="18"/>
                <w:color w:val="auto"/>
              </w:rPr>
            </w:pPr>
          </w:p>
        </w:tc>
        <w:tc>
          <w:tcPr>
            <w:tcW w:w="2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1,454</w:t>
            </w:r>
          </w:p>
        </w:tc>
        <w:tc>
          <w:tcPr>
            <w:tcW w:w="2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$9.44</w:t>
            </w:r>
          </w:p>
        </w:tc>
        <w:tc>
          <w:tcPr>
            <w:tcW w:w="2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20" w:type="dxa"/>
            <w:vAlign w:val="bottom"/>
            <w:tcBorders>
              <w:bottom w:val="single" w:sz="8" w:color="2D53A6"/>
              <w:right w:val="single" w:sz="8" w:color="2D53A6"/>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3549650</wp:posOffset>
            </wp:positionH>
            <wp:positionV relativeFrom="paragraph">
              <wp:posOffset>-457835</wp:posOffset>
            </wp:positionV>
            <wp:extent cx="34290" cy="47117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290" cy="471170"/>
                    </a:xfrm>
                    <a:prstGeom prst="rect">
                      <a:avLst/>
                    </a:prstGeom>
                    <a:noFill/>
                  </pic:spPr>
                </pic:pic>
              </a:graphicData>
            </a:graphic>
          </wp:anchor>
        </w:drawing>
        <w:drawing>
          <wp:anchor simplePos="0" relativeHeight="251657728" behindDoc="1" locked="0" layoutInCell="0" allowOverlap="1">
            <wp:simplePos x="0" y="0"/>
            <wp:positionH relativeFrom="column">
              <wp:posOffset>5332730</wp:posOffset>
            </wp:positionH>
            <wp:positionV relativeFrom="paragraph">
              <wp:posOffset>-457835</wp:posOffset>
            </wp:positionV>
            <wp:extent cx="33655" cy="47117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655" cy="471170"/>
                    </a:xfrm>
                    <a:prstGeom prst="rect">
                      <a:avLst/>
                    </a:prstGeom>
                    <a:noFill/>
                  </pic:spPr>
                </pic:pic>
              </a:graphicData>
            </a:graphic>
          </wp:anchor>
        </w:drawing>
      </w:r>
    </w:p>
    <w:p>
      <w:pPr>
        <w:spacing w:after="0" w:line="182" w:lineRule="exact"/>
        <w:rPr>
          <w:sz w:val="20"/>
          <w:szCs w:val="20"/>
          <w:color w:val="auto"/>
        </w:rPr>
      </w:pPr>
    </w:p>
    <w:p>
      <w:pPr>
        <w:ind w:left="340" w:right="500" w:hanging="332"/>
        <w:spacing w:after="0" w:line="258"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Includes options, restricted stock units (RSUs) and performance stock units (PSUs) outstanding under Cohu’s equity incentive plans, as no stock warrants or other rights were outstanding as of December 25, 2021.</w:t>
      </w:r>
    </w:p>
    <w:p>
      <w:pPr>
        <w:spacing w:after="0" w:line="1" w:lineRule="exact"/>
        <w:rPr>
          <w:rFonts w:ascii="Arial" w:cs="Arial" w:eastAsia="Arial" w:hAnsi="Arial"/>
          <w:sz w:val="18"/>
          <w:szCs w:val="18"/>
          <w:color w:val="auto"/>
        </w:rPr>
      </w:pPr>
    </w:p>
    <w:p>
      <w:pPr>
        <w:ind w:left="340" w:right="220" w:hanging="332"/>
        <w:spacing w:after="0" w:line="250"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weighted average exercise price of outstanding options, warrants and rights does not take RSUs and PSUs into account as RSUs and PSUs have no exercise price.</w:t>
      </w: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Includes 507,353 shares of common stock reserved for future issuance under the Cohu 1997 Employee Stock Purchase Plan.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None of the Compensation Committee’s members during the last fiscal year have, at any time, been an officer or employee of Cohu. During fiscal 2021, no member of the Compensation Committee had any relationship with Cohu requiring disclosure under Item 404 of Regulation S-K. None of Cohu’s executive officers serves, or in fiscal 2021 has served, as a member of the board of directors or compensation committee of any entity that has one or more of its executive officers serving on Cohu’s Board or Compensation Committee.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Compensation Committee recently undertook, in consultation with its outside compensation advisory firm, Compensia, a review of its executive agreements. The objective of this review was to independently benchmark, assess best practices and develop standard agreements to be implemented as the Committee deemed appropriate among the Company’s executive officers. The Committee has approved a form of executive severance agreement (the “Severance Agreement”) and form of change in control agreement (the “Change in Control Agreement”) for certain of the Company’s executive officers (each, an “Executive”), as described below. The Company first entered into the Severance Agreements and Change in Control Agreements on September 8, 2020.</w:t>
      </w:r>
    </w:p>
    <w:p>
      <w:pPr>
        <w:spacing w:after="0" w:line="192"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The Severance Agreement provides that if an Executive’s employment is terminated by the Company without Cause, or additionally only in the case of Dr. Müller, if he voluntarily resigns for Good Reason, then, subject to the Executive’s continued compliance with the obligations set forth in the Executive’s Confidentiality and Inventions Agreement and the Executive’s signing and not revoking a separation agreement and release of claims, the Executive would be entitled to: (1) any expense reimbursements, wages and other benefits due to Executive under any Company-provided plans, policies and arrangements (the “Accrued Amounts”); (2) a lump sum payment equal to a multiplier (as summarized below) multiplied by the Executive’s annual base salary; and (3) reimbursement for the Executive’s COBRA continuation premiums for the Premium Payment Period (as summarized below). If an Executive’s employment with the Company terminates (A) voluntarily by the Executive (other than for Good Reason in the case of Dr. Müller), (B) for Cause by the Company, or (C) due to Executive’s death or disability, the Executive would not be entitled to receive any severance payments, but in the event of death their estate would be eligible for a pro-rata incentive bonus for the fiscal year in which the termination date occurs.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1" w:name="page52"/>
    <w:bookmarkEnd w:id="51"/>
    <w:p>
      <w:pPr>
        <w:ind w:right="20"/>
        <w:spacing w:after="0" w:line="286" w:lineRule="auto"/>
        <w:rPr>
          <w:sz w:val="20"/>
          <w:szCs w:val="20"/>
          <w:color w:val="auto"/>
        </w:rPr>
      </w:pPr>
      <w:r>
        <w:rPr>
          <w:rFonts w:ascii="Arial" w:cs="Arial" w:eastAsia="Arial" w:hAnsi="Arial"/>
          <w:sz w:val="16"/>
          <w:szCs w:val="16"/>
          <w:color w:val="auto"/>
        </w:rPr>
        <w:t>The Change in Control Agreement provides that if an Executive’s employment is terminated by the Company without Cause or the Executive voluntarily resigns for Good Reason, in either case beginning sixty (60) days preceding the date of an event constituting a Change in Control and ending on the second anniversary of the date of the event constituting such Change in Control, then, subject to the Executive’s continued compliance with the obligations set forth in the Executive’s Confidentiality and Inventions Agreement and the Executive’s signing and not revoking a separation agreement and release of claims, the Executive would be entitled to: (1) the Accrued Amounts; (2) a lump sum payment equal to a multiplier (as summarized below) multiplied by the Executive’s annual base salary; (3) a lump sum payment equal to a multiplier (as summarized below) multiplied by the Executive’s target bonus amount in the year of termination; a lump sum payment equal to the pro-rated portion of Executive’s target bonus amount for the fiscal year in which the termination date occurs; (5) reimbursement for the Executive’s COBRA continuation premiums for the Premium Payment Period (as summarized below); and (6) all of Executive’s then unvested awards relating to the Company’s common stock or equivalent equity awards as assumed, continued or substituted for by an Acquiror, whether stock options, shares of restricted stock, restricted stock units, performance share units, or otherwise, outstanding as of the Termination Date would become vested in full. If an Executive’s employment with the Company terminates (A) voluntarily by the Executive, other than for Good Reason, (B) for Cause by the Company, or (C) due to Executive’s death or disability, the Executive would not be entitled to receive any severance payments, but in the event of death their estate would be eligible for a pro- rata incentive bonus for the fiscal year in which the termination date occurs.</w:t>
      </w:r>
    </w:p>
    <w:p>
      <w:pPr>
        <w:spacing w:after="0" w:line="174"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The Agreements have a three (3) year Initial Term and will be automatically extended for successive two (2) year periods, unless either party has delivered written notice to the other party no later than six (6) months prior to the completion of the then effective Term that the Agreement will not be extended.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40" w:type="dxa"/>
            <w:vAlign w:val="bottom"/>
            <w:tcBorders>
              <w:bottom w:val="single" w:sz="8" w:color="auto"/>
              <w:right w:val="single" w:sz="8" w:color="auto"/>
            </w:tcBorders>
            <w:shd w:val="clear" w:color="auto" w:fill="2D53A6"/>
          </w:tcPr>
          <w:p>
            <w:pPr>
              <w:spacing w:after="0"/>
              <w:rPr>
                <w:sz w:val="18"/>
                <w:szCs w:val="18"/>
                <w:color w:val="auto"/>
              </w:rPr>
            </w:pPr>
          </w:p>
        </w:tc>
        <w:tc>
          <w:tcPr>
            <w:tcW w:w="3800" w:type="dxa"/>
            <w:vAlign w:val="bottom"/>
            <w:tcBorders>
              <w:bottom w:val="single" w:sz="8" w:color="auto"/>
              <w:right w:val="single" w:sz="8" w:color="auto"/>
            </w:tcBorders>
            <w:gridSpan w:val="2"/>
            <w:shd w:val="clear" w:color="auto" w:fill="2D53A6"/>
          </w:tcPr>
          <w:p>
            <w:pPr>
              <w:ind w:left="1040"/>
              <w:spacing w:after="0"/>
              <w:rPr>
                <w:sz w:val="20"/>
                <w:szCs w:val="20"/>
                <w:color w:val="auto"/>
              </w:rPr>
            </w:pPr>
            <w:r>
              <w:rPr>
                <w:rFonts w:ascii="Arial" w:cs="Arial" w:eastAsia="Arial" w:hAnsi="Arial"/>
                <w:sz w:val="18"/>
                <w:szCs w:val="18"/>
                <w:b w:val="1"/>
                <w:bCs w:val="1"/>
                <w:color w:val="FFFFFF"/>
              </w:rPr>
              <w:t>Severance Agreement</w:t>
            </w:r>
          </w:p>
        </w:tc>
        <w:tc>
          <w:tcPr>
            <w:tcW w:w="3800" w:type="dxa"/>
            <w:vAlign w:val="bottom"/>
            <w:tcBorders>
              <w:bottom w:val="single" w:sz="8" w:color="auto"/>
            </w:tcBorders>
            <w:gridSpan w:val="2"/>
            <w:shd w:val="clear" w:color="auto" w:fill="2D53A6"/>
          </w:tcPr>
          <w:p>
            <w:pPr>
              <w:ind w:left="740"/>
              <w:spacing w:after="0"/>
              <w:rPr>
                <w:sz w:val="20"/>
                <w:szCs w:val="20"/>
                <w:color w:val="auto"/>
              </w:rPr>
            </w:pPr>
            <w:r>
              <w:rPr>
                <w:rFonts w:ascii="Arial" w:cs="Arial" w:eastAsia="Arial" w:hAnsi="Arial"/>
                <w:sz w:val="18"/>
                <w:szCs w:val="18"/>
                <w:b w:val="1"/>
                <w:bCs w:val="1"/>
                <w:color w:val="FFFFFF"/>
              </w:rPr>
              <w:t>Change in Control Agreement</w:t>
            </w:r>
          </w:p>
        </w:tc>
      </w:tr>
      <w:tr>
        <w:trPr>
          <w:trHeight w:val="191"/>
        </w:trPr>
        <w:tc>
          <w:tcPr>
            <w:tcW w:w="3640" w:type="dxa"/>
            <w:vAlign w:val="bottom"/>
            <w:tcBorders>
              <w:right w:val="single" w:sz="8" w:color="auto"/>
            </w:tcBorders>
            <w:shd w:val="clear" w:color="auto" w:fill="2D53A6"/>
          </w:tcPr>
          <w:p>
            <w:pPr>
              <w:spacing w:after="0"/>
              <w:rPr>
                <w:sz w:val="16"/>
                <w:szCs w:val="16"/>
                <w:color w:val="auto"/>
              </w:rPr>
            </w:pPr>
          </w:p>
        </w:tc>
        <w:tc>
          <w:tcPr>
            <w:tcW w:w="1760" w:type="dxa"/>
            <w:vAlign w:val="bottom"/>
            <w:tcBorders>
              <w:right w:val="single" w:sz="8" w:color="auto"/>
            </w:tcBorders>
            <w:shd w:val="clear" w:color="auto" w:fill="2D53A6"/>
          </w:tcPr>
          <w:p>
            <w:pPr>
              <w:spacing w:after="0"/>
              <w:rPr>
                <w:sz w:val="16"/>
                <w:szCs w:val="16"/>
                <w:color w:val="auto"/>
              </w:rPr>
            </w:pPr>
          </w:p>
        </w:tc>
        <w:tc>
          <w:tcPr>
            <w:tcW w:w="2040" w:type="dxa"/>
            <w:vAlign w:val="bottom"/>
            <w:tcBorders>
              <w:right w:val="single" w:sz="8" w:color="auto"/>
            </w:tcBorders>
            <w:shd w:val="clear" w:color="auto" w:fill="2D53A6"/>
          </w:tcPr>
          <w:p>
            <w:pPr>
              <w:jc w:val="center"/>
              <w:spacing w:after="0" w:line="191" w:lineRule="exact"/>
              <w:rPr>
                <w:sz w:val="20"/>
                <w:szCs w:val="20"/>
                <w:color w:val="auto"/>
              </w:rPr>
            </w:pPr>
            <w:r>
              <w:rPr>
                <w:rFonts w:ascii="Arial" w:cs="Arial" w:eastAsia="Arial" w:hAnsi="Arial"/>
                <w:sz w:val="18"/>
                <w:szCs w:val="18"/>
                <w:b w:val="1"/>
                <w:bCs w:val="1"/>
                <w:color w:val="FFFFFF"/>
                <w:w w:val="96"/>
              </w:rPr>
              <w:t>COBRA</w:t>
            </w:r>
          </w:p>
        </w:tc>
        <w:tc>
          <w:tcPr>
            <w:tcW w:w="1740" w:type="dxa"/>
            <w:vAlign w:val="bottom"/>
            <w:tcBorders>
              <w:right w:val="single" w:sz="8" w:color="auto"/>
            </w:tcBorders>
            <w:shd w:val="clear" w:color="auto" w:fill="2D53A6"/>
          </w:tcPr>
          <w:p>
            <w:pPr>
              <w:spacing w:after="0"/>
              <w:rPr>
                <w:sz w:val="16"/>
                <w:szCs w:val="16"/>
                <w:color w:val="auto"/>
              </w:rPr>
            </w:pPr>
          </w:p>
        </w:tc>
        <w:tc>
          <w:tcPr>
            <w:tcW w:w="2060" w:type="dxa"/>
            <w:vAlign w:val="bottom"/>
            <w:shd w:val="clear" w:color="auto" w:fill="2D53A6"/>
          </w:tcPr>
          <w:p>
            <w:pPr>
              <w:jc w:val="center"/>
              <w:spacing w:after="0" w:line="191" w:lineRule="exact"/>
              <w:rPr>
                <w:sz w:val="20"/>
                <w:szCs w:val="20"/>
                <w:color w:val="auto"/>
              </w:rPr>
            </w:pPr>
            <w:r>
              <w:rPr>
                <w:rFonts w:ascii="Arial" w:cs="Arial" w:eastAsia="Arial" w:hAnsi="Arial"/>
                <w:sz w:val="18"/>
                <w:szCs w:val="18"/>
                <w:b w:val="1"/>
                <w:bCs w:val="1"/>
                <w:color w:val="FFFFFF"/>
                <w:w w:val="99"/>
              </w:rPr>
              <w:t>COBRA</w:t>
            </w:r>
          </w:p>
        </w:tc>
      </w:tr>
      <w:tr>
        <w:trPr>
          <w:trHeight w:val="216"/>
        </w:trPr>
        <w:tc>
          <w:tcPr>
            <w:tcW w:w="3640" w:type="dxa"/>
            <w:vAlign w:val="bottom"/>
            <w:tcBorders>
              <w:right w:val="single" w:sz="8" w:color="auto"/>
            </w:tcBorders>
            <w:shd w:val="clear" w:color="auto" w:fill="2D53A6"/>
          </w:tcPr>
          <w:p>
            <w:pPr>
              <w:spacing w:after="0"/>
              <w:rPr>
                <w:sz w:val="20"/>
                <w:szCs w:val="20"/>
                <w:color w:val="auto"/>
              </w:rPr>
            </w:pPr>
            <w:r>
              <w:rPr>
                <w:rFonts w:ascii="Arial" w:cs="Arial" w:eastAsia="Arial" w:hAnsi="Arial"/>
                <w:sz w:val="18"/>
                <w:szCs w:val="18"/>
                <w:b w:val="1"/>
                <w:bCs w:val="1"/>
                <w:color w:val="FFFFFF"/>
              </w:rPr>
              <w:t>Named Executive Officer</w:t>
            </w:r>
          </w:p>
        </w:tc>
        <w:tc>
          <w:tcPr>
            <w:tcW w:w="1760" w:type="dxa"/>
            <w:vAlign w:val="bottom"/>
            <w:tcBorders>
              <w:right w:val="single" w:sz="8" w:color="auto"/>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9"/>
              </w:rPr>
              <w:t>Multiplier</w:t>
            </w:r>
          </w:p>
        </w:tc>
        <w:tc>
          <w:tcPr>
            <w:tcW w:w="2040" w:type="dxa"/>
            <w:vAlign w:val="bottom"/>
            <w:tcBorders>
              <w:right w:val="single" w:sz="8" w:color="auto"/>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3"/>
              </w:rPr>
              <w:t>Premium</w:t>
            </w:r>
          </w:p>
        </w:tc>
        <w:tc>
          <w:tcPr>
            <w:tcW w:w="1740" w:type="dxa"/>
            <w:vAlign w:val="bottom"/>
            <w:tcBorders>
              <w:right w:val="single" w:sz="8" w:color="auto"/>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9"/>
              </w:rPr>
              <w:t>Multiplier</w:t>
            </w:r>
          </w:p>
        </w:tc>
        <w:tc>
          <w:tcPr>
            <w:tcW w:w="2060" w:type="dxa"/>
            <w:vAlign w:val="bottom"/>
            <w:shd w:val="clear" w:color="auto" w:fill="2D53A6"/>
          </w:tcPr>
          <w:p>
            <w:pPr>
              <w:jc w:val="center"/>
              <w:spacing w:after="0"/>
              <w:rPr>
                <w:sz w:val="20"/>
                <w:szCs w:val="20"/>
                <w:color w:val="auto"/>
              </w:rPr>
            </w:pPr>
            <w:r>
              <w:rPr>
                <w:rFonts w:ascii="Arial" w:cs="Arial" w:eastAsia="Arial" w:hAnsi="Arial"/>
                <w:sz w:val="18"/>
                <w:szCs w:val="18"/>
                <w:b w:val="1"/>
                <w:bCs w:val="1"/>
                <w:color w:val="FFFFFF"/>
                <w:w w:val="93"/>
              </w:rPr>
              <w:t>Premium</w:t>
            </w:r>
          </w:p>
        </w:tc>
      </w:tr>
      <w:tr>
        <w:trPr>
          <w:trHeight w:val="234"/>
        </w:trPr>
        <w:tc>
          <w:tcPr>
            <w:tcW w:w="3640" w:type="dxa"/>
            <w:vAlign w:val="bottom"/>
            <w:tcBorders>
              <w:bottom w:val="single" w:sz="8" w:color="auto"/>
              <w:right w:val="single" w:sz="8" w:color="auto"/>
            </w:tcBorders>
            <w:shd w:val="clear" w:color="auto" w:fill="2D53A6"/>
          </w:tcPr>
          <w:p>
            <w:pPr>
              <w:spacing w:after="0"/>
              <w:rPr>
                <w:sz w:val="20"/>
                <w:szCs w:val="20"/>
                <w:color w:val="auto"/>
              </w:rPr>
            </w:pPr>
          </w:p>
        </w:tc>
        <w:tc>
          <w:tcPr>
            <w:tcW w:w="1760" w:type="dxa"/>
            <w:vAlign w:val="bottom"/>
            <w:tcBorders>
              <w:bottom w:val="single" w:sz="8" w:color="auto"/>
              <w:right w:val="single" w:sz="8" w:color="auto"/>
            </w:tcBorders>
            <w:shd w:val="clear" w:color="auto" w:fill="2D53A6"/>
          </w:tcPr>
          <w:p>
            <w:pPr>
              <w:spacing w:after="0"/>
              <w:rPr>
                <w:sz w:val="20"/>
                <w:szCs w:val="20"/>
                <w:color w:val="auto"/>
              </w:rPr>
            </w:pPr>
          </w:p>
        </w:tc>
        <w:tc>
          <w:tcPr>
            <w:tcW w:w="2040" w:type="dxa"/>
            <w:vAlign w:val="bottom"/>
            <w:tcBorders>
              <w:bottom w:val="single" w:sz="8" w:color="auto"/>
              <w:right w:val="single" w:sz="8" w:color="auto"/>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1"/>
              </w:rPr>
              <w:t>Payment Period</w:t>
            </w:r>
          </w:p>
        </w:tc>
        <w:tc>
          <w:tcPr>
            <w:tcW w:w="1740" w:type="dxa"/>
            <w:vAlign w:val="bottom"/>
            <w:tcBorders>
              <w:bottom w:val="single" w:sz="8" w:color="auto"/>
              <w:right w:val="single" w:sz="8" w:color="auto"/>
            </w:tcBorders>
            <w:shd w:val="clear" w:color="auto" w:fill="2D53A6"/>
          </w:tcPr>
          <w:p>
            <w:pPr>
              <w:spacing w:after="0"/>
              <w:rPr>
                <w:sz w:val="20"/>
                <w:szCs w:val="20"/>
                <w:color w:val="auto"/>
              </w:rPr>
            </w:pPr>
          </w:p>
        </w:tc>
        <w:tc>
          <w:tcPr>
            <w:tcW w:w="2060" w:type="dxa"/>
            <w:vAlign w:val="bottom"/>
            <w:tcBorders>
              <w:bottom w:val="single" w:sz="8" w:color="auto"/>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89"/>
              </w:rPr>
              <w:t>Payment Period</w:t>
            </w:r>
          </w:p>
        </w:tc>
      </w:tr>
      <w:tr>
        <w:trPr>
          <w:trHeight w:val="195"/>
        </w:trPr>
        <w:tc>
          <w:tcPr>
            <w:tcW w:w="3640" w:type="dxa"/>
            <w:vAlign w:val="bottom"/>
            <w:tcBorders>
              <w:right w:val="single" w:sz="8" w:color="2D53A6"/>
            </w:tcBorders>
          </w:tcPr>
          <w:p>
            <w:pPr>
              <w:spacing w:after="0" w:line="195" w:lineRule="exact"/>
              <w:rPr>
                <w:sz w:val="20"/>
                <w:szCs w:val="20"/>
                <w:color w:val="auto"/>
              </w:rPr>
            </w:pPr>
            <w:r>
              <w:rPr>
                <w:rFonts w:ascii="Arial" w:cs="Arial" w:eastAsia="Arial" w:hAnsi="Arial"/>
                <w:sz w:val="18"/>
                <w:szCs w:val="18"/>
                <w:color w:val="auto"/>
              </w:rPr>
              <w:t>Luis A. Müller</w:t>
            </w:r>
          </w:p>
        </w:tc>
        <w:tc>
          <w:tcPr>
            <w:tcW w:w="1760" w:type="dxa"/>
            <w:vAlign w:val="bottom"/>
            <w:tcBorders>
              <w:right w:val="single" w:sz="8" w:color="2D53A6"/>
            </w:tcBorders>
          </w:tcPr>
          <w:p>
            <w:pPr>
              <w:jc w:val="center"/>
              <w:spacing w:after="0" w:line="195" w:lineRule="exact"/>
              <w:rPr>
                <w:sz w:val="20"/>
                <w:szCs w:val="20"/>
                <w:color w:val="auto"/>
              </w:rPr>
            </w:pPr>
            <w:r>
              <w:rPr>
                <w:rFonts w:ascii="Arial" w:cs="Arial" w:eastAsia="Arial" w:hAnsi="Arial"/>
                <w:sz w:val="18"/>
                <w:szCs w:val="18"/>
                <w:color w:val="auto"/>
                <w:w w:val="91"/>
              </w:rPr>
              <w:t>150%</w:t>
            </w:r>
          </w:p>
        </w:tc>
        <w:tc>
          <w:tcPr>
            <w:tcW w:w="2040" w:type="dxa"/>
            <w:vAlign w:val="bottom"/>
            <w:tcBorders>
              <w:right w:val="single" w:sz="8" w:color="2D53A6"/>
            </w:tcBorders>
          </w:tcPr>
          <w:p>
            <w:pPr>
              <w:jc w:val="center"/>
              <w:spacing w:after="0" w:line="195" w:lineRule="exact"/>
              <w:rPr>
                <w:sz w:val="20"/>
                <w:szCs w:val="20"/>
                <w:color w:val="auto"/>
              </w:rPr>
            </w:pPr>
            <w:r>
              <w:rPr>
                <w:rFonts w:ascii="Arial" w:cs="Arial" w:eastAsia="Arial" w:hAnsi="Arial"/>
                <w:sz w:val="18"/>
                <w:szCs w:val="18"/>
                <w:color w:val="auto"/>
                <w:w w:val="90"/>
              </w:rPr>
              <w:t>18 months</w:t>
            </w:r>
          </w:p>
        </w:tc>
        <w:tc>
          <w:tcPr>
            <w:tcW w:w="1740" w:type="dxa"/>
            <w:vAlign w:val="bottom"/>
            <w:tcBorders>
              <w:right w:val="single" w:sz="8" w:color="2D53A6"/>
            </w:tcBorders>
          </w:tcPr>
          <w:p>
            <w:pPr>
              <w:jc w:val="center"/>
              <w:spacing w:after="0" w:line="195" w:lineRule="exact"/>
              <w:rPr>
                <w:sz w:val="20"/>
                <w:szCs w:val="20"/>
                <w:color w:val="auto"/>
              </w:rPr>
            </w:pPr>
            <w:r>
              <w:rPr>
                <w:rFonts w:ascii="Arial" w:cs="Arial" w:eastAsia="Arial" w:hAnsi="Arial"/>
                <w:sz w:val="18"/>
                <w:szCs w:val="18"/>
                <w:color w:val="auto"/>
                <w:w w:val="91"/>
              </w:rPr>
              <w:t>200%</w:t>
            </w:r>
          </w:p>
        </w:tc>
        <w:tc>
          <w:tcPr>
            <w:tcW w:w="2060" w:type="dxa"/>
            <w:vAlign w:val="bottom"/>
          </w:tcPr>
          <w:p>
            <w:pPr>
              <w:jc w:val="center"/>
              <w:spacing w:after="0" w:line="195" w:lineRule="exact"/>
              <w:rPr>
                <w:sz w:val="20"/>
                <w:szCs w:val="20"/>
                <w:color w:val="auto"/>
              </w:rPr>
            </w:pPr>
            <w:r>
              <w:rPr>
                <w:rFonts w:ascii="Arial" w:cs="Arial" w:eastAsia="Arial" w:hAnsi="Arial"/>
                <w:sz w:val="18"/>
                <w:szCs w:val="18"/>
                <w:color w:val="auto"/>
                <w:w w:val="90"/>
              </w:rPr>
              <w:t>24 months</w:t>
            </w:r>
          </w:p>
        </w:tc>
      </w:tr>
      <w:tr>
        <w:trPr>
          <w:trHeight w:val="230"/>
        </w:trPr>
        <w:tc>
          <w:tcPr>
            <w:tcW w:w="3640" w:type="dxa"/>
            <w:vAlign w:val="bottom"/>
            <w:tcBorders>
              <w:bottom w:val="single" w:sz="8" w:color="2D53A6"/>
              <w:right w:val="single" w:sz="8" w:color="2D53A6"/>
            </w:tcBorders>
          </w:tcPr>
          <w:p>
            <w:pPr>
              <w:spacing w:after="0"/>
              <w:rPr>
                <w:sz w:val="20"/>
                <w:szCs w:val="20"/>
                <w:color w:val="auto"/>
              </w:rPr>
            </w:pPr>
            <w:r>
              <w:rPr>
                <w:rFonts w:ascii="Arial" w:cs="Arial" w:eastAsia="Arial" w:hAnsi="Arial"/>
                <w:sz w:val="18"/>
                <w:szCs w:val="18"/>
                <w:i w:val="1"/>
                <w:iCs w:val="1"/>
                <w:color w:val="auto"/>
              </w:rPr>
              <w:t>President &amp; CEO</w:t>
            </w:r>
          </w:p>
        </w:tc>
        <w:tc>
          <w:tcPr>
            <w:tcW w:w="1760" w:type="dxa"/>
            <w:vAlign w:val="bottom"/>
            <w:tcBorders>
              <w:bottom w:val="single" w:sz="8" w:color="2D53A6"/>
              <w:right w:val="single" w:sz="8" w:color="2D53A6"/>
            </w:tcBorders>
          </w:tcPr>
          <w:p>
            <w:pPr>
              <w:spacing w:after="0"/>
              <w:rPr>
                <w:sz w:val="20"/>
                <w:szCs w:val="20"/>
                <w:color w:val="auto"/>
              </w:rPr>
            </w:pPr>
          </w:p>
        </w:tc>
        <w:tc>
          <w:tcPr>
            <w:tcW w:w="2040" w:type="dxa"/>
            <w:vAlign w:val="bottom"/>
            <w:tcBorders>
              <w:bottom w:val="single" w:sz="8" w:color="2D53A6"/>
              <w:right w:val="single" w:sz="8" w:color="2D53A6"/>
            </w:tcBorders>
          </w:tcPr>
          <w:p>
            <w:pPr>
              <w:spacing w:after="0"/>
              <w:rPr>
                <w:sz w:val="20"/>
                <w:szCs w:val="20"/>
                <w:color w:val="auto"/>
              </w:rPr>
            </w:pPr>
          </w:p>
        </w:tc>
        <w:tc>
          <w:tcPr>
            <w:tcW w:w="1740" w:type="dxa"/>
            <w:vAlign w:val="bottom"/>
            <w:tcBorders>
              <w:bottom w:val="single" w:sz="8" w:color="2D53A6"/>
              <w:right w:val="single" w:sz="8" w:color="2D53A6"/>
            </w:tcBorders>
          </w:tcPr>
          <w:p>
            <w:pPr>
              <w:spacing w:after="0"/>
              <w:rPr>
                <w:sz w:val="20"/>
                <w:szCs w:val="20"/>
                <w:color w:val="auto"/>
              </w:rPr>
            </w:pPr>
          </w:p>
        </w:tc>
        <w:tc>
          <w:tcPr>
            <w:tcW w:w="2060" w:type="dxa"/>
            <w:vAlign w:val="bottom"/>
            <w:tcBorders>
              <w:bottom w:val="single" w:sz="8" w:color="2D53A6"/>
            </w:tcBorders>
          </w:tcPr>
          <w:p>
            <w:pPr>
              <w:spacing w:after="0"/>
              <w:rPr>
                <w:sz w:val="20"/>
                <w:szCs w:val="20"/>
                <w:color w:val="auto"/>
              </w:rPr>
            </w:pPr>
          </w:p>
        </w:tc>
      </w:tr>
      <w:tr>
        <w:trPr>
          <w:trHeight w:val="209"/>
        </w:trPr>
        <w:tc>
          <w:tcPr>
            <w:tcW w:w="3640" w:type="dxa"/>
            <w:vAlign w:val="bottom"/>
            <w:tcBorders>
              <w:right w:val="single" w:sz="8" w:color="2D53A6"/>
            </w:tcBorders>
            <w:shd w:val="clear" w:color="auto" w:fill="E6E6E6"/>
          </w:tcPr>
          <w:p>
            <w:pPr>
              <w:spacing w:after="0"/>
              <w:rPr>
                <w:sz w:val="20"/>
                <w:szCs w:val="20"/>
                <w:color w:val="auto"/>
              </w:rPr>
            </w:pPr>
            <w:r>
              <w:rPr>
                <w:rFonts w:ascii="Arial" w:cs="Arial" w:eastAsia="Arial" w:hAnsi="Arial"/>
                <w:sz w:val="18"/>
                <w:szCs w:val="18"/>
                <w:color w:val="auto"/>
              </w:rPr>
              <w:t>Jeffrey D. Jones</w:t>
            </w:r>
          </w:p>
        </w:tc>
        <w:tc>
          <w:tcPr>
            <w:tcW w:w="1760" w:type="dxa"/>
            <w:vAlign w:val="bottom"/>
            <w:tcBorders>
              <w:right w:val="single" w:sz="8" w:color="2D53A6"/>
            </w:tcBorders>
            <w:shd w:val="clear" w:color="auto" w:fill="E6E6E6"/>
          </w:tcPr>
          <w:p>
            <w:pPr>
              <w:spacing w:after="0"/>
              <w:rPr>
                <w:sz w:val="18"/>
                <w:szCs w:val="18"/>
                <w:color w:val="auto"/>
              </w:rPr>
            </w:pPr>
          </w:p>
        </w:tc>
        <w:tc>
          <w:tcPr>
            <w:tcW w:w="2040" w:type="dxa"/>
            <w:vAlign w:val="bottom"/>
            <w:tcBorders>
              <w:right w:val="single" w:sz="8" w:color="2D53A6"/>
            </w:tcBorders>
            <w:shd w:val="clear" w:color="auto" w:fill="E6E6E6"/>
          </w:tcPr>
          <w:p>
            <w:pPr>
              <w:spacing w:after="0"/>
              <w:rPr>
                <w:sz w:val="18"/>
                <w:szCs w:val="18"/>
                <w:color w:val="auto"/>
              </w:rPr>
            </w:pPr>
          </w:p>
        </w:tc>
        <w:tc>
          <w:tcPr>
            <w:tcW w:w="1740" w:type="dxa"/>
            <w:vAlign w:val="bottom"/>
            <w:tcBorders>
              <w:right w:val="single" w:sz="8" w:color="2D53A6"/>
            </w:tcBorders>
            <w:shd w:val="clear" w:color="auto" w:fill="E6E6E6"/>
          </w:tcPr>
          <w:p>
            <w:pPr>
              <w:spacing w:after="0"/>
              <w:rPr>
                <w:sz w:val="18"/>
                <w:szCs w:val="18"/>
                <w:color w:val="auto"/>
              </w:rPr>
            </w:pPr>
          </w:p>
        </w:tc>
        <w:tc>
          <w:tcPr>
            <w:tcW w:w="2060" w:type="dxa"/>
            <w:vAlign w:val="bottom"/>
            <w:shd w:val="clear" w:color="auto" w:fill="E6E6E6"/>
          </w:tcPr>
          <w:p>
            <w:pPr>
              <w:spacing w:after="0"/>
              <w:rPr>
                <w:sz w:val="18"/>
                <w:szCs w:val="18"/>
                <w:color w:val="auto"/>
              </w:rPr>
            </w:pPr>
          </w:p>
        </w:tc>
      </w:tr>
      <w:tr>
        <w:trPr>
          <w:trHeight w:val="202"/>
        </w:trPr>
        <w:tc>
          <w:tcPr>
            <w:tcW w:w="3640" w:type="dxa"/>
            <w:vAlign w:val="bottom"/>
            <w:tcBorders>
              <w:right w:val="single" w:sz="8" w:color="2D53A6"/>
            </w:tcBorders>
            <w:shd w:val="clear" w:color="auto" w:fill="E6E6E6"/>
          </w:tcPr>
          <w:p>
            <w:pPr>
              <w:spacing w:after="0" w:line="201" w:lineRule="exact"/>
              <w:rPr>
                <w:sz w:val="20"/>
                <w:szCs w:val="20"/>
                <w:color w:val="auto"/>
              </w:rPr>
            </w:pPr>
            <w:r>
              <w:rPr>
                <w:rFonts w:ascii="Arial" w:cs="Arial" w:eastAsia="Arial" w:hAnsi="Arial"/>
                <w:sz w:val="18"/>
                <w:szCs w:val="18"/>
                <w:i w:val="1"/>
                <w:iCs w:val="1"/>
                <w:color w:val="auto"/>
              </w:rPr>
              <w:t>Sr. Vice President, Finance &amp; Chief</w:t>
            </w:r>
          </w:p>
        </w:tc>
        <w:tc>
          <w:tcPr>
            <w:tcW w:w="1760" w:type="dxa"/>
            <w:vAlign w:val="bottom"/>
            <w:tcBorders>
              <w:right w:val="single" w:sz="8" w:color="2D53A6"/>
            </w:tcBorders>
            <w:shd w:val="clear" w:color="auto" w:fill="E6E6E6"/>
          </w:tcPr>
          <w:p>
            <w:pPr>
              <w:jc w:val="center"/>
              <w:spacing w:after="0" w:line="201" w:lineRule="exact"/>
              <w:rPr>
                <w:sz w:val="20"/>
                <w:szCs w:val="20"/>
                <w:color w:val="auto"/>
              </w:rPr>
            </w:pPr>
            <w:r>
              <w:rPr>
                <w:rFonts w:ascii="Arial" w:cs="Arial" w:eastAsia="Arial" w:hAnsi="Arial"/>
                <w:sz w:val="18"/>
                <w:szCs w:val="18"/>
                <w:color w:val="auto"/>
                <w:w w:val="91"/>
              </w:rPr>
              <w:t>100%</w:t>
            </w:r>
          </w:p>
        </w:tc>
        <w:tc>
          <w:tcPr>
            <w:tcW w:w="2040" w:type="dxa"/>
            <w:vAlign w:val="bottom"/>
            <w:tcBorders>
              <w:right w:val="single" w:sz="8" w:color="2D53A6"/>
            </w:tcBorders>
            <w:shd w:val="clear" w:color="auto" w:fill="E6E6E6"/>
          </w:tcPr>
          <w:p>
            <w:pPr>
              <w:jc w:val="center"/>
              <w:spacing w:after="0" w:line="201" w:lineRule="exact"/>
              <w:rPr>
                <w:sz w:val="20"/>
                <w:szCs w:val="20"/>
                <w:color w:val="auto"/>
              </w:rPr>
            </w:pPr>
            <w:r>
              <w:rPr>
                <w:rFonts w:ascii="Arial" w:cs="Arial" w:eastAsia="Arial" w:hAnsi="Arial"/>
                <w:sz w:val="18"/>
                <w:szCs w:val="18"/>
                <w:color w:val="auto"/>
                <w:w w:val="90"/>
              </w:rPr>
              <w:t>12 months</w:t>
            </w:r>
          </w:p>
        </w:tc>
        <w:tc>
          <w:tcPr>
            <w:tcW w:w="1740" w:type="dxa"/>
            <w:vAlign w:val="bottom"/>
            <w:tcBorders>
              <w:right w:val="single" w:sz="8" w:color="2D53A6"/>
            </w:tcBorders>
            <w:shd w:val="clear" w:color="auto" w:fill="E6E6E6"/>
          </w:tcPr>
          <w:p>
            <w:pPr>
              <w:jc w:val="center"/>
              <w:spacing w:after="0" w:line="201" w:lineRule="exact"/>
              <w:rPr>
                <w:sz w:val="20"/>
                <w:szCs w:val="20"/>
                <w:color w:val="auto"/>
              </w:rPr>
            </w:pPr>
            <w:r>
              <w:rPr>
                <w:rFonts w:ascii="Arial" w:cs="Arial" w:eastAsia="Arial" w:hAnsi="Arial"/>
                <w:sz w:val="18"/>
                <w:szCs w:val="18"/>
                <w:color w:val="auto"/>
                <w:w w:val="91"/>
              </w:rPr>
              <w:t>150%</w:t>
            </w:r>
          </w:p>
        </w:tc>
        <w:tc>
          <w:tcPr>
            <w:tcW w:w="2060" w:type="dxa"/>
            <w:vAlign w:val="bottom"/>
            <w:shd w:val="clear" w:color="auto" w:fill="E6E6E6"/>
          </w:tcPr>
          <w:p>
            <w:pPr>
              <w:jc w:val="center"/>
              <w:spacing w:after="0" w:line="201" w:lineRule="exact"/>
              <w:rPr>
                <w:sz w:val="20"/>
                <w:szCs w:val="20"/>
                <w:color w:val="auto"/>
              </w:rPr>
            </w:pPr>
            <w:r>
              <w:rPr>
                <w:rFonts w:ascii="Arial" w:cs="Arial" w:eastAsia="Arial" w:hAnsi="Arial"/>
                <w:sz w:val="18"/>
                <w:szCs w:val="18"/>
                <w:color w:val="auto"/>
                <w:w w:val="90"/>
              </w:rPr>
              <w:t>18 months</w:t>
            </w:r>
          </w:p>
        </w:tc>
      </w:tr>
      <w:tr>
        <w:trPr>
          <w:trHeight w:val="230"/>
        </w:trPr>
        <w:tc>
          <w:tcPr>
            <w:tcW w:w="3640" w:type="dxa"/>
            <w:vAlign w:val="bottom"/>
            <w:tcBorders>
              <w:bottom w:val="single" w:sz="8" w:color="2D53A6"/>
              <w:right w:val="single" w:sz="8" w:color="2D53A6"/>
            </w:tcBorders>
            <w:shd w:val="clear" w:color="auto" w:fill="E6E6E6"/>
          </w:tcPr>
          <w:p>
            <w:pPr>
              <w:spacing w:after="0"/>
              <w:rPr>
                <w:sz w:val="20"/>
                <w:szCs w:val="20"/>
                <w:color w:val="auto"/>
              </w:rPr>
            </w:pPr>
            <w:r>
              <w:rPr>
                <w:rFonts w:ascii="Arial" w:cs="Arial" w:eastAsia="Arial" w:hAnsi="Arial"/>
                <w:sz w:val="18"/>
                <w:szCs w:val="18"/>
                <w:i w:val="1"/>
                <w:iCs w:val="1"/>
                <w:color w:val="auto"/>
              </w:rPr>
              <w:t>Financial Officer</w:t>
            </w:r>
          </w:p>
        </w:tc>
        <w:tc>
          <w:tcPr>
            <w:tcW w:w="1760" w:type="dxa"/>
            <w:vAlign w:val="bottom"/>
            <w:tcBorders>
              <w:bottom w:val="single" w:sz="8" w:color="2D53A6"/>
              <w:right w:val="single" w:sz="8" w:color="2D53A6"/>
            </w:tcBorders>
            <w:shd w:val="clear" w:color="auto" w:fill="E6E6E6"/>
          </w:tcPr>
          <w:p>
            <w:pPr>
              <w:spacing w:after="0"/>
              <w:rPr>
                <w:sz w:val="20"/>
                <w:szCs w:val="20"/>
                <w:color w:val="auto"/>
              </w:rPr>
            </w:pPr>
          </w:p>
        </w:tc>
        <w:tc>
          <w:tcPr>
            <w:tcW w:w="2040" w:type="dxa"/>
            <w:vAlign w:val="bottom"/>
            <w:tcBorders>
              <w:bottom w:val="single" w:sz="8" w:color="2D53A6"/>
              <w:right w:val="single" w:sz="8" w:color="2D53A6"/>
            </w:tcBorders>
            <w:shd w:val="clear" w:color="auto" w:fill="E6E6E6"/>
          </w:tcPr>
          <w:p>
            <w:pPr>
              <w:spacing w:after="0"/>
              <w:rPr>
                <w:sz w:val="20"/>
                <w:szCs w:val="20"/>
                <w:color w:val="auto"/>
              </w:rPr>
            </w:pPr>
          </w:p>
        </w:tc>
        <w:tc>
          <w:tcPr>
            <w:tcW w:w="1740" w:type="dxa"/>
            <w:vAlign w:val="bottom"/>
            <w:tcBorders>
              <w:bottom w:val="single" w:sz="8" w:color="2D53A6"/>
              <w:right w:val="single" w:sz="8" w:color="2D53A6"/>
            </w:tcBorders>
            <w:shd w:val="clear" w:color="auto" w:fill="E6E6E6"/>
          </w:tcPr>
          <w:p>
            <w:pPr>
              <w:spacing w:after="0"/>
              <w:rPr>
                <w:sz w:val="20"/>
                <w:szCs w:val="20"/>
                <w:color w:val="auto"/>
              </w:rPr>
            </w:pPr>
          </w:p>
        </w:tc>
        <w:tc>
          <w:tcPr>
            <w:tcW w:w="2060" w:type="dxa"/>
            <w:vAlign w:val="bottom"/>
            <w:tcBorders>
              <w:bottom w:val="single" w:sz="8" w:color="2D53A6"/>
            </w:tcBorders>
            <w:shd w:val="clear" w:color="auto" w:fill="E6E6E6"/>
          </w:tcPr>
          <w:p>
            <w:pPr>
              <w:spacing w:after="0"/>
              <w:rPr>
                <w:sz w:val="20"/>
                <w:szCs w:val="20"/>
                <w:color w:val="auto"/>
              </w:rPr>
            </w:pPr>
          </w:p>
        </w:tc>
      </w:tr>
      <w:tr>
        <w:trPr>
          <w:trHeight w:val="195"/>
        </w:trPr>
        <w:tc>
          <w:tcPr>
            <w:tcW w:w="3640" w:type="dxa"/>
            <w:vAlign w:val="bottom"/>
            <w:tcBorders>
              <w:right w:val="single" w:sz="8" w:color="2D53A6"/>
            </w:tcBorders>
          </w:tcPr>
          <w:p>
            <w:pPr>
              <w:spacing w:after="0" w:line="195" w:lineRule="exact"/>
              <w:rPr>
                <w:sz w:val="20"/>
                <w:szCs w:val="20"/>
                <w:color w:val="auto"/>
              </w:rPr>
            </w:pPr>
            <w:r>
              <w:rPr>
                <w:rFonts w:ascii="Arial" w:cs="Arial" w:eastAsia="Arial" w:hAnsi="Arial"/>
                <w:sz w:val="18"/>
                <w:szCs w:val="18"/>
                <w:color w:val="auto"/>
              </w:rPr>
              <w:t>Christopher G. Bohrson</w:t>
            </w:r>
          </w:p>
        </w:tc>
        <w:tc>
          <w:tcPr>
            <w:tcW w:w="1760" w:type="dxa"/>
            <w:vAlign w:val="bottom"/>
            <w:tcBorders>
              <w:right w:val="single" w:sz="8" w:color="2D53A6"/>
            </w:tcBorders>
          </w:tcPr>
          <w:p>
            <w:pPr>
              <w:spacing w:after="0"/>
              <w:rPr>
                <w:sz w:val="16"/>
                <w:szCs w:val="16"/>
                <w:color w:val="auto"/>
              </w:rPr>
            </w:pPr>
          </w:p>
        </w:tc>
        <w:tc>
          <w:tcPr>
            <w:tcW w:w="2040" w:type="dxa"/>
            <w:vAlign w:val="bottom"/>
            <w:tcBorders>
              <w:right w:val="single" w:sz="8" w:color="2D53A6"/>
            </w:tcBorders>
          </w:tcPr>
          <w:p>
            <w:pPr>
              <w:spacing w:after="0"/>
              <w:rPr>
                <w:sz w:val="16"/>
                <w:szCs w:val="16"/>
                <w:color w:val="auto"/>
              </w:rPr>
            </w:pPr>
          </w:p>
        </w:tc>
        <w:tc>
          <w:tcPr>
            <w:tcW w:w="1740" w:type="dxa"/>
            <w:vAlign w:val="bottom"/>
            <w:tcBorders>
              <w:right w:val="single" w:sz="8" w:color="2D53A6"/>
            </w:tcBorders>
          </w:tcPr>
          <w:p>
            <w:pPr>
              <w:spacing w:after="0"/>
              <w:rPr>
                <w:sz w:val="16"/>
                <w:szCs w:val="16"/>
                <w:color w:val="auto"/>
              </w:rPr>
            </w:pPr>
          </w:p>
        </w:tc>
        <w:tc>
          <w:tcPr>
            <w:tcW w:w="2060" w:type="dxa"/>
            <w:vAlign w:val="bottom"/>
          </w:tcPr>
          <w:p>
            <w:pPr>
              <w:spacing w:after="0"/>
              <w:rPr>
                <w:sz w:val="16"/>
                <w:szCs w:val="16"/>
                <w:color w:val="auto"/>
              </w:rPr>
            </w:pPr>
          </w:p>
        </w:tc>
      </w:tr>
      <w:tr>
        <w:trPr>
          <w:trHeight w:val="216"/>
        </w:trPr>
        <w:tc>
          <w:tcPr>
            <w:tcW w:w="3640" w:type="dxa"/>
            <w:vAlign w:val="bottom"/>
            <w:tcBorders>
              <w:right w:val="single" w:sz="8" w:color="2D53A6"/>
            </w:tcBorders>
          </w:tcPr>
          <w:p>
            <w:pPr>
              <w:spacing w:after="0"/>
              <w:rPr>
                <w:sz w:val="20"/>
                <w:szCs w:val="20"/>
                <w:color w:val="auto"/>
              </w:rPr>
            </w:pPr>
            <w:r>
              <w:rPr>
                <w:rFonts w:ascii="Arial" w:cs="Arial" w:eastAsia="Arial" w:hAnsi="Arial"/>
                <w:sz w:val="18"/>
                <w:szCs w:val="18"/>
                <w:i w:val="1"/>
                <w:iCs w:val="1"/>
                <w:color w:val="auto"/>
              </w:rPr>
              <w:t>Sr. Vice President,</w:t>
            </w:r>
          </w:p>
        </w:tc>
        <w:tc>
          <w:tcPr>
            <w:tcW w:w="1760" w:type="dxa"/>
            <w:vAlign w:val="bottom"/>
            <w:tcBorders>
              <w:right w:val="single" w:sz="8" w:color="2D53A6"/>
            </w:tcBorders>
          </w:tcPr>
          <w:p>
            <w:pPr>
              <w:jc w:val="center"/>
              <w:spacing w:after="0"/>
              <w:rPr>
                <w:sz w:val="20"/>
                <w:szCs w:val="20"/>
                <w:color w:val="auto"/>
              </w:rPr>
            </w:pPr>
            <w:r>
              <w:rPr>
                <w:rFonts w:ascii="Arial" w:cs="Arial" w:eastAsia="Arial" w:hAnsi="Arial"/>
                <w:sz w:val="18"/>
                <w:szCs w:val="18"/>
                <w:color w:val="auto"/>
                <w:w w:val="91"/>
              </w:rPr>
              <w:t>100%</w:t>
            </w:r>
          </w:p>
        </w:tc>
        <w:tc>
          <w:tcPr>
            <w:tcW w:w="2040" w:type="dxa"/>
            <w:vAlign w:val="bottom"/>
            <w:tcBorders>
              <w:right w:val="single" w:sz="8" w:color="2D53A6"/>
            </w:tcBorders>
          </w:tcPr>
          <w:p>
            <w:pPr>
              <w:jc w:val="center"/>
              <w:spacing w:after="0"/>
              <w:rPr>
                <w:sz w:val="20"/>
                <w:szCs w:val="20"/>
                <w:color w:val="auto"/>
              </w:rPr>
            </w:pPr>
            <w:r>
              <w:rPr>
                <w:rFonts w:ascii="Arial" w:cs="Arial" w:eastAsia="Arial" w:hAnsi="Arial"/>
                <w:sz w:val="18"/>
                <w:szCs w:val="18"/>
                <w:color w:val="auto"/>
                <w:w w:val="90"/>
              </w:rPr>
              <w:t>12 months</w:t>
            </w:r>
          </w:p>
        </w:tc>
        <w:tc>
          <w:tcPr>
            <w:tcW w:w="1740" w:type="dxa"/>
            <w:vAlign w:val="bottom"/>
            <w:tcBorders>
              <w:right w:val="single" w:sz="8" w:color="2D53A6"/>
            </w:tcBorders>
          </w:tcPr>
          <w:p>
            <w:pPr>
              <w:jc w:val="center"/>
              <w:spacing w:after="0"/>
              <w:rPr>
                <w:sz w:val="20"/>
                <w:szCs w:val="20"/>
                <w:color w:val="auto"/>
              </w:rPr>
            </w:pPr>
            <w:r>
              <w:rPr>
                <w:rFonts w:ascii="Arial" w:cs="Arial" w:eastAsia="Arial" w:hAnsi="Arial"/>
                <w:sz w:val="18"/>
                <w:szCs w:val="18"/>
                <w:color w:val="auto"/>
                <w:w w:val="91"/>
              </w:rPr>
              <w:t>150%</w:t>
            </w:r>
          </w:p>
        </w:tc>
        <w:tc>
          <w:tcPr>
            <w:tcW w:w="2060" w:type="dxa"/>
            <w:vAlign w:val="bottom"/>
          </w:tcPr>
          <w:p>
            <w:pPr>
              <w:jc w:val="center"/>
              <w:spacing w:after="0"/>
              <w:rPr>
                <w:sz w:val="20"/>
                <w:szCs w:val="20"/>
                <w:color w:val="auto"/>
              </w:rPr>
            </w:pPr>
            <w:r>
              <w:rPr>
                <w:rFonts w:ascii="Arial" w:cs="Arial" w:eastAsia="Arial" w:hAnsi="Arial"/>
                <w:sz w:val="18"/>
                <w:szCs w:val="18"/>
                <w:color w:val="auto"/>
                <w:w w:val="90"/>
              </w:rPr>
              <w:t>18 months</w:t>
            </w:r>
          </w:p>
        </w:tc>
      </w:tr>
      <w:tr>
        <w:trPr>
          <w:trHeight w:val="230"/>
        </w:trPr>
        <w:tc>
          <w:tcPr>
            <w:tcW w:w="3640" w:type="dxa"/>
            <w:vAlign w:val="bottom"/>
            <w:tcBorders>
              <w:bottom w:val="single" w:sz="8" w:color="2D53A6"/>
              <w:right w:val="single" w:sz="8" w:color="2D53A6"/>
            </w:tcBorders>
          </w:tcPr>
          <w:p>
            <w:pPr>
              <w:spacing w:after="0"/>
              <w:rPr>
                <w:sz w:val="20"/>
                <w:szCs w:val="20"/>
                <w:color w:val="auto"/>
              </w:rPr>
            </w:pPr>
            <w:r>
              <w:rPr>
                <w:rFonts w:ascii="Arial" w:cs="Arial" w:eastAsia="Arial" w:hAnsi="Arial"/>
                <w:sz w:val="18"/>
                <w:szCs w:val="18"/>
                <w:i w:val="1"/>
                <w:iCs w:val="1"/>
                <w:color w:val="auto"/>
              </w:rPr>
              <w:t>Global Customer Group</w:t>
            </w:r>
          </w:p>
        </w:tc>
        <w:tc>
          <w:tcPr>
            <w:tcW w:w="1760" w:type="dxa"/>
            <w:vAlign w:val="bottom"/>
            <w:tcBorders>
              <w:bottom w:val="single" w:sz="8" w:color="2D53A6"/>
              <w:right w:val="single" w:sz="8" w:color="2D53A6"/>
            </w:tcBorders>
          </w:tcPr>
          <w:p>
            <w:pPr>
              <w:spacing w:after="0"/>
              <w:rPr>
                <w:sz w:val="20"/>
                <w:szCs w:val="20"/>
                <w:color w:val="auto"/>
              </w:rPr>
            </w:pPr>
          </w:p>
        </w:tc>
        <w:tc>
          <w:tcPr>
            <w:tcW w:w="2040" w:type="dxa"/>
            <w:vAlign w:val="bottom"/>
            <w:tcBorders>
              <w:bottom w:val="single" w:sz="8" w:color="2D53A6"/>
              <w:right w:val="single" w:sz="8" w:color="2D53A6"/>
            </w:tcBorders>
          </w:tcPr>
          <w:p>
            <w:pPr>
              <w:spacing w:after="0"/>
              <w:rPr>
                <w:sz w:val="20"/>
                <w:szCs w:val="20"/>
                <w:color w:val="auto"/>
              </w:rPr>
            </w:pPr>
          </w:p>
        </w:tc>
        <w:tc>
          <w:tcPr>
            <w:tcW w:w="1740" w:type="dxa"/>
            <w:vAlign w:val="bottom"/>
            <w:tcBorders>
              <w:bottom w:val="single" w:sz="8" w:color="2D53A6"/>
              <w:right w:val="single" w:sz="8" w:color="2D53A6"/>
            </w:tcBorders>
          </w:tcPr>
          <w:p>
            <w:pPr>
              <w:spacing w:after="0"/>
              <w:rPr>
                <w:sz w:val="20"/>
                <w:szCs w:val="20"/>
                <w:color w:val="auto"/>
              </w:rPr>
            </w:pPr>
          </w:p>
        </w:tc>
        <w:tc>
          <w:tcPr>
            <w:tcW w:w="2060" w:type="dxa"/>
            <w:vAlign w:val="bottom"/>
            <w:tcBorders>
              <w:bottom w:val="single" w:sz="8" w:color="2D53A6"/>
            </w:tcBorders>
          </w:tcPr>
          <w:p>
            <w:pPr>
              <w:spacing w:after="0"/>
              <w:rPr>
                <w:sz w:val="20"/>
                <w:szCs w:val="20"/>
                <w:color w:val="auto"/>
              </w:rPr>
            </w:pPr>
          </w:p>
        </w:tc>
      </w:tr>
      <w:tr>
        <w:trPr>
          <w:trHeight w:val="209"/>
        </w:trPr>
        <w:tc>
          <w:tcPr>
            <w:tcW w:w="3640" w:type="dxa"/>
            <w:vAlign w:val="bottom"/>
            <w:tcBorders>
              <w:right w:val="single" w:sz="8" w:color="2D53A6"/>
            </w:tcBorders>
            <w:shd w:val="clear" w:color="auto" w:fill="E6E6E6"/>
          </w:tcPr>
          <w:p>
            <w:pPr>
              <w:spacing w:after="0"/>
              <w:rPr>
                <w:sz w:val="20"/>
                <w:szCs w:val="20"/>
                <w:color w:val="auto"/>
              </w:rPr>
            </w:pPr>
            <w:r>
              <w:rPr>
                <w:rFonts w:ascii="Arial" w:cs="Arial" w:eastAsia="Arial" w:hAnsi="Arial"/>
                <w:sz w:val="18"/>
                <w:szCs w:val="18"/>
                <w:color w:val="auto"/>
              </w:rPr>
              <w:t>Thomas D. Kampfer</w:t>
            </w:r>
          </w:p>
        </w:tc>
        <w:tc>
          <w:tcPr>
            <w:tcW w:w="1760" w:type="dxa"/>
            <w:vAlign w:val="bottom"/>
            <w:tcBorders>
              <w:right w:val="single" w:sz="8" w:color="2D53A6"/>
            </w:tcBorders>
            <w:shd w:val="clear" w:color="auto" w:fill="E6E6E6"/>
          </w:tcPr>
          <w:p>
            <w:pPr>
              <w:spacing w:after="0"/>
              <w:rPr>
                <w:sz w:val="18"/>
                <w:szCs w:val="18"/>
                <w:color w:val="auto"/>
              </w:rPr>
            </w:pPr>
          </w:p>
        </w:tc>
        <w:tc>
          <w:tcPr>
            <w:tcW w:w="2040" w:type="dxa"/>
            <w:vAlign w:val="bottom"/>
            <w:tcBorders>
              <w:right w:val="single" w:sz="8" w:color="2D53A6"/>
            </w:tcBorders>
            <w:shd w:val="clear" w:color="auto" w:fill="E6E6E6"/>
          </w:tcPr>
          <w:p>
            <w:pPr>
              <w:spacing w:after="0"/>
              <w:rPr>
                <w:sz w:val="18"/>
                <w:szCs w:val="18"/>
                <w:color w:val="auto"/>
              </w:rPr>
            </w:pPr>
          </w:p>
        </w:tc>
        <w:tc>
          <w:tcPr>
            <w:tcW w:w="1740" w:type="dxa"/>
            <w:vAlign w:val="bottom"/>
            <w:tcBorders>
              <w:right w:val="single" w:sz="8" w:color="2D53A6"/>
            </w:tcBorders>
            <w:shd w:val="clear" w:color="auto" w:fill="E6E6E6"/>
          </w:tcPr>
          <w:p>
            <w:pPr>
              <w:spacing w:after="0"/>
              <w:rPr>
                <w:sz w:val="18"/>
                <w:szCs w:val="18"/>
                <w:color w:val="auto"/>
              </w:rPr>
            </w:pPr>
          </w:p>
        </w:tc>
        <w:tc>
          <w:tcPr>
            <w:tcW w:w="2060" w:type="dxa"/>
            <w:vAlign w:val="bottom"/>
            <w:shd w:val="clear" w:color="auto" w:fill="E6E6E6"/>
          </w:tcPr>
          <w:p>
            <w:pPr>
              <w:spacing w:after="0"/>
              <w:rPr>
                <w:sz w:val="18"/>
                <w:szCs w:val="18"/>
                <w:color w:val="auto"/>
              </w:rPr>
            </w:pPr>
          </w:p>
        </w:tc>
      </w:tr>
      <w:tr>
        <w:trPr>
          <w:trHeight w:val="202"/>
        </w:trPr>
        <w:tc>
          <w:tcPr>
            <w:tcW w:w="3640" w:type="dxa"/>
            <w:vAlign w:val="bottom"/>
            <w:tcBorders>
              <w:right w:val="single" w:sz="8" w:color="2D53A6"/>
            </w:tcBorders>
            <w:shd w:val="clear" w:color="auto" w:fill="E6E6E6"/>
          </w:tcPr>
          <w:p>
            <w:pPr>
              <w:spacing w:after="0" w:line="201" w:lineRule="exact"/>
              <w:rPr>
                <w:sz w:val="20"/>
                <w:szCs w:val="20"/>
                <w:color w:val="auto"/>
              </w:rPr>
            </w:pPr>
            <w:r>
              <w:rPr>
                <w:rFonts w:ascii="Arial" w:cs="Arial" w:eastAsia="Arial" w:hAnsi="Arial"/>
                <w:sz w:val="18"/>
                <w:szCs w:val="18"/>
                <w:i w:val="1"/>
                <w:iCs w:val="1"/>
                <w:color w:val="auto"/>
              </w:rPr>
              <w:t>Vice President Corporate Development,</w:t>
            </w:r>
          </w:p>
        </w:tc>
        <w:tc>
          <w:tcPr>
            <w:tcW w:w="1760" w:type="dxa"/>
            <w:vAlign w:val="bottom"/>
            <w:tcBorders>
              <w:right w:val="single" w:sz="8" w:color="2D53A6"/>
            </w:tcBorders>
            <w:shd w:val="clear" w:color="auto" w:fill="E6E6E6"/>
          </w:tcPr>
          <w:p>
            <w:pPr>
              <w:jc w:val="center"/>
              <w:spacing w:after="0" w:line="201" w:lineRule="exact"/>
              <w:rPr>
                <w:sz w:val="20"/>
                <w:szCs w:val="20"/>
                <w:color w:val="auto"/>
              </w:rPr>
            </w:pPr>
            <w:r>
              <w:rPr>
                <w:rFonts w:ascii="Arial" w:cs="Arial" w:eastAsia="Arial" w:hAnsi="Arial"/>
                <w:sz w:val="18"/>
                <w:szCs w:val="18"/>
                <w:color w:val="auto"/>
                <w:w w:val="91"/>
              </w:rPr>
              <w:t>100%</w:t>
            </w:r>
          </w:p>
        </w:tc>
        <w:tc>
          <w:tcPr>
            <w:tcW w:w="2040" w:type="dxa"/>
            <w:vAlign w:val="bottom"/>
            <w:tcBorders>
              <w:right w:val="single" w:sz="8" w:color="2D53A6"/>
            </w:tcBorders>
            <w:shd w:val="clear" w:color="auto" w:fill="E6E6E6"/>
          </w:tcPr>
          <w:p>
            <w:pPr>
              <w:jc w:val="center"/>
              <w:spacing w:after="0" w:line="201" w:lineRule="exact"/>
              <w:rPr>
                <w:sz w:val="20"/>
                <w:szCs w:val="20"/>
                <w:color w:val="auto"/>
              </w:rPr>
            </w:pPr>
            <w:r>
              <w:rPr>
                <w:rFonts w:ascii="Arial" w:cs="Arial" w:eastAsia="Arial" w:hAnsi="Arial"/>
                <w:sz w:val="18"/>
                <w:szCs w:val="18"/>
                <w:color w:val="auto"/>
                <w:w w:val="90"/>
              </w:rPr>
              <w:t>12 months</w:t>
            </w:r>
          </w:p>
        </w:tc>
        <w:tc>
          <w:tcPr>
            <w:tcW w:w="1740" w:type="dxa"/>
            <w:vAlign w:val="bottom"/>
            <w:tcBorders>
              <w:right w:val="single" w:sz="8" w:color="2D53A6"/>
            </w:tcBorders>
            <w:shd w:val="clear" w:color="auto" w:fill="E6E6E6"/>
          </w:tcPr>
          <w:p>
            <w:pPr>
              <w:jc w:val="center"/>
              <w:spacing w:after="0" w:line="201" w:lineRule="exact"/>
              <w:rPr>
                <w:sz w:val="20"/>
                <w:szCs w:val="20"/>
                <w:color w:val="auto"/>
              </w:rPr>
            </w:pPr>
            <w:r>
              <w:rPr>
                <w:rFonts w:ascii="Arial" w:cs="Arial" w:eastAsia="Arial" w:hAnsi="Arial"/>
                <w:sz w:val="18"/>
                <w:szCs w:val="18"/>
                <w:color w:val="auto"/>
                <w:w w:val="91"/>
              </w:rPr>
              <w:t>150%</w:t>
            </w:r>
          </w:p>
        </w:tc>
        <w:tc>
          <w:tcPr>
            <w:tcW w:w="2060" w:type="dxa"/>
            <w:vAlign w:val="bottom"/>
            <w:shd w:val="clear" w:color="auto" w:fill="E6E6E6"/>
          </w:tcPr>
          <w:p>
            <w:pPr>
              <w:jc w:val="center"/>
              <w:spacing w:after="0" w:line="201" w:lineRule="exact"/>
              <w:rPr>
                <w:sz w:val="20"/>
                <w:szCs w:val="20"/>
                <w:color w:val="auto"/>
              </w:rPr>
            </w:pPr>
            <w:r>
              <w:rPr>
                <w:rFonts w:ascii="Arial" w:cs="Arial" w:eastAsia="Arial" w:hAnsi="Arial"/>
                <w:sz w:val="18"/>
                <w:szCs w:val="18"/>
                <w:color w:val="auto"/>
                <w:w w:val="90"/>
              </w:rPr>
              <w:t>18 months</w:t>
            </w:r>
          </w:p>
        </w:tc>
      </w:tr>
      <w:tr>
        <w:trPr>
          <w:trHeight w:val="230"/>
        </w:trPr>
        <w:tc>
          <w:tcPr>
            <w:tcW w:w="3640" w:type="dxa"/>
            <w:vAlign w:val="bottom"/>
            <w:tcBorders>
              <w:bottom w:val="single" w:sz="8" w:color="2D53A6"/>
              <w:right w:val="single" w:sz="8" w:color="2D53A6"/>
            </w:tcBorders>
            <w:shd w:val="clear" w:color="auto" w:fill="E6E6E6"/>
          </w:tcPr>
          <w:p>
            <w:pPr>
              <w:spacing w:after="0"/>
              <w:rPr>
                <w:sz w:val="20"/>
                <w:szCs w:val="20"/>
                <w:color w:val="auto"/>
              </w:rPr>
            </w:pPr>
            <w:r>
              <w:rPr>
                <w:rFonts w:ascii="Arial" w:cs="Arial" w:eastAsia="Arial" w:hAnsi="Arial"/>
                <w:sz w:val="18"/>
                <w:szCs w:val="18"/>
                <w:i w:val="1"/>
                <w:iCs w:val="1"/>
                <w:color w:val="auto"/>
              </w:rPr>
              <w:t>General Counsel &amp; Secretary</w:t>
            </w:r>
          </w:p>
        </w:tc>
        <w:tc>
          <w:tcPr>
            <w:tcW w:w="1760" w:type="dxa"/>
            <w:vAlign w:val="bottom"/>
            <w:tcBorders>
              <w:bottom w:val="single" w:sz="8" w:color="2D53A6"/>
              <w:right w:val="single" w:sz="8" w:color="2D53A6"/>
            </w:tcBorders>
            <w:shd w:val="clear" w:color="auto" w:fill="E6E6E6"/>
          </w:tcPr>
          <w:p>
            <w:pPr>
              <w:spacing w:after="0"/>
              <w:rPr>
                <w:sz w:val="20"/>
                <w:szCs w:val="20"/>
                <w:color w:val="auto"/>
              </w:rPr>
            </w:pPr>
          </w:p>
        </w:tc>
        <w:tc>
          <w:tcPr>
            <w:tcW w:w="2040" w:type="dxa"/>
            <w:vAlign w:val="bottom"/>
            <w:tcBorders>
              <w:bottom w:val="single" w:sz="8" w:color="2D53A6"/>
              <w:right w:val="single" w:sz="8" w:color="2D53A6"/>
            </w:tcBorders>
            <w:shd w:val="clear" w:color="auto" w:fill="E6E6E6"/>
          </w:tcPr>
          <w:p>
            <w:pPr>
              <w:spacing w:after="0"/>
              <w:rPr>
                <w:sz w:val="20"/>
                <w:szCs w:val="20"/>
                <w:color w:val="auto"/>
              </w:rPr>
            </w:pPr>
          </w:p>
        </w:tc>
        <w:tc>
          <w:tcPr>
            <w:tcW w:w="1740" w:type="dxa"/>
            <w:vAlign w:val="bottom"/>
            <w:tcBorders>
              <w:bottom w:val="single" w:sz="8" w:color="2D53A6"/>
              <w:right w:val="single" w:sz="8" w:color="2D53A6"/>
            </w:tcBorders>
            <w:shd w:val="clear" w:color="auto" w:fill="E6E6E6"/>
          </w:tcPr>
          <w:p>
            <w:pPr>
              <w:spacing w:after="0"/>
              <w:rPr>
                <w:sz w:val="20"/>
                <w:szCs w:val="20"/>
                <w:color w:val="auto"/>
              </w:rPr>
            </w:pPr>
          </w:p>
        </w:tc>
        <w:tc>
          <w:tcPr>
            <w:tcW w:w="2060" w:type="dxa"/>
            <w:vAlign w:val="bottom"/>
            <w:tcBorders>
              <w:bottom w:val="single" w:sz="8" w:color="2D53A6"/>
            </w:tcBorders>
            <w:shd w:val="clear" w:color="auto" w:fill="E6E6E6"/>
          </w:tcPr>
          <w:p>
            <w:pPr>
              <w:spacing w:after="0"/>
              <w:rPr>
                <w:sz w:val="20"/>
                <w:szCs w:val="20"/>
                <w:color w:val="auto"/>
              </w:rPr>
            </w:pPr>
          </w:p>
        </w:tc>
      </w:tr>
      <w:tr>
        <w:trPr>
          <w:trHeight w:val="195"/>
        </w:trPr>
        <w:tc>
          <w:tcPr>
            <w:tcW w:w="3640" w:type="dxa"/>
            <w:vAlign w:val="bottom"/>
            <w:tcBorders>
              <w:right w:val="single" w:sz="8" w:color="2D53A6"/>
            </w:tcBorders>
          </w:tcPr>
          <w:p>
            <w:pPr>
              <w:spacing w:after="0" w:line="195" w:lineRule="exact"/>
              <w:rPr>
                <w:sz w:val="20"/>
                <w:szCs w:val="20"/>
                <w:color w:val="auto"/>
              </w:rPr>
            </w:pPr>
            <w:r>
              <w:rPr>
                <w:rFonts w:ascii="Arial" w:cs="Arial" w:eastAsia="Arial" w:hAnsi="Arial"/>
                <w:sz w:val="18"/>
                <w:szCs w:val="18"/>
                <w:color w:val="auto"/>
              </w:rPr>
              <w:t>Ian P. Lawee</w:t>
            </w:r>
          </w:p>
        </w:tc>
        <w:tc>
          <w:tcPr>
            <w:tcW w:w="1760" w:type="dxa"/>
            <w:vAlign w:val="bottom"/>
            <w:tcBorders>
              <w:right w:val="single" w:sz="8" w:color="2D53A6"/>
            </w:tcBorders>
          </w:tcPr>
          <w:p>
            <w:pPr>
              <w:spacing w:after="0"/>
              <w:rPr>
                <w:sz w:val="16"/>
                <w:szCs w:val="16"/>
                <w:color w:val="auto"/>
              </w:rPr>
            </w:pPr>
          </w:p>
        </w:tc>
        <w:tc>
          <w:tcPr>
            <w:tcW w:w="2040" w:type="dxa"/>
            <w:vAlign w:val="bottom"/>
            <w:tcBorders>
              <w:right w:val="single" w:sz="8" w:color="2D53A6"/>
            </w:tcBorders>
          </w:tcPr>
          <w:p>
            <w:pPr>
              <w:spacing w:after="0"/>
              <w:rPr>
                <w:sz w:val="16"/>
                <w:szCs w:val="16"/>
                <w:color w:val="auto"/>
              </w:rPr>
            </w:pPr>
          </w:p>
        </w:tc>
        <w:tc>
          <w:tcPr>
            <w:tcW w:w="1740" w:type="dxa"/>
            <w:vAlign w:val="bottom"/>
            <w:tcBorders>
              <w:right w:val="single" w:sz="8" w:color="2D53A6"/>
            </w:tcBorders>
          </w:tcPr>
          <w:p>
            <w:pPr>
              <w:spacing w:after="0"/>
              <w:rPr>
                <w:sz w:val="16"/>
                <w:szCs w:val="16"/>
                <w:color w:val="auto"/>
              </w:rPr>
            </w:pPr>
          </w:p>
        </w:tc>
        <w:tc>
          <w:tcPr>
            <w:tcW w:w="2060" w:type="dxa"/>
            <w:vAlign w:val="bottom"/>
          </w:tcPr>
          <w:p>
            <w:pPr>
              <w:spacing w:after="0"/>
              <w:rPr>
                <w:sz w:val="16"/>
                <w:szCs w:val="16"/>
                <w:color w:val="auto"/>
              </w:rPr>
            </w:pPr>
          </w:p>
        </w:tc>
      </w:tr>
      <w:tr>
        <w:trPr>
          <w:trHeight w:val="216"/>
        </w:trPr>
        <w:tc>
          <w:tcPr>
            <w:tcW w:w="3640" w:type="dxa"/>
            <w:vAlign w:val="bottom"/>
            <w:tcBorders>
              <w:right w:val="single" w:sz="8" w:color="2D53A6"/>
            </w:tcBorders>
          </w:tcPr>
          <w:p>
            <w:pPr>
              <w:spacing w:after="0"/>
              <w:rPr>
                <w:sz w:val="20"/>
                <w:szCs w:val="20"/>
                <w:color w:val="auto"/>
              </w:rPr>
            </w:pPr>
            <w:r>
              <w:rPr>
                <w:rFonts w:ascii="Arial" w:cs="Arial" w:eastAsia="Arial" w:hAnsi="Arial"/>
                <w:sz w:val="18"/>
                <w:szCs w:val="18"/>
                <w:i w:val="1"/>
                <w:iCs w:val="1"/>
                <w:color w:val="auto"/>
              </w:rPr>
              <w:t>Sr. Vice President &amp; General Manager,</w:t>
            </w:r>
          </w:p>
        </w:tc>
        <w:tc>
          <w:tcPr>
            <w:tcW w:w="1760" w:type="dxa"/>
            <w:vAlign w:val="bottom"/>
            <w:tcBorders>
              <w:right w:val="single" w:sz="8" w:color="2D53A6"/>
            </w:tcBorders>
          </w:tcPr>
          <w:p>
            <w:pPr>
              <w:jc w:val="center"/>
              <w:spacing w:after="0"/>
              <w:rPr>
                <w:sz w:val="20"/>
                <w:szCs w:val="20"/>
                <w:color w:val="auto"/>
              </w:rPr>
            </w:pPr>
            <w:r>
              <w:rPr>
                <w:rFonts w:ascii="Arial" w:cs="Arial" w:eastAsia="Arial" w:hAnsi="Arial"/>
                <w:sz w:val="18"/>
                <w:szCs w:val="18"/>
                <w:color w:val="auto"/>
                <w:w w:val="91"/>
              </w:rPr>
              <w:t>100%</w:t>
            </w:r>
          </w:p>
        </w:tc>
        <w:tc>
          <w:tcPr>
            <w:tcW w:w="2040" w:type="dxa"/>
            <w:vAlign w:val="bottom"/>
            <w:tcBorders>
              <w:right w:val="single" w:sz="8" w:color="2D53A6"/>
            </w:tcBorders>
          </w:tcPr>
          <w:p>
            <w:pPr>
              <w:jc w:val="center"/>
              <w:spacing w:after="0"/>
              <w:rPr>
                <w:sz w:val="20"/>
                <w:szCs w:val="20"/>
                <w:color w:val="auto"/>
              </w:rPr>
            </w:pPr>
            <w:r>
              <w:rPr>
                <w:rFonts w:ascii="Arial" w:cs="Arial" w:eastAsia="Arial" w:hAnsi="Arial"/>
                <w:sz w:val="18"/>
                <w:szCs w:val="18"/>
                <w:color w:val="auto"/>
                <w:w w:val="90"/>
              </w:rPr>
              <w:t>12 months</w:t>
            </w:r>
          </w:p>
        </w:tc>
        <w:tc>
          <w:tcPr>
            <w:tcW w:w="1740" w:type="dxa"/>
            <w:vAlign w:val="bottom"/>
            <w:tcBorders>
              <w:right w:val="single" w:sz="8" w:color="2D53A6"/>
            </w:tcBorders>
          </w:tcPr>
          <w:p>
            <w:pPr>
              <w:jc w:val="center"/>
              <w:spacing w:after="0"/>
              <w:rPr>
                <w:sz w:val="20"/>
                <w:szCs w:val="20"/>
                <w:color w:val="auto"/>
              </w:rPr>
            </w:pPr>
            <w:r>
              <w:rPr>
                <w:rFonts w:ascii="Arial" w:cs="Arial" w:eastAsia="Arial" w:hAnsi="Arial"/>
                <w:sz w:val="18"/>
                <w:szCs w:val="18"/>
                <w:color w:val="auto"/>
                <w:w w:val="91"/>
              </w:rPr>
              <w:t>150%</w:t>
            </w:r>
          </w:p>
        </w:tc>
        <w:tc>
          <w:tcPr>
            <w:tcW w:w="2060" w:type="dxa"/>
            <w:vAlign w:val="bottom"/>
          </w:tcPr>
          <w:p>
            <w:pPr>
              <w:jc w:val="center"/>
              <w:spacing w:after="0"/>
              <w:rPr>
                <w:sz w:val="20"/>
                <w:szCs w:val="20"/>
                <w:color w:val="auto"/>
              </w:rPr>
            </w:pPr>
            <w:r>
              <w:rPr>
                <w:rFonts w:ascii="Arial" w:cs="Arial" w:eastAsia="Arial" w:hAnsi="Arial"/>
                <w:sz w:val="18"/>
                <w:szCs w:val="18"/>
                <w:color w:val="auto"/>
                <w:w w:val="90"/>
              </w:rPr>
              <w:t>18 months</w:t>
            </w:r>
          </w:p>
        </w:tc>
      </w:tr>
      <w:tr>
        <w:trPr>
          <w:trHeight w:val="230"/>
        </w:trPr>
        <w:tc>
          <w:tcPr>
            <w:tcW w:w="3640" w:type="dxa"/>
            <w:vAlign w:val="bottom"/>
            <w:tcBorders>
              <w:bottom w:val="single" w:sz="8" w:color="2D53A6"/>
              <w:right w:val="single" w:sz="8" w:color="2D53A6"/>
            </w:tcBorders>
          </w:tcPr>
          <w:p>
            <w:pPr>
              <w:spacing w:after="0"/>
              <w:rPr>
                <w:sz w:val="20"/>
                <w:szCs w:val="20"/>
                <w:color w:val="auto"/>
              </w:rPr>
            </w:pPr>
            <w:r>
              <w:rPr>
                <w:rFonts w:ascii="Arial" w:cs="Arial" w:eastAsia="Arial" w:hAnsi="Arial"/>
                <w:sz w:val="18"/>
                <w:szCs w:val="18"/>
                <w:i w:val="1"/>
                <w:iCs w:val="1"/>
                <w:color w:val="auto"/>
              </w:rPr>
              <w:t>Semiconductor Test Group</w:t>
            </w:r>
          </w:p>
        </w:tc>
        <w:tc>
          <w:tcPr>
            <w:tcW w:w="1760" w:type="dxa"/>
            <w:vAlign w:val="bottom"/>
            <w:tcBorders>
              <w:bottom w:val="single" w:sz="8" w:color="2D53A6"/>
              <w:right w:val="single" w:sz="8" w:color="2D53A6"/>
            </w:tcBorders>
          </w:tcPr>
          <w:p>
            <w:pPr>
              <w:spacing w:after="0"/>
              <w:rPr>
                <w:sz w:val="20"/>
                <w:szCs w:val="20"/>
                <w:color w:val="auto"/>
              </w:rPr>
            </w:pPr>
          </w:p>
        </w:tc>
        <w:tc>
          <w:tcPr>
            <w:tcW w:w="2040" w:type="dxa"/>
            <w:vAlign w:val="bottom"/>
            <w:tcBorders>
              <w:bottom w:val="single" w:sz="8" w:color="2D53A6"/>
              <w:right w:val="single" w:sz="8" w:color="2D53A6"/>
            </w:tcBorders>
          </w:tcPr>
          <w:p>
            <w:pPr>
              <w:spacing w:after="0"/>
              <w:rPr>
                <w:sz w:val="20"/>
                <w:szCs w:val="20"/>
                <w:color w:val="auto"/>
              </w:rPr>
            </w:pPr>
          </w:p>
        </w:tc>
        <w:tc>
          <w:tcPr>
            <w:tcW w:w="1740" w:type="dxa"/>
            <w:vAlign w:val="bottom"/>
            <w:tcBorders>
              <w:bottom w:val="single" w:sz="8" w:color="2D53A6"/>
              <w:right w:val="single" w:sz="8" w:color="2D53A6"/>
            </w:tcBorders>
          </w:tcPr>
          <w:p>
            <w:pPr>
              <w:spacing w:after="0"/>
              <w:rPr>
                <w:sz w:val="20"/>
                <w:szCs w:val="20"/>
                <w:color w:val="auto"/>
              </w:rPr>
            </w:pPr>
          </w:p>
        </w:tc>
        <w:tc>
          <w:tcPr>
            <w:tcW w:w="2060" w:type="dxa"/>
            <w:vAlign w:val="bottom"/>
            <w:tcBorders>
              <w:bottom w:val="single" w:sz="8" w:color="2D53A6"/>
            </w:tcBorders>
          </w:tcPr>
          <w:p>
            <w:pPr>
              <w:spacing w:after="0"/>
              <w:rPr>
                <w:sz w:val="20"/>
                <w:szCs w:val="20"/>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Qualifying Termination in Connection with a Change of Control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this purpose, a change in control of Cohu means the occurrence of any of the following, in one or a series of related transactions:</w:t>
      </w:r>
    </w:p>
    <w:p>
      <w:pPr>
        <w:spacing w:after="0" w:line="225" w:lineRule="exact"/>
        <w:rPr>
          <w:sz w:val="20"/>
          <w:szCs w:val="20"/>
          <w:color w:val="auto"/>
        </w:rPr>
      </w:pPr>
    </w:p>
    <w:p>
      <w:pPr>
        <w:ind w:left="340" w:right="300" w:hanging="332"/>
        <w:spacing w:after="0" w:line="258"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one person, or more than one person acting as a group (“Person”) acquires ownership of Cohu’s securities that, together with the stock held by such Person, constitutes more than fifty percent (50%) of the total voting power of Cohu’s then outstanding stock;</w:t>
      </w:r>
    </w:p>
    <w:p>
      <w:pPr>
        <w:spacing w:after="0" w:line="1" w:lineRule="exact"/>
        <w:rPr>
          <w:rFonts w:ascii="Arial" w:cs="Arial" w:eastAsia="Arial" w:hAnsi="Arial"/>
          <w:sz w:val="18"/>
          <w:szCs w:val="18"/>
          <w:color w:val="auto"/>
        </w:rPr>
      </w:pPr>
    </w:p>
    <w:p>
      <w:pPr>
        <w:ind w:left="340" w:right="140" w:hanging="332"/>
        <w:spacing w:after="0" w:line="250"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change in the effective control of Cohu which occurs on the date that a majority of members of the Board is replaced during any twelve (12) month period (six (6) month period in the case of Dr. Müller) by members of the Board whose appointment or election is not endorsed by a majority of the members of the Board prior to the date of the appointment or election; or</w:t>
      </w:r>
    </w:p>
    <w:p>
      <w:pPr>
        <w:spacing w:after="0" w:line="1" w:lineRule="exact"/>
        <w:rPr>
          <w:rFonts w:ascii="Arial" w:cs="Arial" w:eastAsia="Arial" w:hAnsi="Arial"/>
          <w:sz w:val="18"/>
          <w:szCs w:val="18"/>
          <w:color w:val="auto"/>
        </w:rPr>
      </w:pPr>
    </w:p>
    <w:p>
      <w:pPr>
        <w:ind w:left="340" w:hanging="332"/>
        <w:spacing w:after="0" w:line="253"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closing of any transaction involving a change in ownership of a substantial portion of Cohu’s assets which occurs on the date that any Person acquires (or has acquired during any twelve (12) month period ending on the date of the most recent acquisition by such Person or Persons) assets from Cohu that have a total gross fair market value equal to or more than fifty percent (50%) of the total gross fair market value of all of the assets of Cohu immediately prior to such acquisition or acquisitions.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2" w:name="page53"/>
    <w:bookmarkEnd w:id="52"/>
    <w:p>
      <w:pPr>
        <w:ind w:right="80"/>
        <w:spacing w:after="0" w:line="286" w:lineRule="auto"/>
        <w:rPr>
          <w:sz w:val="20"/>
          <w:szCs w:val="20"/>
          <w:color w:val="auto"/>
        </w:rPr>
      </w:pPr>
      <w:r>
        <w:rPr>
          <w:rFonts w:ascii="Arial" w:cs="Arial" w:eastAsia="Arial" w:hAnsi="Arial"/>
          <w:sz w:val="17"/>
          <w:szCs w:val="17"/>
          <w:color w:val="auto"/>
        </w:rPr>
        <w:t>The term “change in control” shall not include a consolidation, merger, or other reorganization if upon consummation of such transaction all of the outstanding voting stock of Cohu is owned, directly or indirectly, by a holding company, and the holders of Cohu’s common stock immediately prior to the transaction have substantially the same proportionate ownership and voting control of such holding company after such transaction.</w:t>
      </w:r>
    </w:p>
    <w:p>
      <w:pPr>
        <w:spacing w:after="0" w:line="16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 transaction will not be deemed a change in control unless the transaction qualifies as a change in control event for the purposes of Section 409A of the Internal Revenue Code.</w:t>
      </w:r>
    </w:p>
    <w:p>
      <w:pPr>
        <w:spacing w:after="0" w:line="170"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Additionally, the 2005 Plan provides that in the event of a change in control, as defined in the 2005 Plan, should the acquiring corporation not assume or substitute for the outstanding equity awards of Cohu, the exercisability and vesting of all such equity awards will be accelerated, effective as of a date prior to the change in control.</w:t>
      </w:r>
    </w:p>
    <w:p>
      <w:pPr>
        <w:spacing w:after="0" w:line="18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In the event of the occurrence of both a change in control and the subsequent termination of employment (as applicable), as of December 25, 2021, the amounts payable to certain executive officers would have been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00" w:type="dxa"/>
            <w:vAlign w:val="bottom"/>
            <w:tcBorders>
              <w:right w:val="single" w:sz="8" w:color="2D53A6"/>
            </w:tcBorders>
            <w:shd w:val="clear" w:color="auto" w:fill="2D53A6"/>
          </w:tcPr>
          <w:p>
            <w:pPr>
              <w:spacing w:after="0"/>
              <w:rPr>
                <w:sz w:val="17"/>
                <w:szCs w:val="17"/>
                <w:color w:val="auto"/>
              </w:rPr>
            </w:pPr>
          </w:p>
        </w:tc>
        <w:tc>
          <w:tcPr>
            <w:tcW w:w="1640" w:type="dxa"/>
            <w:vAlign w:val="bottom"/>
            <w:tcBorders>
              <w:right w:val="single" w:sz="8" w:color="2D53A6"/>
            </w:tcBorders>
            <w:vMerge w:val="restart"/>
            <w:shd w:val="clear" w:color="auto" w:fill="2D53A6"/>
          </w:tcPr>
          <w:p>
            <w:pPr>
              <w:jc w:val="right"/>
              <w:ind w:right="550"/>
              <w:spacing w:after="0"/>
              <w:rPr>
                <w:sz w:val="20"/>
                <w:szCs w:val="20"/>
                <w:color w:val="auto"/>
              </w:rPr>
            </w:pPr>
            <w:r>
              <w:rPr>
                <w:rFonts w:ascii="Arial" w:cs="Arial" w:eastAsia="Arial" w:hAnsi="Arial"/>
                <w:sz w:val="18"/>
                <w:szCs w:val="18"/>
                <w:b w:val="1"/>
                <w:bCs w:val="1"/>
                <w:color w:val="FFFFFF"/>
              </w:rPr>
              <w:t>Total</w:t>
            </w:r>
          </w:p>
        </w:tc>
        <w:tc>
          <w:tcPr>
            <w:tcW w:w="1640" w:type="dxa"/>
            <w:vAlign w:val="bottom"/>
            <w:tcBorders>
              <w:right w:val="single" w:sz="8" w:color="2D53A6"/>
            </w:tcBorders>
            <w:vMerge w:val="restart"/>
            <w:shd w:val="clear" w:color="auto" w:fill="2D53A6"/>
          </w:tcPr>
          <w:p>
            <w:pPr>
              <w:jc w:val="right"/>
              <w:ind w:right="350"/>
              <w:spacing w:after="0"/>
              <w:rPr>
                <w:sz w:val="20"/>
                <w:szCs w:val="20"/>
                <w:color w:val="auto"/>
              </w:rPr>
            </w:pPr>
            <w:r>
              <w:rPr>
                <w:rFonts w:ascii="Arial" w:cs="Arial" w:eastAsia="Arial" w:hAnsi="Arial"/>
                <w:sz w:val="18"/>
                <w:szCs w:val="18"/>
                <w:b w:val="1"/>
                <w:bCs w:val="1"/>
                <w:color w:val="FFFFFF"/>
              </w:rPr>
              <w:t>Severance</w:t>
            </w:r>
          </w:p>
        </w:tc>
        <w:tc>
          <w:tcPr>
            <w:tcW w:w="1660" w:type="dxa"/>
            <w:vAlign w:val="bottom"/>
            <w:tcBorders>
              <w:right w:val="single" w:sz="8" w:color="2D53A6"/>
            </w:tcBorders>
            <w:vMerge w:val="restart"/>
            <w:shd w:val="clear" w:color="auto" w:fill="2D53A6"/>
          </w:tcPr>
          <w:p>
            <w:pPr>
              <w:jc w:val="right"/>
              <w:ind w:right="470"/>
              <w:spacing w:after="0"/>
              <w:rPr>
                <w:sz w:val="20"/>
                <w:szCs w:val="20"/>
                <w:color w:val="auto"/>
              </w:rPr>
            </w:pPr>
            <w:r>
              <w:rPr>
                <w:rFonts w:ascii="Arial" w:cs="Arial" w:eastAsia="Arial" w:hAnsi="Arial"/>
                <w:sz w:val="18"/>
                <w:szCs w:val="18"/>
                <w:b w:val="1"/>
                <w:bCs w:val="1"/>
                <w:color w:val="FFFFFF"/>
              </w:rPr>
              <w:t>Annual</w:t>
            </w:r>
          </w:p>
        </w:tc>
        <w:tc>
          <w:tcPr>
            <w:tcW w:w="164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8"/>
                <w:szCs w:val="18"/>
                <w:b w:val="1"/>
                <w:bCs w:val="1"/>
                <w:color w:val="FFFFFF"/>
                <w:w w:val="93"/>
              </w:rPr>
              <w:t>Medical</w:t>
            </w:r>
          </w:p>
        </w:tc>
        <w:tc>
          <w:tcPr>
            <w:tcW w:w="1560" w:type="dxa"/>
            <w:vAlign w:val="bottom"/>
            <w:vMerge w:val="restart"/>
            <w:shd w:val="clear" w:color="auto" w:fill="2D53A6"/>
          </w:tcPr>
          <w:p>
            <w:pPr>
              <w:jc w:val="right"/>
              <w:ind w:right="250"/>
              <w:spacing w:after="0"/>
              <w:rPr>
                <w:sz w:val="20"/>
                <w:szCs w:val="20"/>
                <w:color w:val="auto"/>
              </w:rPr>
            </w:pPr>
            <w:r>
              <w:rPr>
                <w:rFonts w:ascii="Arial" w:cs="Arial" w:eastAsia="Arial" w:hAnsi="Arial"/>
                <w:sz w:val="18"/>
                <w:szCs w:val="18"/>
                <w:b w:val="1"/>
                <w:bCs w:val="1"/>
                <w:color w:val="FFFFFF"/>
              </w:rPr>
              <w:t>RSUs/PSUs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3100" w:type="dxa"/>
            <w:vAlign w:val="bottom"/>
            <w:tcBorders>
              <w:right w:val="single" w:sz="8" w:color="2D53A6"/>
            </w:tcBorders>
            <w:vMerge w:val="restart"/>
            <w:shd w:val="clear" w:color="auto" w:fill="2D53A6"/>
          </w:tcPr>
          <w:p>
            <w:pPr>
              <w:spacing w:after="0"/>
              <w:rPr>
                <w:sz w:val="20"/>
                <w:szCs w:val="20"/>
                <w:color w:val="auto"/>
              </w:rPr>
            </w:pPr>
            <w:r>
              <w:rPr>
                <w:rFonts w:ascii="Arial" w:cs="Arial" w:eastAsia="Arial" w:hAnsi="Arial"/>
                <w:sz w:val="18"/>
                <w:szCs w:val="18"/>
                <w:b w:val="1"/>
                <w:bCs w:val="1"/>
                <w:color w:val="FFFFFF"/>
              </w:rPr>
              <w:t>Named Executive Officer</w:t>
            </w:r>
          </w:p>
        </w:tc>
        <w:tc>
          <w:tcPr>
            <w:tcW w:w="1640" w:type="dxa"/>
            <w:vAlign w:val="bottom"/>
            <w:tcBorders>
              <w:right w:val="single" w:sz="8" w:color="2D53A6"/>
            </w:tcBorders>
            <w:vMerge w:val="continue"/>
            <w:shd w:val="clear" w:color="auto" w:fill="2D53A6"/>
          </w:tcPr>
          <w:p>
            <w:pPr>
              <w:spacing w:after="0"/>
              <w:rPr>
                <w:sz w:val="9"/>
                <w:szCs w:val="9"/>
                <w:color w:val="auto"/>
              </w:rPr>
            </w:pPr>
          </w:p>
        </w:tc>
        <w:tc>
          <w:tcPr>
            <w:tcW w:w="1640" w:type="dxa"/>
            <w:vAlign w:val="bottom"/>
            <w:tcBorders>
              <w:right w:val="single" w:sz="8" w:color="2D53A6"/>
            </w:tcBorders>
            <w:vMerge w:val="continue"/>
            <w:shd w:val="clear" w:color="auto" w:fill="2D53A6"/>
          </w:tcPr>
          <w:p>
            <w:pPr>
              <w:spacing w:after="0"/>
              <w:rPr>
                <w:sz w:val="9"/>
                <w:szCs w:val="9"/>
                <w:color w:val="auto"/>
              </w:rPr>
            </w:pPr>
          </w:p>
        </w:tc>
        <w:tc>
          <w:tcPr>
            <w:tcW w:w="1660" w:type="dxa"/>
            <w:vAlign w:val="bottom"/>
            <w:tcBorders>
              <w:right w:val="single" w:sz="8" w:color="2D53A6"/>
            </w:tcBorders>
            <w:vMerge w:val="continue"/>
            <w:shd w:val="clear" w:color="auto" w:fill="2D53A6"/>
          </w:tcPr>
          <w:p>
            <w:pPr>
              <w:spacing w:after="0"/>
              <w:rPr>
                <w:sz w:val="9"/>
                <w:szCs w:val="9"/>
                <w:color w:val="auto"/>
              </w:rPr>
            </w:pPr>
          </w:p>
        </w:tc>
        <w:tc>
          <w:tcPr>
            <w:tcW w:w="164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87"/>
              </w:rPr>
              <w:t>Benefits</w:t>
            </w:r>
          </w:p>
        </w:tc>
        <w:tc>
          <w:tcPr>
            <w:tcW w:w="1560" w:type="dxa"/>
            <w:vAlign w:val="bottom"/>
            <w:vMerge w:val="continue"/>
            <w:shd w:val="clear" w:color="auto" w:fill="2D53A6"/>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100" w:type="dxa"/>
            <w:vAlign w:val="bottom"/>
            <w:tcBorders>
              <w:right w:val="single" w:sz="8" w:color="2D53A6"/>
            </w:tcBorders>
            <w:vMerge w:val="continue"/>
            <w:shd w:val="clear" w:color="auto" w:fill="2D53A6"/>
          </w:tcPr>
          <w:p>
            <w:pPr>
              <w:spacing w:after="0"/>
              <w:rPr>
                <w:sz w:val="9"/>
                <w:szCs w:val="9"/>
                <w:color w:val="auto"/>
              </w:rPr>
            </w:pPr>
          </w:p>
        </w:tc>
        <w:tc>
          <w:tcPr>
            <w:tcW w:w="1640" w:type="dxa"/>
            <w:vAlign w:val="bottom"/>
            <w:tcBorders>
              <w:right w:val="single" w:sz="8" w:color="2D53A6"/>
            </w:tcBorders>
            <w:vMerge w:val="restart"/>
            <w:shd w:val="clear" w:color="auto" w:fill="2D53A6"/>
          </w:tcPr>
          <w:p>
            <w:pPr>
              <w:jc w:val="right"/>
              <w:ind w:right="650"/>
              <w:spacing w:after="0"/>
              <w:rPr>
                <w:sz w:val="20"/>
                <w:szCs w:val="20"/>
                <w:color w:val="auto"/>
              </w:rPr>
            </w:pPr>
            <w:r>
              <w:rPr>
                <w:rFonts w:ascii="Arial" w:cs="Arial" w:eastAsia="Arial" w:hAnsi="Arial"/>
                <w:sz w:val="18"/>
                <w:szCs w:val="18"/>
                <w:b w:val="1"/>
                <w:bCs w:val="1"/>
                <w:color w:val="FFFFFF"/>
              </w:rPr>
              <w:t>($)</w:t>
            </w:r>
          </w:p>
        </w:tc>
        <w:tc>
          <w:tcPr>
            <w:tcW w:w="1640" w:type="dxa"/>
            <w:vAlign w:val="bottom"/>
            <w:tcBorders>
              <w:right w:val="single" w:sz="8" w:color="2D53A6"/>
            </w:tcBorders>
            <w:vMerge w:val="restart"/>
            <w:shd w:val="clear" w:color="auto" w:fill="2D53A6"/>
          </w:tcPr>
          <w:p>
            <w:pPr>
              <w:jc w:val="right"/>
              <w:ind w:right="530"/>
              <w:spacing w:after="0" w:line="288" w:lineRule="exact"/>
              <w:rPr>
                <w:sz w:val="20"/>
                <w:szCs w:val="20"/>
                <w:color w:val="auto"/>
              </w:rPr>
            </w:pPr>
            <w:r>
              <w:rPr>
                <w:rFonts w:ascii="Arial" w:cs="Arial" w:eastAsia="Arial" w:hAnsi="Arial"/>
                <w:sz w:val="18"/>
                <w:szCs w:val="18"/>
                <w:b w:val="1"/>
                <w:bCs w:val="1"/>
                <w:color w:val="FFFFFF"/>
              </w:rPr>
              <w:t xml:space="preserve">($) </w:t>
            </w:r>
            <w:r>
              <w:rPr>
                <w:rFonts w:ascii="Arial" w:cs="Arial" w:eastAsia="Arial" w:hAnsi="Arial"/>
                <w:sz w:val="29"/>
                <w:szCs w:val="29"/>
                <w:b w:val="1"/>
                <w:bCs w:val="1"/>
                <w:color w:val="FFFFFF"/>
                <w:vertAlign w:val="superscript"/>
              </w:rPr>
              <w:t>(1)</w:t>
            </w:r>
          </w:p>
        </w:tc>
        <w:tc>
          <w:tcPr>
            <w:tcW w:w="1660" w:type="dxa"/>
            <w:vAlign w:val="bottom"/>
            <w:tcBorders>
              <w:right w:val="single" w:sz="8" w:color="2D53A6"/>
            </w:tcBorders>
            <w:vMerge w:val="restart"/>
            <w:shd w:val="clear" w:color="auto" w:fill="2D53A6"/>
          </w:tcPr>
          <w:p>
            <w:pPr>
              <w:jc w:val="right"/>
              <w:ind w:right="270"/>
              <w:spacing w:after="0" w:line="288" w:lineRule="exact"/>
              <w:rPr>
                <w:sz w:val="20"/>
                <w:szCs w:val="20"/>
                <w:color w:val="auto"/>
              </w:rPr>
            </w:pPr>
            <w:r>
              <w:rPr>
                <w:rFonts w:ascii="Arial" w:cs="Arial" w:eastAsia="Arial" w:hAnsi="Arial"/>
                <w:sz w:val="18"/>
                <w:szCs w:val="18"/>
                <w:b w:val="1"/>
                <w:bCs w:val="1"/>
                <w:color w:val="FFFFFF"/>
              </w:rPr>
              <w:t xml:space="preserve">Bonus ($) </w:t>
            </w:r>
            <w:r>
              <w:rPr>
                <w:rFonts w:ascii="Arial" w:cs="Arial" w:eastAsia="Arial" w:hAnsi="Arial"/>
                <w:sz w:val="29"/>
                <w:szCs w:val="29"/>
                <w:b w:val="1"/>
                <w:bCs w:val="1"/>
                <w:color w:val="FFFFFF"/>
                <w:vertAlign w:val="superscript"/>
              </w:rPr>
              <w:t>(1)</w:t>
            </w:r>
          </w:p>
        </w:tc>
        <w:tc>
          <w:tcPr>
            <w:tcW w:w="1640" w:type="dxa"/>
            <w:vAlign w:val="bottom"/>
            <w:tcBorders>
              <w:right w:val="single" w:sz="8" w:color="2D53A6"/>
            </w:tcBorders>
            <w:vMerge w:val="continue"/>
            <w:shd w:val="clear" w:color="auto" w:fill="2D53A6"/>
          </w:tcPr>
          <w:p>
            <w:pPr>
              <w:spacing w:after="0"/>
              <w:rPr>
                <w:sz w:val="9"/>
                <w:szCs w:val="9"/>
                <w:color w:val="auto"/>
              </w:rPr>
            </w:pPr>
          </w:p>
        </w:tc>
        <w:tc>
          <w:tcPr>
            <w:tcW w:w="1560" w:type="dxa"/>
            <w:vAlign w:val="bottom"/>
            <w:vMerge w:val="restart"/>
            <w:shd w:val="clear" w:color="auto" w:fill="2D53A6"/>
          </w:tcPr>
          <w:p>
            <w:pPr>
              <w:jc w:val="right"/>
              <w:ind w:right="470"/>
              <w:spacing w:after="0" w:line="288" w:lineRule="exact"/>
              <w:rPr>
                <w:sz w:val="20"/>
                <w:szCs w:val="20"/>
                <w:color w:val="auto"/>
              </w:rPr>
            </w:pPr>
            <w:r>
              <w:rPr>
                <w:rFonts w:ascii="Arial" w:cs="Arial" w:eastAsia="Arial" w:hAnsi="Arial"/>
                <w:sz w:val="18"/>
                <w:szCs w:val="18"/>
                <w:b w:val="1"/>
                <w:bCs w:val="1"/>
                <w:color w:val="FFFFFF"/>
              </w:rPr>
              <w:t xml:space="preserve">($) </w:t>
            </w:r>
            <w:r>
              <w:rPr>
                <w:rFonts w:ascii="Arial" w:cs="Arial" w:eastAsia="Arial" w:hAnsi="Arial"/>
                <w:sz w:val="29"/>
                <w:szCs w:val="29"/>
                <w:b w:val="1"/>
                <w:bCs w:val="1"/>
                <w:color w:val="FFFFFF"/>
                <w:vertAlign w:val="superscript"/>
              </w:rPr>
              <w:t>(3)</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3100" w:type="dxa"/>
            <w:vAlign w:val="bottom"/>
            <w:tcBorders>
              <w:right w:val="single" w:sz="8" w:color="2D53A6"/>
            </w:tcBorders>
            <w:shd w:val="clear" w:color="auto" w:fill="2D53A6"/>
          </w:tcPr>
          <w:p>
            <w:pPr>
              <w:spacing w:after="0"/>
              <w:rPr>
                <w:sz w:val="15"/>
                <w:szCs w:val="15"/>
                <w:color w:val="auto"/>
              </w:rPr>
            </w:pPr>
          </w:p>
        </w:tc>
        <w:tc>
          <w:tcPr>
            <w:tcW w:w="1640" w:type="dxa"/>
            <w:vAlign w:val="bottom"/>
            <w:tcBorders>
              <w:right w:val="single" w:sz="8" w:color="2D53A6"/>
            </w:tcBorders>
            <w:vMerge w:val="continue"/>
            <w:shd w:val="clear" w:color="auto" w:fill="2D53A6"/>
          </w:tcPr>
          <w:p>
            <w:pPr>
              <w:spacing w:after="0"/>
              <w:rPr>
                <w:sz w:val="15"/>
                <w:szCs w:val="15"/>
                <w:color w:val="auto"/>
              </w:rPr>
            </w:pPr>
          </w:p>
        </w:tc>
        <w:tc>
          <w:tcPr>
            <w:tcW w:w="1640" w:type="dxa"/>
            <w:vAlign w:val="bottom"/>
            <w:tcBorders>
              <w:right w:val="single" w:sz="8" w:color="2D53A6"/>
            </w:tcBorders>
            <w:vMerge w:val="continue"/>
            <w:shd w:val="clear" w:color="auto" w:fill="2D53A6"/>
          </w:tcPr>
          <w:p>
            <w:pPr>
              <w:spacing w:after="0"/>
              <w:rPr>
                <w:sz w:val="15"/>
                <w:szCs w:val="15"/>
                <w:color w:val="auto"/>
              </w:rPr>
            </w:pPr>
          </w:p>
        </w:tc>
        <w:tc>
          <w:tcPr>
            <w:tcW w:w="1660" w:type="dxa"/>
            <w:vAlign w:val="bottom"/>
            <w:tcBorders>
              <w:right w:val="single" w:sz="8" w:color="2D53A6"/>
            </w:tcBorders>
            <w:vMerge w:val="continue"/>
            <w:shd w:val="clear" w:color="auto" w:fill="2D53A6"/>
          </w:tcPr>
          <w:p>
            <w:pPr>
              <w:spacing w:after="0"/>
              <w:rPr>
                <w:sz w:val="15"/>
                <w:szCs w:val="15"/>
                <w:color w:val="auto"/>
              </w:rPr>
            </w:pPr>
          </w:p>
        </w:tc>
        <w:tc>
          <w:tcPr>
            <w:tcW w:w="164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99"/>
              </w:rPr>
              <w:t xml:space="preserve">($) </w:t>
            </w:r>
            <w:r>
              <w:rPr>
                <w:rFonts w:ascii="Arial" w:cs="Arial" w:eastAsia="Arial" w:hAnsi="Arial"/>
                <w:sz w:val="14"/>
                <w:szCs w:val="14"/>
                <w:b w:val="1"/>
                <w:bCs w:val="1"/>
                <w:color w:val="FFFFFF"/>
                <w:w w:val="99"/>
              </w:rPr>
              <w:t>(2)</w:t>
            </w:r>
          </w:p>
        </w:tc>
        <w:tc>
          <w:tcPr>
            <w:tcW w:w="1560" w:type="dxa"/>
            <w:vAlign w:val="bottom"/>
            <w:vMerge w:val="continue"/>
            <w:shd w:val="clear" w:color="auto" w:fill="2D53A6"/>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3100" w:type="dxa"/>
            <w:vAlign w:val="bottom"/>
            <w:tcBorders>
              <w:right w:val="single" w:sz="8" w:color="2D53A6"/>
            </w:tcBorders>
            <w:shd w:val="clear" w:color="auto" w:fill="2D53A6"/>
          </w:tcPr>
          <w:p>
            <w:pPr>
              <w:spacing w:after="0"/>
              <w:rPr>
                <w:sz w:val="5"/>
                <w:szCs w:val="5"/>
                <w:color w:val="auto"/>
              </w:rPr>
            </w:pPr>
          </w:p>
        </w:tc>
        <w:tc>
          <w:tcPr>
            <w:tcW w:w="1640" w:type="dxa"/>
            <w:vAlign w:val="bottom"/>
            <w:tcBorders>
              <w:right w:val="single" w:sz="8" w:color="2D53A6"/>
            </w:tcBorders>
            <w:shd w:val="clear" w:color="auto" w:fill="2D53A6"/>
          </w:tcPr>
          <w:p>
            <w:pPr>
              <w:spacing w:after="0"/>
              <w:rPr>
                <w:sz w:val="5"/>
                <w:szCs w:val="5"/>
                <w:color w:val="auto"/>
              </w:rPr>
            </w:pPr>
          </w:p>
        </w:tc>
        <w:tc>
          <w:tcPr>
            <w:tcW w:w="1640" w:type="dxa"/>
            <w:vAlign w:val="bottom"/>
            <w:tcBorders>
              <w:right w:val="single" w:sz="8" w:color="2D53A6"/>
            </w:tcBorders>
            <w:shd w:val="clear" w:color="auto" w:fill="2D53A6"/>
          </w:tcPr>
          <w:p>
            <w:pPr>
              <w:spacing w:after="0"/>
              <w:rPr>
                <w:sz w:val="5"/>
                <w:szCs w:val="5"/>
                <w:color w:val="auto"/>
              </w:rPr>
            </w:pPr>
          </w:p>
        </w:tc>
        <w:tc>
          <w:tcPr>
            <w:tcW w:w="1660" w:type="dxa"/>
            <w:vAlign w:val="bottom"/>
            <w:tcBorders>
              <w:right w:val="single" w:sz="8" w:color="2D53A6"/>
            </w:tcBorders>
            <w:shd w:val="clear" w:color="auto" w:fill="2D53A6"/>
          </w:tcPr>
          <w:p>
            <w:pPr>
              <w:spacing w:after="0"/>
              <w:rPr>
                <w:sz w:val="5"/>
                <w:szCs w:val="5"/>
                <w:color w:val="auto"/>
              </w:rPr>
            </w:pPr>
          </w:p>
        </w:tc>
        <w:tc>
          <w:tcPr>
            <w:tcW w:w="1640" w:type="dxa"/>
            <w:vAlign w:val="bottom"/>
            <w:tcBorders>
              <w:right w:val="single" w:sz="8" w:color="2D53A6"/>
            </w:tcBorders>
            <w:vMerge w:val="continue"/>
            <w:shd w:val="clear" w:color="auto" w:fill="2D53A6"/>
          </w:tcPr>
          <w:p>
            <w:pPr>
              <w:spacing w:after="0"/>
              <w:rPr>
                <w:sz w:val="5"/>
                <w:szCs w:val="5"/>
                <w:color w:val="auto"/>
              </w:rPr>
            </w:pPr>
          </w:p>
        </w:tc>
        <w:tc>
          <w:tcPr>
            <w:tcW w:w="1560" w:type="dxa"/>
            <w:vAlign w:val="bottom"/>
            <w:shd w:val="clear" w:color="auto" w:fill="2D53A6"/>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100" w:type="dxa"/>
            <w:vAlign w:val="bottom"/>
            <w:tcBorders>
              <w:bottom w:val="single" w:sz="8" w:color="2D53A6"/>
              <w:right w:val="single" w:sz="8" w:color="2D53A6"/>
            </w:tcBorders>
          </w:tcPr>
          <w:p>
            <w:pPr>
              <w:spacing w:after="0"/>
              <w:rPr>
                <w:sz w:val="20"/>
                <w:szCs w:val="20"/>
                <w:color w:val="auto"/>
              </w:rPr>
            </w:pPr>
            <w:r>
              <w:rPr>
                <w:rFonts w:ascii="Arial" w:cs="Arial" w:eastAsia="Arial" w:hAnsi="Arial"/>
                <w:sz w:val="18"/>
                <w:szCs w:val="18"/>
                <w:color w:val="auto"/>
              </w:rPr>
              <w:t>Luis A. Müller</w:t>
            </w:r>
          </w:p>
        </w:tc>
        <w:tc>
          <w:tcPr>
            <w:tcW w:w="164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14,398,664</w:t>
            </w:r>
          </w:p>
        </w:tc>
        <w:tc>
          <w:tcPr>
            <w:tcW w:w="164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2,500,000</w:t>
            </w:r>
          </w:p>
        </w:tc>
        <w:tc>
          <w:tcPr>
            <w:tcW w:w="166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625,000</w:t>
            </w:r>
          </w:p>
        </w:tc>
        <w:tc>
          <w:tcPr>
            <w:tcW w:w="164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67,936</w:t>
            </w:r>
          </w:p>
        </w:tc>
        <w:tc>
          <w:tcPr>
            <w:tcW w:w="1560" w:type="dxa"/>
            <w:vAlign w:val="bottom"/>
            <w:tcBorders>
              <w:bottom w:val="single" w:sz="8" w:color="2D53A6"/>
            </w:tcBorders>
          </w:tcPr>
          <w:p>
            <w:pPr>
              <w:jc w:val="right"/>
              <w:spacing w:after="0"/>
              <w:rPr>
                <w:sz w:val="20"/>
                <w:szCs w:val="20"/>
                <w:color w:val="auto"/>
              </w:rPr>
            </w:pPr>
            <w:r>
              <w:rPr>
                <w:rFonts w:ascii="Arial" w:cs="Arial" w:eastAsia="Arial" w:hAnsi="Arial"/>
                <w:sz w:val="18"/>
                <w:szCs w:val="18"/>
                <w:color w:val="auto"/>
              </w:rPr>
              <w:t>11,205,728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00" w:type="dxa"/>
            <w:vAlign w:val="bottom"/>
            <w:tcBorders>
              <w:bottom w:val="single" w:sz="8" w:color="2D53A6"/>
              <w:right w:val="single" w:sz="8" w:color="2D53A6"/>
            </w:tcBorders>
            <w:shd w:val="clear" w:color="auto" w:fill="E6E6E6"/>
          </w:tcPr>
          <w:p>
            <w:pPr>
              <w:spacing w:after="0"/>
              <w:rPr>
                <w:sz w:val="20"/>
                <w:szCs w:val="20"/>
                <w:color w:val="auto"/>
              </w:rPr>
            </w:pPr>
            <w:r>
              <w:rPr>
                <w:rFonts w:ascii="Arial" w:cs="Arial" w:eastAsia="Arial" w:hAnsi="Arial"/>
                <w:sz w:val="18"/>
                <w:szCs w:val="18"/>
                <w:color w:val="auto"/>
              </w:rPr>
              <w:t>Jeffrey D. Jones</w:t>
            </w:r>
          </w:p>
        </w:tc>
        <w:tc>
          <w:tcPr>
            <w:tcW w:w="164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5,265,908</w:t>
            </w:r>
          </w:p>
        </w:tc>
        <w:tc>
          <w:tcPr>
            <w:tcW w:w="164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1,045,500</w:t>
            </w:r>
          </w:p>
        </w:tc>
        <w:tc>
          <w:tcPr>
            <w:tcW w:w="166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287,000</w:t>
            </w:r>
          </w:p>
        </w:tc>
        <w:tc>
          <w:tcPr>
            <w:tcW w:w="164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50,952</w:t>
            </w:r>
          </w:p>
        </w:tc>
        <w:tc>
          <w:tcPr>
            <w:tcW w:w="1560" w:type="dxa"/>
            <w:vAlign w:val="bottom"/>
            <w:tcBorders>
              <w:bottom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3,882,456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00" w:type="dxa"/>
            <w:vAlign w:val="bottom"/>
            <w:tcBorders>
              <w:bottom w:val="single" w:sz="8" w:color="2D53A6"/>
              <w:right w:val="single" w:sz="8" w:color="2D53A6"/>
            </w:tcBorders>
          </w:tcPr>
          <w:p>
            <w:pPr>
              <w:spacing w:after="0"/>
              <w:rPr>
                <w:sz w:val="20"/>
                <w:szCs w:val="20"/>
                <w:color w:val="auto"/>
              </w:rPr>
            </w:pPr>
            <w:r>
              <w:rPr>
                <w:rFonts w:ascii="Arial" w:cs="Arial" w:eastAsia="Arial" w:hAnsi="Arial"/>
                <w:sz w:val="18"/>
                <w:szCs w:val="18"/>
                <w:color w:val="auto"/>
              </w:rPr>
              <w:t>Christopher G. Bohrson</w:t>
            </w:r>
          </w:p>
        </w:tc>
        <w:tc>
          <w:tcPr>
            <w:tcW w:w="164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3,734,267</w:t>
            </w:r>
          </w:p>
        </w:tc>
        <w:tc>
          <w:tcPr>
            <w:tcW w:w="164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933,300</w:t>
            </w:r>
          </w:p>
        </w:tc>
        <w:tc>
          <w:tcPr>
            <w:tcW w:w="166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256,200</w:t>
            </w:r>
          </w:p>
        </w:tc>
        <w:tc>
          <w:tcPr>
            <w:tcW w:w="164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35,232</w:t>
            </w:r>
          </w:p>
        </w:tc>
        <w:tc>
          <w:tcPr>
            <w:tcW w:w="1560" w:type="dxa"/>
            <w:vAlign w:val="bottom"/>
            <w:tcBorders>
              <w:bottom w:val="single" w:sz="8" w:color="2D53A6"/>
            </w:tcBorders>
          </w:tcPr>
          <w:p>
            <w:pPr>
              <w:jc w:val="right"/>
              <w:spacing w:after="0"/>
              <w:rPr>
                <w:sz w:val="20"/>
                <w:szCs w:val="20"/>
                <w:color w:val="auto"/>
              </w:rPr>
            </w:pPr>
            <w:r>
              <w:rPr>
                <w:rFonts w:ascii="Arial" w:cs="Arial" w:eastAsia="Arial" w:hAnsi="Arial"/>
                <w:sz w:val="18"/>
                <w:szCs w:val="18"/>
                <w:color w:val="auto"/>
              </w:rPr>
              <w:t>2,509,535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00" w:type="dxa"/>
            <w:vAlign w:val="bottom"/>
            <w:tcBorders>
              <w:bottom w:val="single" w:sz="8" w:color="2D53A6"/>
              <w:right w:val="single" w:sz="8" w:color="2D53A6"/>
            </w:tcBorders>
            <w:shd w:val="clear" w:color="auto" w:fill="E6E6E6"/>
          </w:tcPr>
          <w:p>
            <w:pPr>
              <w:spacing w:after="0"/>
              <w:rPr>
                <w:sz w:val="20"/>
                <w:szCs w:val="20"/>
                <w:color w:val="auto"/>
              </w:rPr>
            </w:pPr>
            <w:r>
              <w:rPr>
                <w:rFonts w:ascii="Arial" w:cs="Arial" w:eastAsia="Arial" w:hAnsi="Arial"/>
                <w:sz w:val="18"/>
                <w:szCs w:val="18"/>
                <w:color w:val="auto"/>
              </w:rPr>
              <w:t>Thomas D. Kampfer</w:t>
            </w:r>
          </w:p>
        </w:tc>
        <w:tc>
          <w:tcPr>
            <w:tcW w:w="164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2,948,903</w:t>
            </w:r>
          </w:p>
        </w:tc>
        <w:tc>
          <w:tcPr>
            <w:tcW w:w="164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798,750</w:t>
            </w:r>
          </w:p>
        </w:tc>
        <w:tc>
          <w:tcPr>
            <w:tcW w:w="166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177,500</w:t>
            </w:r>
          </w:p>
        </w:tc>
        <w:tc>
          <w:tcPr>
            <w:tcW w:w="164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44,215</w:t>
            </w:r>
          </w:p>
        </w:tc>
        <w:tc>
          <w:tcPr>
            <w:tcW w:w="1560" w:type="dxa"/>
            <w:vAlign w:val="bottom"/>
            <w:tcBorders>
              <w:bottom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1,928,438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00" w:type="dxa"/>
            <w:vAlign w:val="bottom"/>
            <w:tcBorders>
              <w:bottom w:val="single" w:sz="8" w:color="2D53A6"/>
              <w:right w:val="single" w:sz="8" w:color="2D53A6"/>
            </w:tcBorders>
          </w:tcPr>
          <w:p>
            <w:pPr>
              <w:spacing w:after="0"/>
              <w:rPr>
                <w:sz w:val="20"/>
                <w:szCs w:val="20"/>
                <w:color w:val="auto"/>
              </w:rPr>
            </w:pPr>
            <w:r>
              <w:rPr>
                <w:rFonts w:ascii="Arial" w:cs="Arial" w:eastAsia="Arial" w:hAnsi="Arial"/>
                <w:sz w:val="18"/>
                <w:szCs w:val="18"/>
                <w:color w:val="auto"/>
              </w:rPr>
              <w:t>Ian P. Lawee</w:t>
            </w:r>
          </w:p>
        </w:tc>
        <w:tc>
          <w:tcPr>
            <w:tcW w:w="164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2,233,640</w:t>
            </w:r>
          </w:p>
        </w:tc>
        <w:tc>
          <w:tcPr>
            <w:tcW w:w="164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725,400</w:t>
            </w:r>
          </w:p>
        </w:tc>
        <w:tc>
          <w:tcPr>
            <w:tcW w:w="166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171,600</w:t>
            </w:r>
          </w:p>
        </w:tc>
        <w:tc>
          <w:tcPr>
            <w:tcW w:w="164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50,952</w:t>
            </w:r>
          </w:p>
        </w:tc>
        <w:tc>
          <w:tcPr>
            <w:tcW w:w="1560" w:type="dxa"/>
            <w:vAlign w:val="bottom"/>
            <w:tcBorders>
              <w:bottom w:val="single" w:sz="8" w:color="2D53A6"/>
            </w:tcBorders>
          </w:tcPr>
          <w:p>
            <w:pPr>
              <w:jc w:val="right"/>
              <w:spacing w:after="0"/>
              <w:rPr>
                <w:sz w:val="20"/>
                <w:szCs w:val="20"/>
                <w:color w:val="auto"/>
              </w:rPr>
            </w:pPr>
            <w:r>
              <w:rPr>
                <w:rFonts w:ascii="Arial" w:cs="Arial" w:eastAsia="Arial" w:hAnsi="Arial"/>
                <w:sz w:val="18"/>
                <w:szCs w:val="18"/>
                <w:color w:val="auto"/>
              </w:rPr>
              <w:t>1,285,688</w:t>
            </w:r>
          </w:p>
        </w:tc>
        <w:tc>
          <w:tcPr>
            <w:tcW w:w="20" w:type="dxa"/>
            <w:vAlign w:val="bottom"/>
            <w:tcBorders>
              <w:bottom w:val="single" w:sz="8" w:color="2D53A6"/>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right="480" w:hanging="332"/>
        <w:spacing w:after="0" w:line="274" w:lineRule="auto"/>
        <w:tabs>
          <w:tab w:leader="none" w:pos="3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Reflects the cash severance benefits payable in the event of a qualifying termination under the Change in Control Agreements for Dr. Müller and Messrs. Jones, Bohrson and Kampfer, and Lawee. These amounts are based on the individual’s fiscal 2021 base salary.</w:t>
      </w:r>
    </w:p>
    <w:p>
      <w:pPr>
        <w:ind w:left="340" w:right="220" w:hanging="332"/>
        <w:spacing w:after="0" w:line="250"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Reflects reimbursement for continued health care benefits pursuant to COBRA, twenty-for (24) months for Dr. Müller, and eighteen (18) months for Messrs. Jones, Bohrson, Kampfer and Lawee.</w:t>
      </w:r>
    </w:p>
    <w:p>
      <w:pPr>
        <w:ind w:left="340" w:right="20" w:hanging="332"/>
        <w:spacing w:after="0" w:line="253"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2005 Plan provides that in the event of a change in control, as defined in the 2005 Plan, should the acquiring corporation not assume or substitute for the outstanding equity awards of Cohu, the exercisability and vesting of all such equity awards will be accelerated, effective as of a date prior to the change in control. Amounts presented above for RSUs and PSUs have been calculated based on the total unvested RSUs and PSUs and the closing price of Cohu’s common stock of $38.01 on December 25, 2021, prior to the payment of associated taxes, held by Dr. Müller and Messrs. Jones, Bohrson, Kampfer and Lawee as of December 25, 2021.</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i w:val="1"/>
          <w:iCs w:val="1"/>
          <w:color w:val="auto"/>
        </w:rPr>
        <w:t>Estimated Payments Upon a Qualifying Termination Not in Connection with a Change of Control</w:t>
      </w:r>
    </w:p>
    <w:p>
      <w:pPr>
        <w:spacing w:after="0" w:line="22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In the event of termination of employment not in connection with a change of control in the case for Dr. Müller and Messrs. Jones, Bohrson, Kampfer and Lawee by Cohu without cause, or by Dr. Müller for Good Reason as of December 25, 2021, the amounts payable to each executive officer would have been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80" w:type="dxa"/>
            <w:vAlign w:val="bottom"/>
            <w:tcBorders>
              <w:right w:val="single" w:sz="8" w:color="2D53A6"/>
            </w:tcBorders>
            <w:shd w:val="clear" w:color="auto" w:fill="2D53A6"/>
          </w:tcPr>
          <w:p>
            <w:pPr>
              <w:spacing w:after="0"/>
              <w:rPr>
                <w:sz w:val="17"/>
                <w:szCs w:val="17"/>
                <w:color w:val="auto"/>
              </w:rPr>
            </w:pPr>
          </w:p>
        </w:tc>
        <w:tc>
          <w:tcPr>
            <w:tcW w:w="1760" w:type="dxa"/>
            <w:vAlign w:val="bottom"/>
            <w:vMerge w:val="restart"/>
            <w:shd w:val="clear" w:color="auto" w:fill="2D53A6"/>
          </w:tcPr>
          <w:p>
            <w:pPr>
              <w:jc w:val="center"/>
              <w:ind w:left="750"/>
              <w:spacing w:after="0"/>
              <w:rPr>
                <w:sz w:val="20"/>
                <w:szCs w:val="20"/>
                <w:color w:val="auto"/>
              </w:rPr>
            </w:pPr>
            <w:r>
              <w:rPr>
                <w:rFonts w:ascii="Arial" w:cs="Arial" w:eastAsia="Arial" w:hAnsi="Arial"/>
                <w:sz w:val="18"/>
                <w:szCs w:val="18"/>
                <w:b w:val="1"/>
                <w:bCs w:val="1"/>
                <w:color w:val="FFFFFF"/>
                <w:w w:val="92"/>
              </w:rPr>
              <w:t>Total</w:t>
            </w:r>
          </w:p>
        </w:tc>
        <w:tc>
          <w:tcPr>
            <w:tcW w:w="860" w:type="dxa"/>
            <w:vAlign w:val="bottom"/>
            <w:tcBorders>
              <w:right w:val="single" w:sz="8" w:color="2D53A6"/>
            </w:tcBorders>
            <w:shd w:val="clear" w:color="auto" w:fill="2D53A6"/>
          </w:tcPr>
          <w:p>
            <w:pPr>
              <w:spacing w:after="0"/>
              <w:rPr>
                <w:sz w:val="17"/>
                <w:szCs w:val="17"/>
                <w:color w:val="auto"/>
              </w:rPr>
            </w:pPr>
          </w:p>
        </w:tc>
        <w:tc>
          <w:tcPr>
            <w:tcW w:w="2600" w:type="dxa"/>
            <w:vAlign w:val="bottom"/>
            <w:tcBorders>
              <w:right w:val="single" w:sz="8" w:color="2D53A6"/>
            </w:tcBorders>
            <w:vMerge w:val="restart"/>
            <w:shd w:val="clear" w:color="auto" w:fill="2D53A6"/>
          </w:tcPr>
          <w:p>
            <w:pPr>
              <w:jc w:val="right"/>
              <w:ind w:right="830"/>
              <w:spacing w:after="0"/>
              <w:rPr>
                <w:sz w:val="20"/>
                <w:szCs w:val="20"/>
                <w:color w:val="auto"/>
              </w:rPr>
            </w:pPr>
            <w:r>
              <w:rPr>
                <w:rFonts w:ascii="Arial" w:cs="Arial" w:eastAsia="Arial" w:hAnsi="Arial"/>
                <w:sz w:val="18"/>
                <w:szCs w:val="18"/>
                <w:b w:val="1"/>
                <w:bCs w:val="1"/>
                <w:color w:val="FFFFFF"/>
              </w:rPr>
              <w:t>Severance</w:t>
            </w:r>
          </w:p>
        </w:tc>
        <w:tc>
          <w:tcPr>
            <w:tcW w:w="2540" w:type="dxa"/>
            <w:vAlign w:val="bottom"/>
            <w:shd w:val="clear" w:color="auto" w:fill="2D53A6"/>
          </w:tcPr>
          <w:p>
            <w:pPr>
              <w:jc w:val="center"/>
              <w:spacing w:after="0"/>
              <w:rPr>
                <w:sz w:val="20"/>
                <w:szCs w:val="20"/>
                <w:color w:val="auto"/>
              </w:rPr>
            </w:pPr>
            <w:r>
              <w:rPr>
                <w:rFonts w:ascii="Arial" w:cs="Arial" w:eastAsia="Arial" w:hAnsi="Arial"/>
                <w:sz w:val="18"/>
                <w:szCs w:val="18"/>
                <w:b w:val="1"/>
                <w:bCs w:val="1"/>
                <w:color w:val="FFFFFF"/>
                <w:w w:val="93"/>
              </w:rPr>
              <w:t>Medical</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3480" w:type="dxa"/>
            <w:vAlign w:val="bottom"/>
            <w:tcBorders>
              <w:right w:val="single" w:sz="8" w:color="2D53A6"/>
            </w:tcBorders>
            <w:vMerge w:val="restart"/>
            <w:shd w:val="clear" w:color="auto" w:fill="2D53A6"/>
          </w:tcPr>
          <w:p>
            <w:pPr>
              <w:spacing w:after="0"/>
              <w:rPr>
                <w:sz w:val="20"/>
                <w:szCs w:val="20"/>
                <w:color w:val="auto"/>
              </w:rPr>
            </w:pPr>
            <w:r>
              <w:rPr>
                <w:rFonts w:ascii="Arial" w:cs="Arial" w:eastAsia="Arial" w:hAnsi="Arial"/>
                <w:sz w:val="18"/>
                <w:szCs w:val="18"/>
                <w:b w:val="1"/>
                <w:bCs w:val="1"/>
                <w:color w:val="FFFFFF"/>
              </w:rPr>
              <w:t>Named Executive Officer</w:t>
            </w:r>
          </w:p>
        </w:tc>
        <w:tc>
          <w:tcPr>
            <w:tcW w:w="1760" w:type="dxa"/>
            <w:vAlign w:val="bottom"/>
            <w:vMerge w:val="continue"/>
            <w:shd w:val="clear" w:color="auto" w:fill="2D53A6"/>
          </w:tcPr>
          <w:p>
            <w:pPr>
              <w:spacing w:after="0"/>
              <w:rPr>
                <w:sz w:val="9"/>
                <w:szCs w:val="9"/>
                <w:color w:val="auto"/>
              </w:rPr>
            </w:pPr>
          </w:p>
        </w:tc>
        <w:tc>
          <w:tcPr>
            <w:tcW w:w="860" w:type="dxa"/>
            <w:vAlign w:val="bottom"/>
            <w:tcBorders>
              <w:right w:val="single" w:sz="8" w:color="2D53A6"/>
            </w:tcBorders>
            <w:shd w:val="clear" w:color="auto" w:fill="2D53A6"/>
          </w:tcPr>
          <w:p>
            <w:pPr>
              <w:spacing w:after="0"/>
              <w:rPr>
                <w:sz w:val="9"/>
                <w:szCs w:val="9"/>
                <w:color w:val="auto"/>
              </w:rPr>
            </w:pPr>
          </w:p>
        </w:tc>
        <w:tc>
          <w:tcPr>
            <w:tcW w:w="2600" w:type="dxa"/>
            <w:vAlign w:val="bottom"/>
            <w:tcBorders>
              <w:right w:val="single" w:sz="8" w:color="2D53A6"/>
            </w:tcBorders>
            <w:vMerge w:val="continue"/>
            <w:shd w:val="clear" w:color="auto" w:fill="2D53A6"/>
          </w:tcPr>
          <w:p>
            <w:pPr>
              <w:spacing w:after="0"/>
              <w:rPr>
                <w:sz w:val="9"/>
                <w:szCs w:val="9"/>
                <w:color w:val="auto"/>
              </w:rPr>
            </w:pPr>
          </w:p>
        </w:tc>
        <w:tc>
          <w:tcPr>
            <w:tcW w:w="2540" w:type="dxa"/>
            <w:vAlign w:val="bottom"/>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87"/>
              </w:rPr>
              <w:t>Benefits</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480" w:type="dxa"/>
            <w:vAlign w:val="bottom"/>
            <w:tcBorders>
              <w:right w:val="single" w:sz="8" w:color="2D53A6"/>
            </w:tcBorders>
            <w:vMerge w:val="continue"/>
            <w:shd w:val="clear" w:color="auto" w:fill="2D53A6"/>
          </w:tcPr>
          <w:p>
            <w:pPr>
              <w:spacing w:after="0"/>
              <w:rPr>
                <w:sz w:val="9"/>
                <w:szCs w:val="9"/>
                <w:color w:val="auto"/>
              </w:rPr>
            </w:pPr>
          </w:p>
        </w:tc>
        <w:tc>
          <w:tcPr>
            <w:tcW w:w="1760" w:type="dxa"/>
            <w:vAlign w:val="bottom"/>
            <w:vMerge w:val="restart"/>
            <w:shd w:val="clear" w:color="auto" w:fill="2D53A6"/>
          </w:tcPr>
          <w:p>
            <w:pPr>
              <w:jc w:val="right"/>
              <w:ind w:right="270"/>
              <w:spacing w:after="0"/>
              <w:rPr>
                <w:sz w:val="20"/>
                <w:szCs w:val="20"/>
                <w:color w:val="auto"/>
              </w:rPr>
            </w:pPr>
            <w:r>
              <w:rPr>
                <w:rFonts w:ascii="Arial" w:cs="Arial" w:eastAsia="Arial" w:hAnsi="Arial"/>
                <w:sz w:val="18"/>
                <w:szCs w:val="18"/>
                <w:b w:val="1"/>
                <w:bCs w:val="1"/>
                <w:color w:val="FFFFFF"/>
              </w:rPr>
              <w:t>($)</w:t>
            </w:r>
          </w:p>
        </w:tc>
        <w:tc>
          <w:tcPr>
            <w:tcW w:w="860" w:type="dxa"/>
            <w:vAlign w:val="bottom"/>
            <w:tcBorders>
              <w:right w:val="single" w:sz="8" w:color="2D53A6"/>
            </w:tcBorders>
            <w:shd w:val="clear" w:color="auto" w:fill="2D53A6"/>
          </w:tcPr>
          <w:p>
            <w:pPr>
              <w:spacing w:after="0"/>
              <w:rPr>
                <w:sz w:val="9"/>
                <w:szCs w:val="9"/>
                <w:color w:val="auto"/>
              </w:rPr>
            </w:pPr>
          </w:p>
        </w:tc>
        <w:tc>
          <w:tcPr>
            <w:tcW w:w="2600" w:type="dxa"/>
            <w:vAlign w:val="bottom"/>
            <w:tcBorders>
              <w:right w:val="single" w:sz="8" w:color="2D53A6"/>
            </w:tcBorders>
            <w:vMerge w:val="restart"/>
            <w:shd w:val="clear" w:color="auto" w:fill="2D53A6"/>
          </w:tcPr>
          <w:p>
            <w:pPr>
              <w:jc w:val="right"/>
              <w:ind w:right="1010"/>
              <w:spacing w:after="0" w:line="288" w:lineRule="exact"/>
              <w:rPr>
                <w:sz w:val="20"/>
                <w:szCs w:val="20"/>
                <w:color w:val="auto"/>
              </w:rPr>
            </w:pPr>
            <w:r>
              <w:rPr>
                <w:rFonts w:ascii="Arial" w:cs="Arial" w:eastAsia="Arial" w:hAnsi="Arial"/>
                <w:sz w:val="18"/>
                <w:szCs w:val="18"/>
                <w:b w:val="1"/>
                <w:bCs w:val="1"/>
                <w:color w:val="FFFFFF"/>
              </w:rPr>
              <w:t xml:space="preserve">($) </w:t>
            </w:r>
            <w:r>
              <w:rPr>
                <w:rFonts w:ascii="Arial" w:cs="Arial" w:eastAsia="Arial" w:hAnsi="Arial"/>
                <w:sz w:val="29"/>
                <w:szCs w:val="29"/>
                <w:b w:val="1"/>
                <w:bCs w:val="1"/>
                <w:color w:val="FFFFFF"/>
                <w:vertAlign w:val="superscript"/>
              </w:rPr>
              <w:t>(1)</w:t>
            </w:r>
          </w:p>
        </w:tc>
        <w:tc>
          <w:tcPr>
            <w:tcW w:w="2540" w:type="dxa"/>
            <w:vAlign w:val="bottom"/>
            <w:vMerge w:val="continue"/>
            <w:shd w:val="clear" w:color="auto" w:fill="2D53A6"/>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3480" w:type="dxa"/>
            <w:vAlign w:val="bottom"/>
            <w:tcBorders>
              <w:right w:val="single" w:sz="8" w:color="2D53A6"/>
            </w:tcBorders>
            <w:shd w:val="clear" w:color="auto" w:fill="2D53A6"/>
          </w:tcPr>
          <w:p>
            <w:pPr>
              <w:spacing w:after="0"/>
              <w:rPr>
                <w:sz w:val="15"/>
                <w:szCs w:val="15"/>
                <w:color w:val="auto"/>
              </w:rPr>
            </w:pPr>
          </w:p>
        </w:tc>
        <w:tc>
          <w:tcPr>
            <w:tcW w:w="1760" w:type="dxa"/>
            <w:vAlign w:val="bottom"/>
            <w:vMerge w:val="continue"/>
            <w:shd w:val="clear" w:color="auto" w:fill="2D53A6"/>
          </w:tcPr>
          <w:p>
            <w:pPr>
              <w:spacing w:after="0"/>
              <w:rPr>
                <w:sz w:val="15"/>
                <w:szCs w:val="15"/>
                <w:color w:val="auto"/>
              </w:rPr>
            </w:pPr>
          </w:p>
        </w:tc>
        <w:tc>
          <w:tcPr>
            <w:tcW w:w="860" w:type="dxa"/>
            <w:vAlign w:val="bottom"/>
            <w:tcBorders>
              <w:right w:val="single" w:sz="8" w:color="2D53A6"/>
            </w:tcBorders>
            <w:shd w:val="clear" w:color="auto" w:fill="2D53A6"/>
          </w:tcPr>
          <w:p>
            <w:pPr>
              <w:spacing w:after="0"/>
              <w:rPr>
                <w:sz w:val="15"/>
                <w:szCs w:val="15"/>
                <w:color w:val="auto"/>
              </w:rPr>
            </w:pPr>
          </w:p>
        </w:tc>
        <w:tc>
          <w:tcPr>
            <w:tcW w:w="2600" w:type="dxa"/>
            <w:vAlign w:val="bottom"/>
            <w:tcBorders>
              <w:right w:val="single" w:sz="8" w:color="2D53A6"/>
            </w:tcBorders>
            <w:vMerge w:val="continue"/>
            <w:shd w:val="clear" w:color="auto" w:fill="2D53A6"/>
          </w:tcPr>
          <w:p>
            <w:pPr>
              <w:spacing w:after="0"/>
              <w:rPr>
                <w:sz w:val="15"/>
                <w:szCs w:val="15"/>
                <w:color w:val="auto"/>
              </w:rPr>
            </w:pPr>
          </w:p>
        </w:tc>
        <w:tc>
          <w:tcPr>
            <w:tcW w:w="2540" w:type="dxa"/>
            <w:vAlign w:val="bottom"/>
            <w:vMerge w:val="restart"/>
            <w:shd w:val="clear" w:color="auto" w:fill="2D53A6"/>
          </w:tcPr>
          <w:p>
            <w:pPr>
              <w:jc w:val="center"/>
              <w:spacing w:after="0"/>
              <w:rPr>
                <w:sz w:val="20"/>
                <w:szCs w:val="20"/>
                <w:color w:val="auto"/>
              </w:rPr>
            </w:pPr>
            <w:r>
              <w:rPr>
                <w:rFonts w:ascii="Arial" w:cs="Arial" w:eastAsia="Arial" w:hAnsi="Arial"/>
                <w:sz w:val="18"/>
                <w:szCs w:val="18"/>
                <w:b w:val="1"/>
                <w:bCs w:val="1"/>
                <w:color w:val="FFFFFF"/>
                <w:w w:val="95"/>
              </w:rPr>
              <w:t xml:space="preserve">($) </w:t>
            </w:r>
            <w:r>
              <w:rPr>
                <w:rFonts w:ascii="Arial" w:cs="Arial" w:eastAsia="Arial" w:hAnsi="Arial"/>
                <w:sz w:val="14"/>
                <w:szCs w:val="14"/>
                <w:b w:val="1"/>
                <w:bCs w:val="1"/>
                <w:color w:val="FFFFFF"/>
                <w:w w:val="95"/>
              </w:rPr>
              <w:t>(2)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3480" w:type="dxa"/>
            <w:vAlign w:val="bottom"/>
            <w:tcBorders>
              <w:right w:val="single" w:sz="8" w:color="2D53A6"/>
            </w:tcBorders>
            <w:shd w:val="clear" w:color="auto" w:fill="2D53A6"/>
          </w:tcPr>
          <w:p>
            <w:pPr>
              <w:spacing w:after="0"/>
              <w:rPr>
                <w:sz w:val="5"/>
                <w:szCs w:val="5"/>
                <w:color w:val="auto"/>
              </w:rPr>
            </w:pPr>
          </w:p>
        </w:tc>
        <w:tc>
          <w:tcPr>
            <w:tcW w:w="1760" w:type="dxa"/>
            <w:vAlign w:val="bottom"/>
            <w:shd w:val="clear" w:color="auto" w:fill="2D53A6"/>
          </w:tcPr>
          <w:p>
            <w:pPr>
              <w:spacing w:after="0"/>
              <w:rPr>
                <w:sz w:val="5"/>
                <w:szCs w:val="5"/>
                <w:color w:val="auto"/>
              </w:rPr>
            </w:pPr>
          </w:p>
        </w:tc>
        <w:tc>
          <w:tcPr>
            <w:tcW w:w="860" w:type="dxa"/>
            <w:vAlign w:val="bottom"/>
            <w:tcBorders>
              <w:right w:val="single" w:sz="8" w:color="2D53A6"/>
            </w:tcBorders>
            <w:shd w:val="clear" w:color="auto" w:fill="2D53A6"/>
          </w:tcPr>
          <w:p>
            <w:pPr>
              <w:spacing w:after="0"/>
              <w:rPr>
                <w:sz w:val="5"/>
                <w:szCs w:val="5"/>
                <w:color w:val="auto"/>
              </w:rPr>
            </w:pPr>
          </w:p>
        </w:tc>
        <w:tc>
          <w:tcPr>
            <w:tcW w:w="2600" w:type="dxa"/>
            <w:vAlign w:val="bottom"/>
            <w:tcBorders>
              <w:right w:val="single" w:sz="8" w:color="2D53A6"/>
            </w:tcBorders>
            <w:shd w:val="clear" w:color="auto" w:fill="2D53A6"/>
          </w:tcPr>
          <w:p>
            <w:pPr>
              <w:spacing w:after="0"/>
              <w:rPr>
                <w:sz w:val="5"/>
                <w:szCs w:val="5"/>
                <w:color w:val="auto"/>
              </w:rPr>
            </w:pPr>
          </w:p>
        </w:tc>
        <w:tc>
          <w:tcPr>
            <w:tcW w:w="2540" w:type="dxa"/>
            <w:vAlign w:val="bottom"/>
            <w:vMerge w:val="continue"/>
            <w:shd w:val="clear" w:color="auto" w:fill="2D53A6"/>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480" w:type="dxa"/>
            <w:vAlign w:val="bottom"/>
            <w:tcBorders>
              <w:bottom w:val="single" w:sz="8" w:color="2D53A6"/>
              <w:right w:val="single" w:sz="8" w:color="2D53A6"/>
            </w:tcBorders>
          </w:tcPr>
          <w:p>
            <w:pPr>
              <w:spacing w:after="0"/>
              <w:rPr>
                <w:sz w:val="20"/>
                <w:szCs w:val="20"/>
                <w:color w:val="auto"/>
              </w:rPr>
            </w:pPr>
            <w:r>
              <w:rPr>
                <w:rFonts w:ascii="Arial" w:cs="Arial" w:eastAsia="Arial" w:hAnsi="Arial"/>
                <w:sz w:val="18"/>
                <w:szCs w:val="18"/>
                <w:color w:val="auto"/>
              </w:rPr>
              <w:t>Luis A. Müller</w:t>
            </w:r>
          </w:p>
        </w:tc>
        <w:tc>
          <w:tcPr>
            <w:tcW w:w="1760" w:type="dxa"/>
            <w:vAlign w:val="bottom"/>
            <w:tcBorders>
              <w:bottom w:val="single" w:sz="8" w:color="2D53A6"/>
            </w:tcBorders>
          </w:tcPr>
          <w:p>
            <w:pPr>
              <w:spacing w:after="0"/>
              <w:rPr>
                <w:sz w:val="18"/>
                <w:szCs w:val="18"/>
                <w:color w:val="auto"/>
              </w:rPr>
            </w:pPr>
          </w:p>
        </w:tc>
        <w:tc>
          <w:tcPr>
            <w:tcW w:w="86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988,452</w:t>
            </w:r>
          </w:p>
        </w:tc>
        <w:tc>
          <w:tcPr>
            <w:tcW w:w="260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937,500</w:t>
            </w:r>
          </w:p>
        </w:tc>
        <w:tc>
          <w:tcPr>
            <w:tcW w:w="2540" w:type="dxa"/>
            <w:vAlign w:val="bottom"/>
            <w:tcBorders>
              <w:bottom w:val="single" w:sz="8" w:color="2D53A6"/>
            </w:tcBorders>
          </w:tcPr>
          <w:p>
            <w:pPr>
              <w:jc w:val="right"/>
              <w:spacing w:after="0"/>
              <w:rPr>
                <w:sz w:val="20"/>
                <w:szCs w:val="20"/>
                <w:color w:val="auto"/>
              </w:rPr>
            </w:pPr>
            <w:r>
              <w:rPr>
                <w:rFonts w:ascii="Arial" w:cs="Arial" w:eastAsia="Arial" w:hAnsi="Arial"/>
                <w:sz w:val="18"/>
                <w:szCs w:val="18"/>
                <w:color w:val="auto"/>
              </w:rPr>
              <w:t>50,952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80" w:type="dxa"/>
            <w:vAlign w:val="bottom"/>
            <w:tcBorders>
              <w:bottom w:val="single" w:sz="8" w:color="2D53A6"/>
              <w:right w:val="single" w:sz="8" w:color="2D53A6"/>
            </w:tcBorders>
            <w:shd w:val="clear" w:color="auto" w:fill="E6E6E6"/>
          </w:tcPr>
          <w:p>
            <w:pPr>
              <w:spacing w:after="0"/>
              <w:rPr>
                <w:sz w:val="20"/>
                <w:szCs w:val="20"/>
                <w:color w:val="auto"/>
              </w:rPr>
            </w:pPr>
            <w:r>
              <w:rPr>
                <w:rFonts w:ascii="Arial" w:cs="Arial" w:eastAsia="Arial" w:hAnsi="Arial"/>
                <w:sz w:val="18"/>
                <w:szCs w:val="18"/>
                <w:color w:val="auto"/>
              </w:rPr>
              <w:t>Jeffrey D. Jones</w:t>
            </w:r>
          </w:p>
        </w:tc>
        <w:tc>
          <w:tcPr>
            <w:tcW w:w="1760" w:type="dxa"/>
            <w:vAlign w:val="bottom"/>
            <w:tcBorders>
              <w:bottom w:val="single" w:sz="8" w:color="2D53A6"/>
            </w:tcBorders>
            <w:shd w:val="clear" w:color="auto" w:fill="E6E6E6"/>
          </w:tcPr>
          <w:p>
            <w:pPr>
              <w:spacing w:after="0"/>
              <w:rPr>
                <w:sz w:val="18"/>
                <w:szCs w:val="18"/>
                <w:color w:val="auto"/>
              </w:rPr>
            </w:pPr>
          </w:p>
        </w:tc>
        <w:tc>
          <w:tcPr>
            <w:tcW w:w="86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443,968</w:t>
            </w:r>
          </w:p>
        </w:tc>
        <w:tc>
          <w:tcPr>
            <w:tcW w:w="260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410,000</w:t>
            </w:r>
          </w:p>
        </w:tc>
        <w:tc>
          <w:tcPr>
            <w:tcW w:w="2540" w:type="dxa"/>
            <w:vAlign w:val="bottom"/>
            <w:tcBorders>
              <w:bottom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33,968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80" w:type="dxa"/>
            <w:vAlign w:val="bottom"/>
            <w:tcBorders>
              <w:bottom w:val="single" w:sz="8" w:color="2D53A6"/>
              <w:right w:val="single" w:sz="8" w:color="2D53A6"/>
            </w:tcBorders>
          </w:tcPr>
          <w:p>
            <w:pPr>
              <w:spacing w:after="0"/>
              <w:rPr>
                <w:sz w:val="20"/>
                <w:szCs w:val="20"/>
                <w:color w:val="auto"/>
              </w:rPr>
            </w:pPr>
            <w:r>
              <w:rPr>
                <w:rFonts w:ascii="Arial" w:cs="Arial" w:eastAsia="Arial" w:hAnsi="Arial"/>
                <w:sz w:val="18"/>
                <w:szCs w:val="18"/>
                <w:color w:val="auto"/>
              </w:rPr>
              <w:t>Christopher G. Bohrson</w:t>
            </w:r>
          </w:p>
        </w:tc>
        <w:tc>
          <w:tcPr>
            <w:tcW w:w="1760" w:type="dxa"/>
            <w:vAlign w:val="bottom"/>
            <w:tcBorders>
              <w:bottom w:val="single" w:sz="8" w:color="2D53A6"/>
            </w:tcBorders>
          </w:tcPr>
          <w:p>
            <w:pPr>
              <w:spacing w:after="0"/>
              <w:rPr>
                <w:sz w:val="18"/>
                <w:szCs w:val="18"/>
                <w:color w:val="auto"/>
              </w:rPr>
            </w:pPr>
          </w:p>
        </w:tc>
        <w:tc>
          <w:tcPr>
            <w:tcW w:w="86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389,488</w:t>
            </w:r>
          </w:p>
        </w:tc>
        <w:tc>
          <w:tcPr>
            <w:tcW w:w="260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366,000</w:t>
            </w:r>
          </w:p>
        </w:tc>
        <w:tc>
          <w:tcPr>
            <w:tcW w:w="2540" w:type="dxa"/>
            <w:vAlign w:val="bottom"/>
            <w:tcBorders>
              <w:bottom w:val="single" w:sz="8" w:color="2D53A6"/>
            </w:tcBorders>
          </w:tcPr>
          <w:p>
            <w:pPr>
              <w:jc w:val="right"/>
              <w:spacing w:after="0"/>
              <w:rPr>
                <w:sz w:val="20"/>
                <w:szCs w:val="20"/>
                <w:color w:val="auto"/>
              </w:rPr>
            </w:pPr>
            <w:r>
              <w:rPr>
                <w:rFonts w:ascii="Arial" w:cs="Arial" w:eastAsia="Arial" w:hAnsi="Arial"/>
                <w:sz w:val="18"/>
                <w:szCs w:val="18"/>
                <w:color w:val="auto"/>
              </w:rPr>
              <w:t>23,488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80" w:type="dxa"/>
            <w:vAlign w:val="bottom"/>
            <w:tcBorders>
              <w:bottom w:val="single" w:sz="8" w:color="2D53A6"/>
              <w:right w:val="single" w:sz="8" w:color="2D53A6"/>
            </w:tcBorders>
            <w:shd w:val="clear" w:color="auto" w:fill="E6E6E6"/>
          </w:tcPr>
          <w:p>
            <w:pPr>
              <w:spacing w:after="0"/>
              <w:rPr>
                <w:sz w:val="20"/>
                <w:szCs w:val="20"/>
                <w:color w:val="auto"/>
              </w:rPr>
            </w:pPr>
            <w:r>
              <w:rPr>
                <w:rFonts w:ascii="Arial" w:cs="Arial" w:eastAsia="Arial" w:hAnsi="Arial"/>
                <w:sz w:val="18"/>
                <w:szCs w:val="18"/>
                <w:color w:val="auto"/>
              </w:rPr>
              <w:t>Thomas D. Kampfer</w:t>
            </w:r>
          </w:p>
        </w:tc>
        <w:tc>
          <w:tcPr>
            <w:tcW w:w="1760" w:type="dxa"/>
            <w:vAlign w:val="bottom"/>
            <w:tcBorders>
              <w:bottom w:val="single" w:sz="8" w:color="2D53A6"/>
            </w:tcBorders>
            <w:shd w:val="clear" w:color="auto" w:fill="E6E6E6"/>
          </w:tcPr>
          <w:p>
            <w:pPr>
              <w:spacing w:after="0"/>
              <w:rPr>
                <w:sz w:val="18"/>
                <w:szCs w:val="18"/>
                <w:color w:val="auto"/>
              </w:rPr>
            </w:pPr>
          </w:p>
        </w:tc>
        <w:tc>
          <w:tcPr>
            <w:tcW w:w="86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384,476</w:t>
            </w:r>
          </w:p>
        </w:tc>
        <w:tc>
          <w:tcPr>
            <w:tcW w:w="2600" w:type="dxa"/>
            <w:vAlign w:val="bottom"/>
            <w:tcBorders>
              <w:bottom w:val="single" w:sz="8" w:color="2D53A6"/>
              <w:right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355,000</w:t>
            </w:r>
          </w:p>
        </w:tc>
        <w:tc>
          <w:tcPr>
            <w:tcW w:w="2540" w:type="dxa"/>
            <w:vAlign w:val="bottom"/>
            <w:tcBorders>
              <w:bottom w:val="single" w:sz="8" w:color="2D53A6"/>
            </w:tcBorders>
            <w:shd w:val="clear" w:color="auto" w:fill="E6E6E6"/>
          </w:tcPr>
          <w:p>
            <w:pPr>
              <w:jc w:val="right"/>
              <w:spacing w:after="0"/>
              <w:rPr>
                <w:sz w:val="20"/>
                <w:szCs w:val="20"/>
                <w:color w:val="auto"/>
              </w:rPr>
            </w:pPr>
            <w:r>
              <w:rPr>
                <w:rFonts w:ascii="Arial" w:cs="Arial" w:eastAsia="Arial" w:hAnsi="Arial"/>
                <w:sz w:val="18"/>
                <w:szCs w:val="18"/>
                <w:color w:val="auto"/>
              </w:rPr>
              <w:t>29,476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80" w:type="dxa"/>
            <w:vAlign w:val="bottom"/>
            <w:tcBorders>
              <w:bottom w:val="single" w:sz="8" w:color="2D53A6"/>
              <w:right w:val="single" w:sz="8" w:color="2D53A6"/>
            </w:tcBorders>
          </w:tcPr>
          <w:p>
            <w:pPr>
              <w:spacing w:after="0"/>
              <w:rPr>
                <w:sz w:val="20"/>
                <w:szCs w:val="20"/>
                <w:color w:val="auto"/>
              </w:rPr>
            </w:pPr>
            <w:r>
              <w:rPr>
                <w:rFonts w:ascii="Arial" w:cs="Arial" w:eastAsia="Arial" w:hAnsi="Arial"/>
                <w:sz w:val="18"/>
                <w:szCs w:val="18"/>
                <w:color w:val="auto"/>
              </w:rPr>
              <w:t>Ian P. Lawee</w:t>
            </w:r>
          </w:p>
        </w:tc>
        <w:tc>
          <w:tcPr>
            <w:tcW w:w="1760" w:type="dxa"/>
            <w:vAlign w:val="bottom"/>
            <w:tcBorders>
              <w:bottom w:val="single" w:sz="8" w:color="2D53A6"/>
            </w:tcBorders>
          </w:tcPr>
          <w:p>
            <w:pPr>
              <w:spacing w:after="0"/>
              <w:rPr>
                <w:sz w:val="18"/>
                <w:szCs w:val="18"/>
                <w:color w:val="auto"/>
              </w:rPr>
            </w:pPr>
          </w:p>
        </w:tc>
        <w:tc>
          <w:tcPr>
            <w:tcW w:w="86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345,968</w:t>
            </w:r>
          </w:p>
        </w:tc>
        <w:tc>
          <w:tcPr>
            <w:tcW w:w="2600" w:type="dxa"/>
            <w:vAlign w:val="bottom"/>
            <w:tcBorders>
              <w:bottom w:val="single" w:sz="8" w:color="2D53A6"/>
              <w:right w:val="single" w:sz="8" w:color="2D53A6"/>
            </w:tcBorders>
          </w:tcPr>
          <w:p>
            <w:pPr>
              <w:jc w:val="right"/>
              <w:spacing w:after="0"/>
              <w:rPr>
                <w:sz w:val="20"/>
                <w:szCs w:val="20"/>
                <w:color w:val="auto"/>
              </w:rPr>
            </w:pPr>
            <w:r>
              <w:rPr>
                <w:rFonts w:ascii="Arial" w:cs="Arial" w:eastAsia="Arial" w:hAnsi="Arial"/>
                <w:sz w:val="18"/>
                <w:szCs w:val="18"/>
                <w:color w:val="auto"/>
              </w:rPr>
              <w:t>312,000</w:t>
            </w:r>
          </w:p>
        </w:tc>
        <w:tc>
          <w:tcPr>
            <w:tcW w:w="2540" w:type="dxa"/>
            <w:vAlign w:val="bottom"/>
            <w:tcBorders>
              <w:bottom w:val="single" w:sz="8" w:color="2D53A6"/>
            </w:tcBorders>
          </w:tcPr>
          <w:p>
            <w:pPr>
              <w:jc w:val="right"/>
              <w:spacing w:after="0"/>
              <w:rPr>
                <w:sz w:val="20"/>
                <w:szCs w:val="20"/>
                <w:color w:val="auto"/>
              </w:rPr>
            </w:pPr>
            <w:r>
              <w:rPr>
                <w:rFonts w:ascii="Arial" w:cs="Arial" w:eastAsia="Arial" w:hAnsi="Arial"/>
                <w:sz w:val="18"/>
                <w:szCs w:val="18"/>
                <w:color w:val="auto"/>
              </w:rPr>
              <w:t>33,968</w:t>
            </w:r>
          </w:p>
        </w:tc>
        <w:tc>
          <w:tcPr>
            <w:tcW w:w="20" w:type="dxa"/>
            <w:vAlign w:val="bottom"/>
            <w:tcBorders>
              <w:bottom w:val="single" w:sz="8" w:color="2D53A6"/>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right="80" w:hanging="332"/>
        <w:spacing w:after="0" w:line="258" w:lineRule="auto"/>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Reflects the cash severance benefits payable in the event of a qualifying termination under Dr. Müller’s and Messrs. Jones’, Bohrson’s, Kampfer’s and Lawee’s respective Severance Agreement. These amounts are based on the individual’s fiscal 2021 base salary.</w:t>
      </w:r>
    </w:p>
    <w:p>
      <w:pPr>
        <w:spacing w:after="0" w:line="1" w:lineRule="exact"/>
        <w:rPr>
          <w:rFonts w:ascii="Arial" w:cs="Arial" w:eastAsia="Arial" w:hAnsi="Arial"/>
          <w:sz w:val="18"/>
          <w:szCs w:val="18"/>
          <w:color w:val="auto"/>
        </w:rPr>
      </w:pPr>
    </w:p>
    <w:p>
      <w:pPr>
        <w:ind w:left="340" w:right="500" w:hanging="332"/>
        <w:spacing w:after="0" w:line="260" w:lineRule="auto"/>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Reflects reimbursement for continued health care benefits pursuant to COBRA, eighteen (18) months for Dr. Müller, and twelve (12) months for Messrs. Jones, Bohrson, Kampfer and Lawee.</w:t>
      </w:r>
    </w:p>
    <w:p>
      <w:pPr>
        <w:spacing w:after="0" w:line="18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Other than as described above, and in the “Employment Agreements” and “Post-Employment Compensation” sections of the Compensation Discussion and Analysis, there are no other benefits or payments that would be paid to our NEOs upon resignation, severance, retirement, termination or a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5143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514350"/>
                    </a:xfrm>
                    <a:prstGeom prst="rect">
                      <a:avLst/>
                    </a:prstGeom>
                    <a:noFill/>
                  </pic:spPr>
                </pic:pic>
              </a:graphicData>
            </a:graphic>
          </wp:anchor>
        </w:drawing>
      </w:r>
    </w:p>
    <w:p>
      <w:pPr>
        <w:spacing w:after="0" w:line="353" w:lineRule="exact"/>
        <w:rPr>
          <w:sz w:val="20"/>
          <w:szCs w:val="20"/>
          <w:color w:val="auto"/>
        </w:rPr>
      </w:pPr>
    </w:p>
    <w:p>
      <w:pPr>
        <w:ind w:left="340"/>
        <w:spacing w:after="0"/>
        <w:rPr>
          <w:sz w:val="20"/>
          <w:szCs w:val="20"/>
          <w:color w:val="auto"/>
        </w:rPr>
      </w:pPr>
      <w:r>
        <w:rPr>
          <w:rFonts w:ascii="Arial" w:cs="Arial" w:eastAsia="Arial" w:hAnsi="Arial"/>
          <w:sz w:val="32"/>
          <w:szCs w:val="32"/>
          <w:b w:val="1"/>
          <w:bCs w:val="1"/>
          <w:color w:val="FFFFFF"/>
        </w:rPr>
        <w:t>Audit Matters</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2D53A6"/>
        </w:rPr>
        <w:t>Audit Committee Report</w:t>
      </w:r>
    </w:p>
    <w:p>
      <w:pPr>
        <w:spacing w:after="0" w:line="219"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information contained in this report shall not be deemed to be “soliciting material” or “filed” with the SEC or subject to the liabilities of Section 18 of the Securities Exchange Act of 1934, as amended (the “Exchange Act”) except to the extent that Cohu specifically incorporates it by reference into a document filed under the Securities Act of 1933, as amended (the “Securities Act”) or the Exchange Act.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2D53A6"/>
        </w:rPr>
        <w:t>Composition</w:t>
      </w:r>
    </w:p>
    <w:p>
      <w:pPr>
        <w:spacing w:after="0" w:line="225"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The Audit Committee of the Board of Directors is composed of three (3) independent directors, as defined in the Nasdaq listing standards, and operates under a written charter adopted by the Board of Directors. The current members of the Audit Committee are William E. Bendush (Chair), Andrew M. Caggia and Yon Y. Jorden.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2D53A6"/>
        </w:rPr>
        <w:t>Responsibilities</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Audit Committee assists the Board in fulfilling its responsibilities for general oversight of the integrity of Cohu’s financial statements, Cohu’s compliance with legal and regulatory requirements, the independent registered public accounting firm’s qualifications and independence, and risk assessment and risk management. The Audit Committee manages Cohu’s relationship with its independent registered public accounting firm (who report directly to the Audit Committee). The Audit Committee has the authority to obtain advice and assistance from outside legal, accounting or other advisors as the Audit Committee deems necessary to carry out its duties and receive appropriate funding, as determined by the Audit Committee, from Cohu for such advice and assistance.</w:t>
      </w:r>
    </w:p>
    <w:p>
      <w:pPr>
        <w:spacing w:after="0" w:line="192" w:lineRule="exact"/>
        <w:rPr>
          <w:sz w:val="20"/>
          <w:szCs w:val="20"/>
          <w:color w:val="auto"/>
        </w:rPr>
      </w:pPr>
    </w:p>
    <w:p>
      <w:pPr>
        <w:jc w:val="both"/>
        <w:ind w:right="320"/>
        <w:spacing w:after="0" w:line="311" w:lineRule="auto"/>
        <w:rPr>
          <w:sz w:val="20"/>
          <w:szCs w:val="20"/>
          <w:color w:val="auto"/>
        </w:rPr>
      </w:pPr>
      <w:r>
        <w:rPr>
          <w:rFonts w:ascii="Arial" w:cs="Arial" w:eastAsia="Arial" w:hAnsi="Arial"/>
          <w:sz w:val="16"/>
          <w:szCs w:val="16"/>
          <w:color w:val="auto"/>
        </w:rPr>
        <w:t>Cohu’s management has responsibility for preparing Cohu’s financial statements and Cohu’s financial reporting process. Cohu’s independent registered public accounting firm, Ernst &amp; Young LLP, is responsible for expressing an opinion on (i) the conformity of Cohu’s audited financial statements with accounting principles generally accepted in the United States, and (ii) the effectiveness of Cohu’s internal control over financial reporting.</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color w:val="2D53A6"/>
        </w:rPr>
        <w:t>Review with Management and Independent Registered Public Accounting Firm</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this context, the Audit Committee has reviewed and discussed the audited consolidated financial statements contained in Cohu’s Annual Report on Form 10-K for the year ended December 25, 2021 and Cohu’s effectiveness of internal control over financial reporting, together and separately, with management and the independent registered public accounting firm. The Audit Committee also discussed with Ernst &amp; Young LLP matters required to be discussed pursuant to standards of the Public Company Accounting Oversight Board (“PCAOB”) and the applicable requirements of the SEC.</w:t>
      </w:r>
    </w:p>
    <w:p>
      <w:pPr>
        <w:spacing w:after="0" w:line="171" w:lineRule="exact"/>
        <w:rPr>
          <w:sz w:val="20"/>
          <w:szCs w:val="20"/>
          <w:color w:val="auto"/>
        </w:rPr>
      </w:pPr>
    </w:p>
    <w:p>
      <w:pPr>
        <w:ind w:right="520"/>
        <w:spacing w:after="0" w:line="311" w:lineRule="auto"/>
        <w:rPr>
          <w:sz w:val="20"/>
          <w:szCs w:val="20"/>
          <w:color w:val="auto"/>
        </w:rPr>
      </w:pPr>
      <w:r>
        <w:rPr>
          <w:rFonts w:ascii="Arial" w:cs="Arial" w:eastAsia="Arial" w:hAnsi="Arial"/>
          <w:sz w:val="16"/>
          <w:szCs w:val="16"/>
          <w:color w:val="auto"/>
        </w:rPr>
        <w:t>Ernst &amp; Young LLP also provided to the Audit Committee the written disclosures and the letter required by applicable requirements of the PCAOB regarding Ernst &amp; Young LLP’s communications with the Audit Committee concerning independence. The Audit Committee discussed with Ernst &amp; Young LLP any relationships that may impact their objectivity and independence, and satisfied itself as to Ernst &amp; Young LLP’s independence.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2D53A6"/>
        </w:rPr>
        <w:t>Summary</w:t>
      </w:r>
    </w:p>
    <w:p>
      <w:pPr>
        <w:spacing w:after="0" w:line="225"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Based upon the Audit Committee’s review and discussions with management and Ernst &amp; Young LLP and the Audit Committee’s review of the representations of management, and the reports of Ernst &amp; Young LLP to the Audit Committee, the Audit Committee recommended to the Board of Directors, and the Board approved, that the audited consolidated financial statements be included in Cohu’s Annual Report on Form 10-K for the year ended December 25, 2021, for filing with the SEC.</w:t>
      </w:r>
    </w:p>
    <w:p>
      <w:pPr>
        <w:spacing w:after="0" w:line="187" w:lineRule="exact"/>
        <w:rPr>
          <w:sz w:val="20"/>
          <w:szCs w:val="20"/>
          <w:color w:val="auto"/>
        </w:rPr>
      </w:pPr>
    </w:p>
    <w:p>
      <w:pPr>
        <w:ind w:right="740"/>
        <w:spacing w:after="0" w:line="342" w:lineRule="auto"/>
        <w:rPr>
          <w:sz w:val="20"/>
          <w:szCs w:val="20"/>
          <w:color w:val="auto"/>
        </w:rPr>
      </w:pPr>
      <w:r>
        <w:rPr>
          <w:rFonts w:ascii="Arial" w:cs="Arial" w:eastAsia="Arial" w:hAnsi="Arial"/>
          <w:sz w:val="16"/>
          <w:szCs w:val="16"/>
          <w:color w:val="auto"/>
        </w:rPr>
        <w:t>The Audit Committee appointed Ernst &amp; Young LLP as Cohu’s independent registered public accounting firm for fiscal 2022 and recommends to stockholders that they ratify the appointment of Ernst &amp; Young LLP as Cohu’s independent registered public accounting firm for fiscal 2022.</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This report is submitted by the Audit Committee.</w:t>
      </w:r>
    </w:p>
    <w:p>
      <w:pPr>
        <w:spacing w:after="0" w:line="225" w:lineRule="exact"/>
        <w:rPr>
          <w:sz w:val="20"/>
          <w:szCs w:val="20"/>
          <w:color w:val="auto"/>
        </w:rPr>
      </w:pPr>
    </w:p>
    <w:p>
      <w:pPr>
        <w:ind w:left="3020"/>
        <w:spacing w:after="0"/>
        <w:tabs>
          <w:tab w:leader="none" w:pos="5420" w:val="left"/>
          <w:tab w:leader="none" w:pos="7200" w:val="left"/>
        </w:tabs>
        <w:rPr>
          <w:sz w:val="20"/>
          <w:szCs w:val="20"/>
          <w:color w:val="auto"/>
        </w:rPr>
      </w:pPr>
      <w:r>
        <w:rPr>
          <w:rFonts w:ascii="Arial" w:cs="Arial" w:eastAsia="Arial" w:hAnsi="Arial"/>
          <w:sz w:val="18"/>
          <w:szCs w:val="18"/>
          <w:color w:val="auto"/>
        </w:rPr>
        <w:t>William E. Bendush (Chair)</w:t>
      </w:r>
      <w:r>
        <w:rPr>
          <w:sz w:val="20"/>
          <w:szCs w:val="20"/>
          <w:color w:val="auto"/>
        </w:rPr>
        <w:tab/>
      </w:r>
      <w:r>
        <w:rPr>
          <w:rFonts w:ascii="Arial" w:cs="Arial" w:eastAsia="Arial" w:hAnsi="Arial"/>
          <w:sz w:val="18"/>
          <w:szCs w:val="18"/>
          <w:color w:val="auto"/>
        </w:rPr>
        <w:t>Andrew M. Caggia</w:t>
      </w:r>
      <w:r>
        <w:rPr>
          <w:sz w:val="20"/>
          <w:szCs w:val="20"/>
          <w:color w:val="auto"/>
        </w:rPr>
        <w:tab/>
      </w:r>
      <w:r>
        <w:rPr>
          <w:rFonts w:ascii="Arial" w:cs="Arial" w:eastAsia="Arial" w:hAnsi="Arial"/>
          <w:sz w:val="16"/>
          <w:szCs w:val="16"/>
          <w:color w:val="auto"/>
        </w:rPr>
        <w:t>Yon Y. Jorden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Principal Accounting Fees and Services</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table shows the fees billed to Cohu for the audit and other services provided by Ernst &amp; Young LLP for the years ended December 25, 2021 and December 26, 2020.</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80" w:type="dxa"/>
            <w:vAlign w:val="bottom"/>
            <w:tcBorders>
              <w:right w:val="single" w:sz="8" w:color="2D53A6"/>
            </w:tcBorders>
            <w:shd w:val="clear" w:color="auto" w:fill="2D53A6"/>
          </w:tcPr>
          <w:p>
            <w:pPr>
              <w:spacing w:after="0"/>
              <w:rPr>
                <w:sz w:val="20"/>
                <w:szCs w:val="20"/>
                <w:color w:val="auto"/>
              </w:rPr>
            </w:pPr>
            <w:r>
              <w:rPr>
                <w:rFonts w:ascii="Arial" w:cs="Arial" w:eastAsia="Arial" w:hAnsi="Arial"/>
                <w:sz w:val="18"/>
                <w:szCs w:val="18"/>
                <w:b w:val="1"/>
                <w:bCs w:val="1"/>
                <w:color w:val="FFFFFF"/>
              </w:rPr>
              <w:t>(in thousands)</w:t>
            </w:r>
          </w:p>
        </w:tc>
        <w:tc>
          <w:tcPr>
            <w:tcW w:w="1300" w:type="dxa"/>
            <w:vAlign w:val="bottom"/>
            <w:shd w:val="clear" w:color="auto" w:fill="2D53A6"/>
          </w:tcPr>
          <w:p>
            <w:pPr>
              <w:jc w:val="right"/>
              <w:ind w:right="250"/>
              <w:spacing w:after="0"/>
              <w:rPr>
                <w:sz w:val="20"/>
                <w:szCs w:val="20"/>
                <w:color w:val="auto"/>
              </w:rPr>
            </w:pPr>
            <w:r>
              <w:rPr>
                <w:rFonts w:ascii="Arial" w:cs="Arial" w:eastAsia="Arial" w:hAnsi="Arial"/>
                <w:sz w:val="18"/>
                <w:szCs w:val="18"/>
                <w:b w:val="1"/>
                <w:bCs w:val="1"/>
                <w:color w:val="FFFFFF"/>
              </w:rPr>
              <w:t>2021</w:t>
            </w:r>
          </w:p>
        </w:tc>
        <w:tc>
          <w:tcPr>
            <w:tcW w:w="280" w:type="dxa"/>
            <w:vAlign w:val="bottom"/>
            <w:tcBorders>
              <w:right w:val="single" w:sz="8" w:color="2D53A6"/>
            </w:tcBorders>
            <w:shd w:val="clear" w:color="auto" w:fill="2D53A6"/>
          </w:tcPr>
          <w:p>
            <w:pPr>
              <w:spacing w:after="0"/>
              <w:rPr>
                <w:sz w:val="19"/>
                <w:szCs w:val="19"/>
                <w:color w:val="auto"/>
              </w:rPr>
            </w:pPr>
          </w:p>
        </w:tc>
        <w:tc>
          <w:tcPr>
            <w:tcW w:w="1300" w:type="dxa"/>
            <w:vAlign w:val="bottom"/>
            <w:shd w:val="clear" w:color="auto" w:fill="2D53A6"/>
          </w:tcPr>
          <w:p>
            <w:pPr>
              <w:jc w:val="right"/>
              <w:ind w:right="150"/>
              <w:spacing w:after="0"/>
              <w:rPr>
                <w:sz w:val="20"/>
                <w:szCs w:val="20"/>
                <w:color w:val="auto"/>
              </w:rPr>
            </w:pPr>
            <w:r>
              <w:rPr>
                <w:rFonts w:ascii="Arial" w:cs="Arial" w:eastAsia="Arial" w:hAnsi="Arial"/>
                <w:sz w:val="18"/>
                <w:szCs w:val="18"/>
                <w:b w:val="1"/>
                <w:bCs w:val="1"/>
                <w:color w:val="FFFFFF"/>
              </w:rPr>
              <w:t>2020</w:t>
            </w:r>
          </w:p>
        </w:tc>
        <w:tc>
          <w:tcPr>
            <w:tcW w:w="260" w:type="dxa"/>
            <w:vAlign w:val="bottom"/>
            <w:shd w:val="clear" w:color="auto" w:fill="2D53A6"/>
          </w:tcPr>
          <w:p>
            <w:pPr>
              <w:spacing w:after="0"/>
              <w:rPr>
                <w:sz w:val="19"/>
                <w:szCs w:val="19"/>
                <w:color w:val="auto"/>
              </w:rPr>
            </w:pPr>
          </w:p>
        </w:tc>
        <w:tc>
          <w:tcPr>
            <w:tcW w:w="20" w:type="dxa"/>
            <w:vAlign w:val="bottom"/>
            <w:shd w:val="clear" w:color="auto" w:fill="2D53A6"/>
          </w:tcPr>
          <w:p>
            <w:pPr>
              <w:spacing w:after="0"/>
              <w:rPr>
                <w:sz w:val="19"/>
                <w:szCs w:val="19"/>
                <w:color w:val="auto"/>
              </w:rPr>
            </w:pPr>
          </w:p>
        </w:tc>
        <w:tc>
          <w:tcPr>
            <w:tcW w:w="200" w:type="dxa"/>
            <w:vAlign w:val="bottom"/>
            <w:shd w:val="clear" w:color="auto" w:fill="2D53A6"/>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880" w:type="dxa"/>
            <w:vAlign w:val="bottom"/>
            <w:tcBorders>
              <w:right w:val="single" w:sz="8" w:color="2D53A6"/>
            </w:tcBorders>
          </w:tcPr>
          <w:p>
            <w:pPr>
              <w:spacing w:after="0" w:line="216" w:lineRule="exact"/>
              <w:rPr>
                <w:sz w:val="20"/>
                <w:szCs w:val="20"/>
                <w:color w:val="auto"/>
              </w:rPr>
            </w:pPr>
            <w:r>
              <w:rPr>
                <w:rFonts w:ascii="Arial" w:cs="Arial" w:eastAsia="Arial" w:hAnsi="Arial"/>
                <w:sz w:val="16"/>
                <w:szCs w:val="16"/>
                <w:color w:val="auto"/>
              </w:rPr>
              <w:t xml:space="preserve">Audit Fees </w:t>
            </w:r>
            <w:r>
              <w:rPr>
                <w:rFonts w:ascii="Arial" w:cs="Arial" w:eastAsia="Arial" w:hAnsi="Arial"/>
                <w:sz w:val="25"/>
                <w:szCs w:val="25"/>
                <w:color w:val="auto"/>
                <w:vertAlign w:val="superscript"/>
              </w:rPr>
              <w:t>(1)</w:t>
            </w:r>
          </w:p>
        </w:tc>
        <w:tc>
          <w:tcPr>
            <w:tcW w:w="1580" w:type="dxa"/>
            <w:vAlign w:val="bottom"/>
            <w:tcBorders>
              <w:right w:val="single" w:sz="8" w:color="2D53A6"/>
            </w:tcBorders>
            <w:gridSpan w:val="2"/>
          </w:tcPr>
          <w:p>
            <w:pPr>
              <w:jc w:val="right"/>
              <w:ind w:right="20"/>
              <w:spacing w:after="0"/>
              <w:rPr>
                <w:sz w:val="20"/>
                <w:szCs w:val="20"/>
                <w:color w:val="auto"/>
              </w:rPr>
            </w:pPr>
            <w:r>
              <w:rPr>
                <w:rFonts w:ascii="Arial" w:cs="Arial" w:eastAsia="Arial" w:hAnsi="Arial"/>
                <w:sz w:val="18"/>
                <w:szCs w:val="18"/>
                <w:color w:val="auto"/>
              </w:rPr>
              <w:t>$2,829</w:t>
            </w:r>
          </w:p>
        </w:tc>
        <w:tc>
          <w:tcPr>
            <w:tcW w:w="1780" w:type="dxa"/>
            <w:vAlign w:val="bottom"/>
            <w:gridSpan w:val="4"/>
          </w:tcPr>
          <w:p>
            <w:pPr>
              <w:jc w:val="right"/>
              <w:ind w:right="40"/>
              <w:spacing w:after="0"/>
              <w:rPr>
                <w:sz w:val="20"/>
                <w:szCs w:val="20"/>
                <w:color w:val="auto"/>
              </w:rPr>
            </w:pPr>
            <w:r>
              <w:rPr>
                <w:rFonts w:ascii="Arial" w:cs="Arial" w:eastAsia="Arial" w:hAnsi="Arial"/>
                <w:sz w:val="18"/>
                <w:szCs w:val="18"/>
                <w:color w:val="auto"/>
              </w:rPr>
              <w:t>$2,723</w:t>
            </w: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09"/>
        </w:trPr>
        <w:tc>
          <w:tcPr>
            <w:tcW w:w="7880" w:type="dxa"/>
            <w:vAlign w:val="bottom"/>
            <w:tcBorders>
              <w:top w:val="single" w:sz="8" w:color="2D53A6"/>
              <w:bottom w:val="single" w:sz="8" w:color="2D53A6"/>
              <w:right w:val="single" w:sz="8" w:color="2D53A6"/>
            </w:tcBorders>
          </w:tcPr>
          <w:p>
            <w:pPr>
              <w:spacing w:after="0"/>
              <w:rPr>
                <w:sz w:val="20"/>
                <w:szCs w:val="20"/>
                <w:color w:val="auto"/>
              </w:rPr>
            </w:pPr>
            <w:r>
              <w:rPr>
                <w:rFonts w:ascii="Arial" w:cs="Arial" w:eastAsia="Arial" w:hAnsi="Arial"/>
                <w:sz w:val="18"/>
                <w:szCs w:val="18"/>
                <w:color w:val="auto"/>
              </w:rPr>
              <w:t>Audit-Related Fees</w:t>
            </w:r>
          </w:p>
        </w:tc>
        <w:tc>
          <w:tcPr>
            <w:tcW w:w="1580" w:type="dxa"/>
            <w:vAlign w:val="bottom"/>
            <w:tcBorders>
              <w:top w:val="single" w:sz="8" w:color="2D53A6"/>
              <w:bottom w:val="single" w:sz="8" w:color="2D53A6"/>
              <w:right w:val="single" w:sz="8" w:color="2D53A6"/>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2D53A6"/>
              <w:bottom w:val="single" w:sz="8" w:color="2D53A6"/>
            </w:tcBorders>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7880" w:type="dxa"/>
            <w:vAlign w:val="bottom"/>
            <w:tcBorders>
              <w:right w:val="single" w:sz="8" w:color="2D53A6"/>
            </w:tcBorders>
          </w:tcPr>
          <w:p>
            <w:pPr>
              <w:spacing w:after="0"/>
              <w:rPr>
                <w:sz w:val="20"/>
                <w:szCs w:val="20"/>
                <w:color w:val="auto"/>
              </w:rPr>
            </w:pPr>
            <w:r>
              <w:rPr>
                <w:rFonts w:ascii="Arial" w:cs="Arial" w:eastAsia="Arial" w:hAnsi="Arial"/>
                <w:sz w:val="18"/>
                <w:szCs w:val="18"/>
                <w:color w:val="auto"/>
              </w:rPr>
              <w:t>Tax Fees:</w:t>
            </w:r>
          </w:p>
        </w:tc>
        <w:tc>
          <w:tcPr>
            <w:tcW w:w="1300" w:type="dxa"/>
            <w:vAlign w:val="bottom"/>
          </w:tcPr>
          <w:p>
            <w:pPr>
              <w:spacing w:after="0"/>
              <w:rPr>
                <w:sz w:val="24"/>
                <w:szCs w:val="24"/>
                <w:color w:val="auto"/>
              </w:rPr>
            </w:pPr>
          </w:p>
        </w:tc>
        <w:tc>
          <w:tcPr>
            <w:tcW w:w="280" w:type="dxa"/>
            <w:vAlign w:val="bottom"/>
            <w:tcBorders>
              <w:right w:val="single" w:sz="8" w:color="2D53A6"/>
            </w:tcBorders>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880" w:type="dxa"/>
            <w:vAlign w:val="bottom"/>
            <w:tcBorders>
              <w:right w:val="single" w:sz="8" w:color="2D53A6"/>
            </w:tcBorders>
          </w:tcPr>
          <w:p>
            <w:pPr>
              <w:ind w:left="180"/>
              <w:spacing w:after="0" w:line="216" w:lineRule="exact"/>
              <w:rPr>
                <w:sz w:val="20"/>
                <w:szCs w:val="20"/>
                <w:color w:val="auto"/>
              </w:rPr>
            </w:pPr>
            <w:r>
              <w:rPr>
                <w:rFonts w:ascii="Arial" w:cs="Arial" w:eastAsia="Arial" w:hAnsi="Arial"/>
                <w:sz w:val="16"/>
                <w:szCs w:val="16"/>
                <w:color w:val="auto"/>
              </w:rPr>
              <w:t xml:space="preserve">Tax Compliance </w:t>
            </w:r>
            <w:r>
              <w:rPr>
                <w:rFonts w:ascii="Arial" w:cs="Arial" w:eastAsia="Arial" w:hAnsi="Arial"/>
                <w:sz w:val="25"/>
                <w:szCs w:val="25"/>
                <w:color w:val="auto"/>
                <w:vertAlign w:val="superscript"/>
              </w:rPr>
              <w:t>(2)</w:t>
            </w:r>
          </w:p>
        </w:tc>
        <w:tc>
          <w:tcPr>
            <w:tcW w:w="1580" w:type="dxa"/>
            <w:vAlign w:val="bottom"/>
            <w:tcBorders>
              <w:right w:val="single" w:sz="8" w:color="2D53A6"/>
            </w:tcBorders>
            <w:gridSpan w:val="2"/>
          </w:tcPr>
          <w:p>
            <w:pPr>
              <w:jc w:val="right"/>
              <w:ind w:right="20"/>
              <w:spacing w:after="0"/>
              <w:rPr>
                <w:sz w:val="20"/>
                <w:szCs w:val="20"/>
                <w:color w:val="auto"/>
              </w:rPr>
            </w:pPr>
            <w:r>
              <w:rPr>
                <w:rFonts w:ascii="Arial" w:cs="Arial" w:eastAsia="Arial" w:hAnsi="Arial"/>
                <w:sz w:val="18"/>
                <w:szCs w:val="18"/>
                <w:color w:val="auto"/>
              </w:rPr>
              <w:t>163</w:t>
            </w:r>
          </w:p>
        </w:tc>
        <w:tc>
          <w:tcPr>
            <w:tcW w:w="1580" w:type="dxa"/>
            <w:vAlign w:val="bottom"/>
            <w:gridSpan w:val="3"/>
          </w:tcPr>
          <w:p>
            <w:pPr>
              <w:jc w:val="right"/>
              <w:ind w:right="20"/>
              <w:spacing w:after="0"/>
              <w:rPr>
                <w:sz w:val="20"/>
                <w:szCs w:val="20"/>
                <w:color w:val="auto"/>
              </w:rPr>
            </w:pPr>
            <w:r>
              <w:rPr>
                <w:rFonts w:ascii="Arial" w:cs="Arial" w:eastAsia="Arial" w:hAnsi="Arial"/>
                <w:sz w:val="18"/>
                <w:szCs w:val="18"/>
                <w:color w:val="auto"/>
              </w:rPr>
              <w:t>169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7880" w:type="dxa"/>
            <w:vAlign w:val="bottom"/>
            <w:tcBorders>
              <w:right w:val="single" w:sz="8" w:color="2D53A6"/>
            </w:tcBorders>
          </w:tcPr>
          <w:p>
            <w:pPr>
              <w:ind w:left="180"/>
              <w:spacing w:after="0" w:line="190" w:lineRule="exact"/>
              <w:rPr>
                <w:sz w:val="20"/>
                <w:szCs w:val="20"/>
                <w:color w:val="auto"/>
              </w:rPr>
            </w:pPr>
            <w:r>
              <w:rPr>
                <w:rFonts w:ascii="Arial" w:cs="Arial" w:eastAsia="Arial" w:hAnsi="Arial"/>
                <w:sz w:val="14"/>
                <w:szCs w:val="14"/>
                <w:color w:val="auto"/>
              </w:rPr>
              <w:t xml:space="preserve">Tax Planning and Advice </w:t>
            </w:r>
            <w:r>
              <w:rPr>
                <w:rFonts w:ascii="Arial" w:cs="Arial" w:eastAsia="Arial" w:hAnsi="Arial"/>
                <w:sz w:val="22"/>
                <w:szCs w:val="22"/>
                <w:color w:val="auto"/>
                <w:vertAlign w:val="superscript"/>
              </w:rPr>
              <w:t>(3)</w:t>
            </w:r>
          </w:p>
        </w:tc>
        <w:tc>
          <w:tcPr>
            <w:tcW w:w="1580" w:type="dxa"/>
            <w:vAlign w:val="bottom"/>
            <w:tcBorders>
              <w:right w:val="single" w:sz="8" w:color="2D53A6"/>
            </w:tcBorders>
            <w:gridSpan w:val="2"/>
          </w:tcPr>
          <w:p>
            <w:pPr>
              <w:jc w:val="right"/>
              <w:ind w:right="20"/>
              <w:spacing w:after="0" w:line="190" w:lineRule="exact"/>
              <w:rPr>
                <w:sz w:val="20"/>
                <w:szCs w:val="20"/>
                <w:color w:val="auto"/>
              </w:rPr>
            </w:pPr>
            <w:r>
              <w:rPr>
                <w:rFonts w:ascii="Arial" w:cs="Arial" w:eastAsia="Arial" w:hAnsi="Arial"/>
                <w:sz w:val="18"/>
                <w:szCs w:val="18"/>
                <w:color w:val="auto"/>
              </w:rPr>
              <w:t>299</w:t>
            </w:r>
          </w:p>
        </w:tc>
        <w:tc>
          <w:tcPr>
            <w:tcW w:w="1580" w:type="dxa"/>
            <w:vAlign w:val="bottom"/>
            <w:gridSpan w:val="3"/>
          </w:tcPr>
          <w:p>
            <w:pPr>
              <w:jc w:val="right"/>
              <w:ind w:right="20"/>
              <w:spacing w:after="0" w:line="190" w:lineRule="exact"/>
              <w:rPr>
                <w:sz w:val="20"/>
                <w:szCs w:val="20"/>
                <w:color w:val="auto"/>
              </w:rPr>
            </w:pPr>
            <w:r>
              <w:rPr>
                <w:rFonts w:ascii="Arial" w:cs="Arial" w:eastAsia="Arial" w:hAnsi="Arial"/>
                <w:sz w:val="18"/>
                <w:szCs w:val="18"/>
                <w:color w:val="auto"/>
              </w:rPr>
              <w:t>109</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880" w:type="dxa"/>
            <w:vAlign w:val="bottom"/>
            <w:tcBorders>
              <w:right w:val="single" w:sz="8" w:color="2D53A6"/>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880" w:type="dxa"/>
            <w:vAlign w:val="bottom"/>
            <w:tcBorders>
              <w:right w:val="single" w:sz="8" w:color="2D53A6"/>
            </w:tcBorders>
          </w:tcPr>
          <w:p>
            <w:pPr>
              <w:spacing w:after="0"/>
              <w:rPr>
                <w:sz w:val="20"/>
                <w:szCs w:val="20"/>
                <w:color w:val="auto"/>
              </w:rPr>
            </w:pPr>
          </w:p>
        </w:tc>
        <w:tc>
          <w:tcPr>
            <w:tcW w:w="1580" w:type="dxa"/>
            <w:vAlign w:val="bottom"/>
            <w:tcBorders>
              <w:right w:val="single" w:sz="8" w:color="2D53A6"/>
            </w:tcBorders>
            <w:gridSpan w:val="2"/>
          </w:tcPr>
          <w:p>
            <w:pPr>
              <w:jc w:val="right"/>
              <w:ind w:right="20"/>
              <w:spacing w:after="0"/>
              <w:rPr>
                <w:sz w:val="20"/>
                <w:szCs w:val="20"/>
                <w:color w:val="auto"/>
              </w:rPr>
            </w:pPr>
            <w:r>
              <w:rPr>
                <w:rFonts w:ascii="Arial" w:cs="Arial" w:eastAsia="Arial" w:hAnsi="Arial"/>
                <w:sz w:val="18"/>
                <w:szCs w:val="18"/>
                <w:color w:val="auto"/>
              </w:rPr>
              <w:t>462</w:t>
            </w:r>
          </w:p>
        </w:tc>
        <w:tc>
          <w:tcPr>
            <w:tcW w:w="1580" w:type="dxa"/>
            <w:vAlign w:val="bottom"/>
            <w:gridSpan w:val="3"/>
          </w:tcPr>
          <w:p>
            <w:pPr>
              <w:jc w:val="right"/>
              <w:ind w:right="20"/>
              <w:spacing w:after="0"/>
              <w:rPr>
                <w:sz w:val="20"/>
                <w:szCs w:val="20"/>
                <w:color w:val="auto"/>
              </w:rPr>
            </w:pPr>
            <w:r>
              <w:rPr>
                <w:rFonts w:ascii="Arial" w:cs="Arial" w:eastAsia="Arial" w:hAnsi="Arial"/>
                <w:sz w:val="18"/>
                <w:szCs w:val="18"/>
                <w:color w:val="auto"/>
              </w:rPr>
              <w:t>278</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880" w:type="dxa"/>
            <w:vAlign w:val="bottom"/>
            <w:tcBorders>
              <w:right w:val="single" w:sz="8" w:color="2D53A6"/>
            </w:tcBorders>
            <w:vMerge w:val="restart"/>
          </w:tcPr>
          <w:p>
            <w:pPr>
              <w:spacing w:after="0"/>
              <w:rPr>
                <w:sz w:val="20"/>
                <w:szCs w:val="20"/>
                <w:color w:val="auto"/>
              </w:rPr>
            </w:pPr>
            <w:r>
              <w:rPr>
                <w:rFonts w:ascii="Arial" w:cs="Arial" w:eastAsia="Arial" w:hAnsi="Arial"/>
                <w:sz w:val="18"/>
                <w:szCs w:val="18"/>
                <w:color w:val="auto"/>
              </w:rPr>
              <w:t>All Other Fees</w:t>
            </w:r>
          </w:p>
        </w:tc>
        <w:tc>
          <w:tcPr>
            <w:tcW w:w="1300" w:type="dxa"/>
            <w:vAlign w:val="bottom"/>
            <w:tcBorders>
              <w:bottom w:val="single" w:sz="8" w:color="2D53A6"/>
            </w:tcBorders>
          </w:tcPr>
          <w:p>
            <w:pPr>
              <w:spacing w:after="0"/>
              <w:rPr>
                <w:sz w:val="18"/>
                <w:szCs w:val="18"/>
                <w:color w:val="auto"/>
              </w:rPr>
            </w:pPr>
          </w:p>
        </w:tc>
        <w:tc>
          <w:tcPr>
            <w:tcW w:w="280" w:type="dxa"/>
            <w:vAlign w:val="bottom"/>
            <w:tcBorders>
              <w:bottom w:val="single" w:sz="8" w:color="2D53A6"/>
              <w:right w:val="single" w:sz="8" w:color="2D53A6"/>
            </w:tcBorders>
          </w:tcPr>
          <w:p>
            <w:pPr>
              <w:spacing w:after="0"/>
              <w:rPr>
                <w:sz w:val="18"/>
                <w:szCs w:val="18"/>
                <w:color w:val="auto"/>
              </w:rPr>
            </w:pPr>
          </w:p>
        </w:tc>
        <w:tc>
          <w:tcPr>
            <w:tcW w:w="1300" w:type="dxa"/>
            <w:vAlign w:val="bottom"/>
            <w:tcBorders>
              <w:bottom w:val="single" w:sz="8" w:color="2D53A6"/>
            </w:tcBorders>
          </w:tcPr>
          <w:p>
            <w:pPr>
              <w:spacing w:after="0"/>
              <w:rPr>
                <w:sz w:val="18"/>
                <w:szCs w:val="18"/>
                <w:color w:val="auto"/>
              </w:rPr>
            </w:pPr>
          </w:p>
        </w:tc>
        <w:tc>
          <w:tcPr>
            <w:tcW w:w="260" w:type="dxa"/>
            <w:vAlign w:val="bottom"/>
            <w:tcBorders>
              <w:bottom w:val="single" w:sz="8" w:color="2D53A6"/>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880" w:type="dxa"/>
            <w:vAlign w:val="bottom"/>
            <w:tcBorders>
              <w:right w:val="single" w:sz="8" w:color="2D53A6"/>
            </w:tcBorders>
            <w:vMerge w:val="continue"/>
          </w:tcPr>
          <w:p>
            <w:pPr>
              <w:spacing w:after="0"/>
              <w:rPr>
                <w:sz w:val="19"/>
                <w:szCs w:val="19"/>
                <w:color w:val="auto"/>
              </w:rPr>
            </w:pPr>
          </w:p>
        </w:tc>
        <w:tc>
          <w:tcPr>
            <w:tcW w:w="1580" w:type="dxa"/>
            <w:vAlign w:val="bottom"/>
            <w:tcBorders>
              <w:right w:val="single" w:sz="8" w:color="2D53A6"/>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7880" w:type="dxa"/>
            <w:vAlign w:val="bottom"/>
            <w:tcBorders>
              <w:bottom w:val="single" w:sz="8" w:color="2D53A6"/>
              <w:right w:val="single" w:sz="8" w:color="2D53A6"/>
            </w:tcBorders>
          </w:tcPr>
          <w:p>
            <w:pPr>
              <w:spacing w:after="0"/>
              <w:rPr>
                <w:sz w:val="17"/>
                <w:szCs w:val="17"/>
                <w:color w:val="auto"/>
              </w:rPr>
            </w:pPr>
          </w:p>
        </w:tc>
        <w:tc>
          <w:tcPr>
            <w:tcW w:w="1300" w:type="dxa"/>
            <w:vAlign w:val="bottom"/>
            <w:tcBorders>
              <w:bottom w:val="single" w:sz="8" w:color="2D53A6"/>
            </w:tcBorders>
          </w:tcPr>
          <w:p>
            <w:pPr>
              <w:spacing w:after="0"/>
              <w:rPr>
                <w:sz w:val="17"/>
                <w:szCs w:val="17"/>
                <w:color w:val="auto"/>
              </w:rPr>
            </w:pPr>
          </w:p>
        </w:tc>
        <w:tc>
          <w:tcPr>
            <w:tcW w:w="280" w:type="dxa"/>
            <w:vAlign w:val="bottom"/>
            <w:tcBorders>
              <w:bottom w:val="single" w:sz="8" w:color="2D53A6"/>
              <w:right w:val="single" w:sz="8" w:color="2D53A6"/>
            </w:tcBorders>
          </w:tcPr>
          <w:p>
            <w:pPr>
              <w:spacing w:after="0"/>
              <w:rPr>
                <w:sz w:val="17"/>
                <w:szCs w:val="17"/>
                <w:color w:val="auto"/>
              </w:rPr>
            </w:pPr>
          </w:p>
        </w:tc>
        <w:tc>
          <w:tcPr>
            <w:tcW w:w="1300" w:type="dxa"/>
            <w:vAlign w:val="bottom"/>
            <w:tcBorders>
              <w:bottom w:val="single" w:sz="8" w:color="2D53A6"/>
            </w:tcBorders>
          </w:tcPr>
          <w:p>
            <w:pPr>
              <w:spacing w:after="0"/>
              <w:rPr>
                <w:sz w:val="17"/>
                <w:szCs w:val="17"/>
                <w:color w:val="auto"/>
              </w:rPr>
            </w:pPr>
          </w:p>
        </w:tc>
        <w:tc>
          <w:tcPr>
            <w:tcW w:w="260" w:type="dxa"/>
            <w:vAlign w:val="bottom"/>
            <w:tcBorders>
              <w:bottom w:val="single" w:sz="8" w:color="2D53A6"/>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20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880" w:type="dxa"/>
            <w:vAlign w:val="bottom"/>
            <w:tcBorders>
              <w:bottom w:val="single" w:sz="8" w:color="2D53A6"/>
              <w:right w:val="single" w:sz="8" w:color="2D53A6"/>
            </w:tcBorders>
          </w:tcPr>
          <w:p>
            <w:pPr>
              <w:spacing w:after="0"/>
              <w:rPr>
                <w:sz w:val="20"/>
                <w:szCs w:val="20"/>
                <w:color w:val="auto"/>
              </w:rPr>
            </w:pPr>
            <w:r>
              <w:rPr>
                <w:rFonts w:ascii="Arial" w:cs="Arial" w:eastAsia="Arial" w:hAnsi="Arial"/>
                <w:sz w:val="18"/>
                <w:szCs w:val="18"/>
                <w:color w:val="auto"/>
              </w:rPr>
              <w:t>Total</w:t>
            </w:r>
          </w:p>
        </w:tc>
        <w:tc>
          <w:tcPr>
            <w:tcW w:w="1580" w:type="dxa"/>
            <w:vAlign w:val="bottom"/>
            <w:tcBorders>
              <w:bottom w:val="single" w:sz="8" w:color="2D53A6"/>
              <w:right w:val="single" w:sz="8" w:color="2D53A6"/>
            </w:tcBorders>
            <w:gridSpan w:val="2"/>
          </w:tcPr>
          <w:p>
            <w:pPr>
              <w:jc w:val="right"/>
              <w:ind w:right="20"/>
              <w:spacing w:after="0"/>
              <w:rPr>
                <w:sz w:val="20"/>
                <w:szCs w:val="20"/>
                <w:color w:val="auto"/>
              </w:rPr>
            </w:pPr>
            <w:r>
              <w:rPr>
                <w:rFonts w:ascii="Arial" w:cs="Arial" w:eastAsia="Arial" w:hAnsi="Arial"/>
                <w:sz w:val="18"/>
                <w:szCs w:val="18"/>
                <w:color w:val="auto"/>
              </w:rPr>
              <w:t>$3,291</w:t>
            </w:r>
          </w:p>
        </w:tc>
        <w:tc>
          <w:tcPr>
            <w:tcW w:w="1560" w:type="dxa"/>
            <w:vAlign w:val="bottom"/>
            <w:tcBorders>
              <w:bottom w:val="single" w:sz="8" w:color="2D53A6"/>
            </w:tcBorders>
            <w:gridSpan w:val="2"/>
          </w:tcPr>
          <w:p>
            <w:pPr>
              <w:jc w:val="right"/>
              <w:spacing w:after="0"/>
              <w:rPr>
                <w:sz w:val="20"/>
                <w:szCs w:val="20"/>
                <w:color w:val="auto"/>
              </w:rPr>
            </w:pPr>
            <w:r>
              <w:rPr>
                <w:rFonts w:ascii="Arial" w:cs="Arial" w:eastAsia="Arial" w:hAnsi="Arial"/>
                <w:sz w:val="18"/>
                <w:szCs w:val="18"/>
                <w:color w:val="auto"/>
              </w:rPr>
              <w:t>$3,001</w:t>
            </w:r>
          </w:p>
        </w:tc>
        <w:tc>
          <w:tcPr>
            <w:tcW w:w="20" w:type="dxa"/>
            <w:vAlign w:val="bottom"/>
            <w:tcBorders>
              <w:bottom w:val="single" w:sz="8" w:color="2D53A6"/>
            </w:tcBorders>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Audit Committee has established pre-approval policies and procedures concerning the engagement of Cohu’s independent registered public accounting firm to perform any services. These policies require that all services rendered by Cohu’s independent registered public accounting firm be pre-approved by the Audit Committee within specified, budgeted fee amounts. In addition to the approval of all audit fees in 2021 and 2020, 100% of the non-audit fees were pre-approved by the Audit Committee.</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Audit Committee has delegated to the Chair of the Audit Committee the authority to pre-approve audit-related and non-audit services not prohibited by law to be performed by Cohu’s independent registered public accounting firm with associated fees up to a maximum of $10,000 for any one such service, provided that the Chair shall report any decisions to pre-approve such audit-related or non-audit services and fees to the full Audit Committee at its next regular meeting.</w:t>
      </w:r>
    </w:p>
    <w:p>
      <w:pPr>
        <w:spacing w:after="0" w:line="187" w:lineRule="exact"/>
        <w:rPr>
          <w:sz w:val="20"/>
          <w:szCs w:val="20"/>
          <w:color w:val="auto"/>
        </w:rPr>
      </w:pPr>
    </w:p>
    <w:p>
      <w:pPr>
        <w:ind w:left="340" w:right="80" w:hanging="332"/>
        <w:spacing w:after="0" w:line="254"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Audit fees represent fees for professional services provided in connection with the audit of Cohu’s financial statements and review of Cohu’s quarterly financial statements and audit services provided in connection with other statutory or regulatory filings. In addition, audit fees include those fees related to Ernst &amp; Young LLP’s audit of the effectiveness of Cohu’s internal control over financial reporting pursuant to Section 404 of the Sarbanes-Oxley Act of 2002.</w:t>
      </w:r>
    </w:p>
    <w:p>
      <w:pPr>
        <w:spacing w:after="0" w:line="2" w:lineRule="exact"/>
        <w:rPr>
          <w:rFonts w:ascii="Arial" w:cs="Arial" w:eastAsia="Arial" w:hAnsi="Arial"/>
          <w:sz w:val="18"/>
          <w:szCs w:val="18"/>
          <w:color w:val="auto"/>
        </w:rPr>
      </w:pPr>
    </w:p>
    <w:p>
      <w:pPr>
        <w:ind w:left="340" w:right="160" w:hanging="332"/>
        <w:spacing w:after="0" w:line="250"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Tax compliance fees consisted primarily of assistance with (i) review or preparation of Cohu’s federal, state and foreign tax returns and (ii) tax return examinations.</w:t>
      </w:r>
    </w:p>
    <w:p>
      <w:pPr>
        <w:ind w:left="340" w:hanging="332"/>
        <w:spacing w:after="0"/>
        <w:tabs>
          <w:tab w:leader="none" w:pos="3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Tax planning and advisory fees were primarily driven by legal entity consolidation and restructuring initiatives arising from the Xcerra acquisition.</w:t>
      </w:r>
    </w:p>
    <w:p>
      <w:pPr>
        <w:spacing w:after="0" w:line="20" w:lineRule="exact"/>
        <w:rPr>
          <w:rFonts w:ascii="Arial" w:cs="Arial" w:eastAsia="Arial" w:hAnsi="Arial"/>
          <w:sz w:val="17"/>
          <w:szCs w:val="17"/>
          <w:color w:val="auto"/>
        </w:rPr>
      </w:pPr>
    </w:p>
    <w:p>
      <w:pPr>
        <w:ind w:left="340" w:right="320" w:hanging="332"/>
        <w:spacing w:after="0" w:line="260"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Audit fees, tax compliance fees and tax planning and advice fees reported for 2020, have been adjusted for invoices received after the filing date of Cohu’s 2021 proxy statement.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9" w:lineRule="exact"/>
        <w:rPr>
          <w:sz w:val="20"/>
          <w:szCs w:val="20"/>
          <w:color w:val="auto"/>
        </w:rPr>
      </w:pPr>
    </w:p>
    <w:p>
      <w:pPr>
        <w:ind w:right="520"/>
        <w:spacing w:after="0" w:line="263" w:lineRule="auto"/>
        <w:rPr>
          <w:sz w:val="20"/>
          <w:szCs w:val="20"/>
          <w:color w:val="auto"/>
        </w:rPr>
      </w:pPr>
      <w:r>
        <w:rPr>
          <w:rFonts w:ascii="Arial" w:cs="Arial" w:eastAsia="Arial" w:hAnsi="Arial"/>
          <w:sz w:val="18"/>
          <w:szCs w:val="18"/>
          <w:color w:val="auto"/>
        </w:rPr>
        <w:t>The Board is committed to upholding high legal and ethical conduct in fulfilling its responsibilities and recognizes that related party transactions can present a heightened risk of potential or actual conflicts of interest. Accordingly, as a general matter, it is Cohu’s preference to avoid related party transactions.</w:t>
      </w:r>
    </w:p>
    <w:p>
      <w:pPr>
        <w:spacing w:after="0" w:line="184" w:lineRule="exact"/>
        <w:rPr>
          <w:sz w:val="20"/>
          <w:szCs w:val="20"/>
          <w:color w:val="auto"/>
        </w:rPr>
      </w:pPr>
    </w:p>
    <w:p>
      <w:pPr>
        <w:jc w:val="both"/>
        <w:ind w:right="220"/>
        <w:spacing w:after="0" w:line="311" w:lineRule="auto"/>
        <w:rPr>
          <w:sz w:val="20"/>
          <w:szCs w:val="20"/>
          <w:color w:val="auto"/>
        </w:rPr>
      </w:pPr>
      <w:r>
        <w:rPr>
          <w:rFonts w:ascii="Arial" w:cs="Arial" w:eastAsia="Arial" w:hAnsi="Arial"/>
          <w:sz w:val="16"/>
          <w:szCs w:val="16"/>
          <w:color w:val="auto"/>
        </w:rPr>
        <w:t>Since the beginning of the last fiscal year, there has not been nor are there currently proposed any transactions or a series of similar transactions to which Cohu was or is to be a party in which the amount involved exceeds $120,000 and in which any director, executive officer, holder of more than 5% of our common stock or any member of the immediate family of any of the foregoing persons had or will have a direct or indirect material interest.</w:t>
      </w:r>
    </w:p>
    <w:p>
      <w:pPr>
        <w:spacing w:after="0" w:line="149" w:lineRule="exact"/>
        <w:rPr>
          <w:sz w:val="20"/>
          <w:szCs w:val="20"/>
          <w:color w:val="auto"/>
        </w:rPr>
      </w:pPr>
    </w:p>
    <w:p>
      <w:pPr>
        <w:jc w:val="both"/>
        <w:ind w:right="340"/>
        <w:spacing w:after="0" w:line="259" w:lineRule="auto"/>
        <w:rPr>
          <w:sz w:val="20"/>
          <w:szCs w:val="20"/>
          <w:color w:val="auto"/>
        </w:rPr>
      </w:pPr>
      <w:r>
        <w:rPr>
          <w:rFonts w:ascii="Arial" w:cs="Arial" w:eastAsia="Arial" w:hAnsi="Arial"/>
          <w:sz w:val="18"/>
          <w:szCs w:val="18"/>
          <w:color w:val="auto"/>
        </w:rPr>
        <w:t>Cohu’s Audit Committee Charter requires that members of the Audit Committee, all of whom are independent directors, review and approve all related party transactions for which such approval is required under applicable law, including SEC and Nasdaq rules. Current SEC rules define a related party transaction to include any transaction, arrangement or relationship in which Cohu is a participant and in which any of the following persons has or will have a direct or indirect interest:</w:t>
      </w:r>
    </w:p>
    <w:p>
      <w:pPr>
        <w:spacing w:after="0" w:line="187" w:lineRule="exact"/>
        <w:rPr>
          <w:sz w:val="20"/>
          <w:szCs w:val="20"/>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 executive officer, director or director nominee of Cohu.</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person who is known to be the beneficial owner of more than 5% of Cohu’s common stock.</w:t>
      </w:r>
    </w:p>
    <w:p>
      <w:pPr>
        <w:spacing w:after="0" w:line="9" w:lineRule="exact"/>
        <w:rPr>
          <w:rFonts w:ascii="Arial" w:cs="Arial" w:eastAsia="Arial" w:hAnsi="Arial"/>
          <w:sz w:val="18"/>
          <w:szCs w:val="18"/>
          <w:color w:val="auto"/>
        </w:rPr>
      </w:pPr>
    </w:p>
    <w:p>
      <w:pPr>
        <w:ind w:left="980" w:right="220" w:hanging="324"/>
        <w:spacing w:after="0" w:line="250"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person who is an immediate family member (as defined under Item 404 of Regulation S-K) of an executive officer, director or director nominee or beneficial owner of more than 5% of Cohu’s common stock.</w:t>
      </w:r>
    </w:p>
    <w:p>
      <w:pPr>
        <w:ind w:left="980" w:right="140" w:hanging="324"/>
        <w:spacing w:after="0" w:line="290" w:lineRule="auto"/>
        <w:tabs>
          <w:tab w:leader="none" w:pos="9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Any firm, corporation or other entity in which any of the foregoing persons is employed or is a partner or principal or in a similar position or in which such person, together with any other of the foregoing persons, has a 5% or greater beneficial ownership interest.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6" w:name="page57"/>
    <w:bookmarkEnd w:id="56"/>
    <w:p>
      <w:pPr>
        <w:ind w:right="160"/>
        <w:spacing w:after="0" w:line="255" w:lineRule="auto"/>
        <w:rPr>
          <w:sz w:val="20"/>
          <w:szCs w:val="20"/>
          <w:color w:val="auto"/>
        </w:rPr>
      </w:pPr>
      <w:r>
        <w:rPr>
          <w:rFonts w:ascii="Arial" w:cs="Arial" w:eastAsia="Arial" w:hAnsi="Arial"/>
          <w:sz w:val="18"/>
          <w:szCs w:val="18"/>
          <w:color w:val="auto"/>
        </w:rPr>
        <w:t>In addition, the Audit Committee is responsible for reviewing and investigating any matters pertaining to the integrity of management, including conflicts of interest and adherence to Cohu’s Code of Business Conduct and Ethics. Under this Code, directors, officers and all other employees are expected to avoid any relationship, influence or activity that would cause or even appear to cause a conflict of interest. Cohu’s Corporate Governance Guidelines require a director to promptly disclose to the Board any potential or actual conflict of interest. Under these Guidelines, the Board will determine an appropriate resolution on a case-by-case basis. All directors must recuse themselves from any discussion or decision affecting their personal, business or professional interests.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All related party transactions will be disclosed in Cohu’s applicable filings with the SEC as required under SEC rules.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Board is unaware of any other business to be presented for consideration at the Meeting. If, however, such other business should properly come before the Meeting, the proxies will be voted in accordance with the best judgment of the proxy holders. The shares represented by proxies received in time for the Meeting will be voted and if any choice has been specified the vote will be in accordance with such specification.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Proposals - 2023 Annual Meeting</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Stockholders are entitled to present proposals for action, including nominations for candidates for membership on Cohu’s Board of Directors, at a forthcoming stockholders’ meeting if they comply with the requirements of the proxy rules and Cohu’s Bylaws. Any proposals intended to be presented at the 2023 Annual Meeting of Stockholders of Cohu must be received at Cohu’s offices on or before November 25, 2022 in order to be considered for inclusion in Cohu’s proxy statement and form of proxy relating to such meeting.</w:t>
      </w:r>
    </w:p>
    <w:p>
      <w:pPr>
        <w:spacing w:after="0" w:line="18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If a stockholder intends to submit a proposal at the 2023 Annual Meeting of Stockholders of Cohu, including nominations for candidates for membership on Cohu’s Board of Directors, which proposal is not otherwise intended to be included in Cohu’s proxy statement and form of proxy relating to such Meeting, the stockholder should provide Cohu with appropriate notice no earlier than October 26, 2022 and no later than November 25, 2022. If Cohu fails to receive notice of the proposal within such timeframe, any such proposal will be considered untimely, Cohu will not be required to consider or provide any information about the nature of the proposal in its proxy statement, and the proposal will not be submitted to the stockholders for approval at the 2023 Annual Meeting of Stockholders of Cohu.</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Report on Form 10-K</w:t>
      </w:r>
    </w:p>
    <w:p>
      <w:pPr>
        <w:spacing w:after="0" w:line="229"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 xml:space="preserve">Copies of Cohu’s Annual Report on Form 10-K for the year ended December 25, 2021, as filed with the SEC are available to stockholders without charge upon written request addressed to Investor Relations, Cohu, Inc., 12367 Crosthwaite Circle, Poway, California 92064-6817. The Annual Report on Form 10-K is also available at </w:t>
      </w:r>
      <w:r>
        <w:rPr>
          <w:rFonts w:ascii="Arial" w:cs="Arial" w:eastAsia="Arial" w:hAnsi="Arial"/>
          <w:sz w:val="18"/>
          <w:szCs w:val="18"/>
          <w:u w:val="single" w:color="auto"/>
          <w:color w:val="auto"/>
        </w:rPr>
        <w:t>www.cohu.com</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http://www.sec.gov</w:t>
      </w:r>
      <w:r>
        <w:rPr>
          <w:rFonts w:ascii="Arial" w:cs="Arial" w:eastAsia="Arial" w:hAnsi="Arial"/>
          <w:sz w:val="18"/>
          <w:szCs w:val="18"/>
          <w:color w:val="auto"/>
        </w:rPr>
        <w:t>.</w:t>
      </w:r>
    </w:p>
    <w:p>
      <w:pPr>
        <w:spacing w:after="0" w:line="184"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Thomas D. Kampfer</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Poway,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15, 2022</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7" w:name="page58"/>
    <w:bookmarkEnd w:id="57"/>
    <w:p>
      <w:pPr>
        <w:ind w:left="340"/>
        <w:spacing w:after="0"/>
        <w:rPr>
          <w:sz w:val="20"/>
          <w:szCs w:val="20"/>
          <w:color w:val="auto"/>
        </w:rPr>
      </w:pPr>
      <w:r>
        <w:rPr>
          <w:rFonts w:ascii="Arial" w:cs="Arial" w:eastAsia="Arial" w:hAnsi="Arial"/>
          <w:sz w:val="32"/>
          <w:szCs w:val="32"/>
          <w:b w:val="1"/>
          <w:bCs w:val="1"/>
          <w:color w:val="FFFFFF"/>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5143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514350"/>
                    </a:xfrm>
                    <a:prstGeom prst="rect">
                      <a:avLst/>
                    </a:prstGeom>
                    <a:noFill/>
                  </pic:spPr>
                </pic:pic>
              </a:graphicData>
            </a:graphic>
          </wp:anchor>
        </w:drawing>
        <w:t>Voting Proposals</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No. 1: Election of Directors</w:t>
      </w:r>
    </w:p>
    <w:p>
      <w:pPr>
        <w:spacing w:after="0" w:line="22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Cohu’s Amended and Restated Certificate of Incorporation divides the directors into three classes whose terms expire at successive annual meetings over a period of three years. One class of directors is elected for a term of three years at each annual meeting with the remaining directors continuing in office. At the meeting, two (2) Class 3 directors are standing for re-election for a term expiring in 2025. The shares represented by proxies in the accompanying form will be voted by the proxy holders in accordance with the instructions given by the voting stockholders. If no specific instructions are given, however, the shares will be voted for the election of the two (2) nominees named below. Should any nominee decline or become unable to accept nomination or election, which is not anticipated, the proxies will be voted for such substitute nominee as may be designated by a majority of the Board of Directors.</w:t>
      </w:r>
    </w:p>
    <w:p>
      <w:pPr>
        <w:spacing w:after="0" w:line="164"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Ms. Lynne J. Camp, currently a Class 3 director, is not standing for re-election. Her term will expire at the meeting, and we thank her for her service to Cohu. Our Board is currently composed of eight members, but will be reduced to seven members, and the size of Class 3 will be reduced to two members, upon the meeting date. Each of the two (2) director nominees currently serve as a member of the Board, and there is no family relationship between the nominees, other directors or any of Cohu’s officers. The following biographies describe the skills, qualities, attributes, and experience of the nominees that led our Board to determine that it is appropriate to nominate these directors. Biographies for each of our other continuing directors are also included below.</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2D53A6"/>
        </w:rPr>
        <w:t>Required Vote</w:t>
      </w:r>
    </w:p>
    <w:p>
      <w:pPr>
        <w:spacing w:after="0" w:line="225"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Nominees that receive a majority of the votes cast for such nominee’s election (meaning the number of shares voted “For” a nominee must exceed the number of shares voted “Against” such nominee) will be elected as Directors under Proposal No. 1. Brokers do not have discretion to vote on this proposal without your instruction. If you do not instruct your broker how to vote on this proposal, your broker will deliver a non-vote on this proposal.</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2D53A6"/>
        </w:rPr>
        <w:t>Recommendation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6172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61722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FFFFFF"/>
        </w:rPr>
        <w:t>The Board of Directors unanimously recommends</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FFFFFF"/>
        </w:rPr>
        <w:t xml:space="preserve">a vote </w:t>
      </w:r>
      <w:r>
        <w:rPr>
          <w:rFonts w:ascii="Arial" w:cs="Arial" w:eastAsia="Arial" w:hAnsi="Arial"/>
          <w:sz w:val="22"/>
          <w:szCs w:val="22"/>
          <w:color w:val="FFFFFF"/>
        </w:rPr>
        <w:t>√ “</w:t>
      </w:r>
      <w:r>
        <w:rPr>
          <w:rFonts w:ascii="Arial" w:cs="Arial" w:eastAsia="Arial" w:hAnsi="Arial"/>
          <w:sz w:val="22"/>
          <w:szCs w:val="22"/>
          <w:b w:val="1"/>
          <w:bCs w:val="1"/>
          <w:color w:val="FFFFFF"/>
        </w:rPr>
        <w:t>FOR</w:t>
      </w:r>
      <w:r>
        <w:rPr>
          <w:rFonts w:ascii="Arial" w:cs="Arial" w:eastAsia="Arial" w:hAnsi="Arial"/>
          <w:sz w:val="22"/>
          <w:szCs w:val="22"/>
          <w:color w:val="FFFFFF"/>
        </w:rPr>
        <w:t>”</w:t>
      </w:r>
      <w:r>
        <w:rPr>
          <w:rFonts w:ascii="Arial" w:cs="Arial" w:eastAsia="Arial" w:hAnsi="Arial"/>
          <w:sz w:val="22"/>
          <w:szCs w:val="22"/>
          <w:b w:val="1"/>
          <w:bCs w:val="1"/>
          <w:color w:val="FFFFFF"/>
        </w:rPr>
        <w:t xml:space="preserve"> the nominees named below.</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2D53A6"/>
        </w:rPr>
        <w:t>Directors Whose Term Expires in 2025 (if elected) - Class 3</w:t>
      </w:r>
    </w:p>
    <w:p>
      <w:pPr>
        <w:sectPr>
          <w:pgSz w:w="11900" w:h="16838" w:orient="portrait"/>
          <w:cols w:equalWidth="0" w:num="1">
            <w:col w:w="11200"/>
          </w:cols>
          <w:pgMar w:left="320" w:top="773"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left="720"/>
        <w:spacing w:after="0"/>
        <w:rPr>
          <w:sz w:val="20"/>
          <w:szCs w:val="20"/>
          <w:color w:val="auto"/>
        </w:rPr>
      </w:pPr>
      <w:r>
        <w:rPr>
          <w:rFonts w:ascii="Arial" w:cs="Arial" w:eastAsia="Arial" w:hAnsi="Arial"/>
          <w:sz w:val="22"/>
          <w:szCs w:val="22"/>
          <w:b w:val="1"/>
          <w:bCs w:val="1"/>
          <w:color w:val="2D53A6"/>
        </w:rPr>
        <w:t>Steven J. Bilodeau</w:t>
      </w:r>
    </w:p>
    <w:p>
      <w:pPr>
        <w:spacing w:after="0" w:line="19" w:lineRule="exact"/>
        <w:rPr>
          <w:sz w:val="20"/>
          <w:szCs w:val="20"/>
          <w:color w:val="auto"/>
        </w:rPr>
      </w:pPr>
    </w:p>
    <w:p>
      <w:pPr>
        <w:jc w:val="center"/>
        <w:ind w:left="720"/>
        <w:spacing w:after="0"/>
        <w:rPr>
          <w:sz w:val="20"/>
          <w:szCs w:val="20"/>
          <w:color w:val="auto"/>
        </w:rPr>
      </w:pPr>
      <w:r>
        <w:rPr>
          <w:rFonts w:ascii="Arial" w:cs="Arial" w:eastAsia="Arial" w:hAnsi="Arial"/>
          <w:sz w:val="18"/>
          <w:szCs w:val="18"/>
          <w:color w:val="auto"/>
        </w:rPr>
        <w:t>Director since 2009</w:t>
      </w:r>
    </w:p>
    <w:p>
      <w:pPr>
        <w:spacing w:after="0" w:line="7" w:lineRule="exact"/>
        <w:rPr>
          <w:sz w:val="20"/>
          <w:szCs w:val="20"/>
          <w:color w:val="auto"/>
        </w:rPr>
      </w:pPr>
    </w:p>
    <w:p>
      <w:pPr>
        <w:jc w:val="center"/>
        <w:ind w:left="720"/>
        <w:spacing w:after="0"/>
        <w:rPr>
          <w:sz w:val="20"/>
          <w:szCs w:val="20"/>
          <w:color w:val="auto"/>
        </w:rPr>
      </w:pPr>
      <w:r>
        <w:rPr>
          <w:rFonts w:ascii="Arial" w:cs="Arial" w:eastAsia="Arial" w:hAnsi="Arial"/>
          <w:sz w:val="18"/>
          <w:szCs w:val="18"/>
          <w:color w:val="auto"/>
        </w:rPr>
        <w:t>Age 63</w:t>
      </w:r>
    </w:p>
    <w:p>
      <w:pPr>
        <w:spacing w:after="0" w:line="207" w:lineRule="exact"/>
        <w:rPr>
          <w:sz w:val="20"/>
          <w:szCs w:val="20"/>
          <w:color w:val="auto"/>
        </w:rPr>
      </w:pPr>
    </w:p>
    <w:p>
      <w:pPr>
        <w:jc w:val="center"/>
        <w:ind w:left="720"/>
        <w:spacing w:after="0"/>
        <w:rPr>
          <w:sz w:val="20"/>
          <w:szCs w:val="20"/>
          <w:color w:val="auto"/>
        </w:rPr>
      </w:pPr>
      <w:r>
        <w:rPr>
          <w:rFonts w:ascii="Arial" w:cs="Arial" w:eastAsia="Arial" w:hAnsi="Arial"/>
          <w:sz w:val="18"/>
          <w:szCs w:val="18"/>
          <w:b w:val="1"/>
          <w:bCs w:val="1"/>
          <w:color w:val="2D53A6"/>
        </w:rPr>
        <w:t>Board Committees:</w:t>
      </w:r>
    </w:p>
    <w:p>
      <w:pPr>
        <w:spacing w:after="0" w:line="27" w:lineRule="exact"/>
        <w:rPr>
          <w:sz w:val="20"/>
          <w:szCs w:val="20"/>
          <w:color w:val="auto"/>
        </w:rPr>
      </w:pPr>
    </w:p>
    <w:p>
      <w:pPr>
        <w:jc w:val="center"/>
        <w:ind w:left="720"/>
        <w:spacing w:after="0"/>
        <w:rPr>
          <w:sz w:val="20"/>
          <w:szCs w:val="20"/>
          <w:color w:val="auto"/>
        </w:rPr>
      </w:pPr>
      <w:r>
        <w:rPr>
          <w:rFonts w:ascii="Arial" w:cs="Arial" w:eastAsia="Arial" w:hAnsi="Arial"/>
          <w:sz w:val="16"/>
          <w:szCs w:val="16"/>
          <w:color w:val="auto"/>
        </w:rPr>
        <w:t>Compensation Committee (Chair)</w:t>
      </w:r>
    </w:p>
    <w:p>
      <w:pPr>
        <w:spacing w:after="0" w:line="32" w:lineRule="exact"/>
        <w:rPr>
          <w:sz w:val="20"/>
          <w:szCs w:val="20"/>
          <w:color w:val="auto"/>
        </w:rPr>
      </w:pPr>
    </w:p>
    <w:p>
      <w:pPr>
        <w:jc w:val="center"/>
        <w:ind w:left="720"/>
        <w:spacing w:after="0"/>
        <w:rPr>
          <w:sz w:val="20"/>
          <w:szCs w:val="20"/>
          <w:color w:val="auto"/>
        </w:rPr>
      </w:pPr>
      <w:r>
        <w:rPr>
          <w:rFonts w:ascii="Arial" w:cs="Arial" w:eastAsia="Arial" w:hAnsi="Arial"/>
          <w:sz w:val="18"/>
          <w:szCs w:val="18"/>
          <w:color w:val="auto"/>
        </w:rPr>
        <w:t>Nominating and Governance</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2D53A6"/>
        </w:rPr>
        <w:t>Business Experience and Other Directorships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-2635885</wp:posOffset>
            </wp:positionH>
            <wp:positionV relativeFrom="paragraph">
              <wp:posOffset>-130175</wp:posOffset>
            </wp:positionV>
            <wp:extent cx="7132320" cy="19373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937385"/>
                    </a:xfrm>
                    <a:prstGeom prst="rect">
                      <a:avLst/>
                    </a:prstGeom>
                    <a:noFill/>
                  </pic:spPr>
                </pic:pic>
              </a:graphicData>
            </a:graphic>
          </wp:anchor>
        </w:drawing>
      </w:r>
    </w:p>
    <w:p>
      <w:pPr>
        <w:spacing w:after="0" w:line="3" w:lineRule="exact"/>
        <w:rPr>
          <w:sz w:val="20"/>
          <w:szCs w:val="20"/>
          <w:color w:val="auto"/>
        </w:rPr>
      </w:pPr>
    </w:p>
    <w:p>
      <w:pPr>
        <w:ind w:right="200"/>
        <w:spacing w:after="0" w:line="269" w:lineRule="auto"/>
        <w:rPr>
          <w:sz w:val="20"/>
          <w:szCs w:val="20"/>
          <w:color w:val="auto"/>
        </w:rPr>
      </w:pPr>
      <w:r>
        <w:rPr>
          <w:rFonts w:ascii="Arial" w:cs="Arial" w:eastAsia="Arial" w:hAnsi="Arial"/>
          <w:sz w:val="17"/>
          <w:szCs w:val="17"/>
          <w:color w:val="auto"/>
        </w:rPr>
        <w:t>Mr. Bilodeau is the retired President and Chief Executive Officer of Standard Microsystems Corporation (“SMSC”), a semiconductor manufacturer, where he served from 1999 until 2008. Mr. Bilodeau served as a director of Maxwell Technologies from May 2016 and was appointed Chairperson in May 2017 until its sale to Tesla in May 2019. Mr. Bilodeau also served as a director of SMSC from 1999 until 2012, and as SMSC’s Chairperson of the Board from 2000 until 2012. Mr. Bilodeau also previously served as a director of NuHorizons Electronic Corp., Conexant Systems, Inc. and Gennum Corporation.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2D53A6"/>
        </w:rPr>
        <w:t>Experience Qualifications and Attributes</w:t>
      </w:r>
    </w:p>
    <w:p>
      <w:pPr>
        <w:spacing w:after="0" w:line="23" w:lineRule="exact"/>
        <w:rPr>
          <w:sz w:val="20"/>
          <w:szCs w:val="20"/>
          <w:color w:val="auto"/>
        </w:rPr>
      </w:pPr>
    </w:p>
    <w:p>
      <w:pPr>
        <w:ind w:right="180"/>
        <w:spacing w:after="0" w:line="295" w:lineRule="auto"/>
        <w:rPr>
          <w:sz w:val="20"/>
          <w:szCs w:val="20"/>
          <w:color w:val="auto"/>
        </w:rPr>
      </w:pPr>
      <w:r>
        <w:rPr>
          <w:rFonts w:ascii="Arial" w:cs="Arial" w:eastAsia="Arial" w:hAnsi="Arial"/>
          <w:sz w:val="16"/>
          <w:szCs w:val="16"/>
          <w:color w:val="auto"/>
        </w:rPr>
        <w:t>We believe Mr. Bilodeau’s qualifications to sit on our Board include his extensive board and executive, including CEO, experience in the high technology and semiconductor industries and his knowledge of international operations, business strategy and corporate governance. Mr. Bilodeau was first appointed Lead Independent Director of the Board in May 2018.</w:t>
      </w:r>
    </w:p>
    <w:p>
      <w:pPr>
        <w:spacing w:after="0" w:line="200" w:lineRule="exact"/>
        <w:rPr>
          <w:sz w:val="20"/>
          <w:szCs w:val="20"/>
          <w:color w:val="auto"/>
        </w:rPr>
      </w:pPr>
    </w:p>
    <w:p>
      <w:pPr>
        <w:sectPr>
          <w:pgSz w:w="11900" w:h="16838" w:orient="portrait"/>
          <w:cols w:equalWidth="0" w:num="2">
            <w:col w:w="3440" w:space="720"/>
            <w:col w:w="7040"/>
          </w:cols>
          <w:pgMar w:left="320" w:top="773" w:right="379" w:bottom="1440" w:gutter="0" w:footer="0" w:header="0"/>
          <w:type w:val="continuous"/>
        </w:sectPr>
      </w:pPr>
    </w:p>
    <w:p>
      <w:pPr>
        <w:spacing w:after="0" w:line="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73" w:right="379" w:bottom="1440" w:gutter="0" w:footer="0" w:header="0"/>
          <w:type w:val="continuous"/>
        </w:sectPr>
      </w:pPr>
    </w:p>
    <w:bookmarkStart w:id="58" w:name="page59"/>
    <w:bookmarkEnd w:id="58"/>
    <w:tbl>
      <w:tblPr>
        <w:tblLayout w:type="fixed"/>
        <w:tblInd w:w="0" w:type="dxa"/>
        <w:tblCellMar>
          <w:top w:w="0" w:type="dxa"/>
          <w:left w:w="0" w:type="dxa"/>
          <w:bottom w:w="0" w:type="dxa"/>
          <w:right w:w="0" w:type="dxa"/>
        </w:tblCellMar>
      </w:tblPr>
      <w:tr>
        <w:trPr>
          <w:trHeight w:val="215"/>
        </w:trPr>
        <w:tc>
          <w:tcPr>
            <w:tcW w:w="4180" w:type="dxa"/>
            <w:vAlign w:val="bottom"/>
            <w:tcBorders>
              <w:top w:val="single" w:sz="8" w:color="auto"/>
              <w:right w:val="single" w:sz="8" w:color="auto"/>
            </w:tcBorders>
            <w:shd w:val="clear" w:color="auto" w:fill="E6E6E6"/>
          </w:tcPr>
          <w:p>
            <w:pPr>
              <w:spacing w:after="0"/>
              <w:rPr>
                <w:sz w:val="18"/>
                <w:szCs w:val="18"/>
                <w:color w:val="auto"/>
              </w:rPr>
            </w:pPr>
          </w:p>
        </w:tc>
        <w:tc>
          <w:tcPr>
            <w:tcW w:w="7060" w:type="dxa"/>
            <w:vAlign w:val="bottom"/>
            <w:tcBorders>
              <w:top w:val="single" w:sz="8" w:color="auto"/>
            </w:tcBorders>
            <w:shd w:val="clear" w:color="auto" w:fill="E6E6E6"/>
          </w:tcPr>
          <w:p>
            <w:pPr>
              <w:spacing w:after="0"/>
              <w:rPr>
                <w:sz w:val="20"/>
                <w:szCs w:val="20"/>
                <w:color w:val="auto"/>
              </w:rPr>
            </w:pPr>
            <w:r>
              <w:rPr>
                <w:rFonts w:ascii="Arial" w:cs="Arial" w:eastAsia="Arial" w:hAnsi="Arial"/>
                <w:sz w:val="18"/>
                <w:szCs w:val="18"/>
                <w:color w:val="2D53A6"/>
              </w:rPr>
              <w:t>Business Experience and Other Directorships</w:t>
            </w:r>
          </w:p>
        </w:tc>
        <w:tc>
          <w:tcPr>
            <w:tcW w:w="0" w:type="dxa"/>
            <w:vAlign w:val="bottom"/>
          </w:tcPr>
          <w:p>
            <w:pPr>
              <w:spacing w:after="0"/>
              <w:rPr>
                <w:sz w:val="1"/>
                <w:szCs w:val="1"/>
                <w:color w:val="auto"/>
              </w:rPr>
            </w:pPr>
          </w:p>
        </w:tc>
      </w:tr>
      <w:tr>
        <w:trPr>
          <w:trHeight w:val="216"/>
        </w:trPr>
        <w:tc>
          <w:tcPr>
            <w:tcW w:w="4180" w:type="dxa"/>
            <w:vAlign w:val="bottom"/>
            <w:tcBorders>
              <w:right w:val="single" w:sz="8" w:color="auto"/>
            </w:tcBorders>
            <w:shd w:val="clear" w:color="auto" w:fill="E6E6E6"/>
          </w:tcPr>
          <w:p>
            <w:pPr>
              <w:spacing w:after="0"/>
              <w:rPr>
                <w:sz w:val="18"/>
                <w:szCs w:val="18"/>
                <w:color w:val="auto"/>
              </w:rPr>
            </w:pPr>
          </w:p>
        </w:tc>
        <w:tc>
          <w:tcPr>
            <w:tcW w:w="7060" w:type="dxa"/>
            <w:vAlign w:val="bottom"/>
            <w:shd w:val="clear" w:color="auto" w:fill="E6E6E6"/>
          </w:tcPr>
          <w:p>
            <w:pPr>
              <w:spacing w:after="0"/>
              <w:rPr>
                <w:sz w:val="20"/>
                <w:szCs w:val="20"/>
                <w:color w:val="auto"/>
              </w:rPr>
            </w:pPr>
            <w:r>
              <w:rPr>
                <w:rFonts w:ascii="Arial" w:cs="Arial" w:eastAsia="Arial" w:hAnsi="Arial"/>
                <w:sz w:val="18"/>
                <w:szCs w:val="18"/>
                <w:color w:val="auto"/>
                <w:w w:val="90"/>
              </w:rPr>
              <w:t>Mr. Donahue has been the non-executive Chairperson of Cohu since December 24, 2015. Prior to</w:t>
            </w:r>
          </w:p>
        </w:tc>
        <w:tc>
          <w:tcPr>
            <w:tcW w:w="0" w:type="dxa"/>
            <w:vAlign w:val="bottom"/>
          </w:tcPr>
          <w:p>
            <w:pPr>
              <w:spacing w:after="0"/>
              <w:rPr>
                <w:sz w:val="1"/>
                <w:szCs w:val="1"/>
                <w:color w:val="auto"/>
              </w:rPr>
            </w:pPr>
          </w:p>
        </w:tc>
      </w:tr>
      <w:tr>
        <w:trPr>
          <w:trHeight w:val="216"/>
        </w:trPr>
        <w:tc>
          <w:tcPr>
            <w:tcW w:w="4180" w:type="dxa"/>
            <w:vAlign w:val="bottom"/>
            <w:tcBorders>
              <w:right w:val="single" w:sz="8" w:color="auto"/>
            </w:tcBorders>
            <w:shd w:val="clear" w:color="auto" w:fill="E6E6E6"/>
          </w:tcPr>
          <w:p>
            <w:pPr>
              <w:spacing w:after="0"/>
              <w:rPr>
                <w:sz w:val="18"/>
                <w:szCs w:val="18"/>
                <w:color w:val="auto"/>
              </w:rPr>
            </w:pPr>
          </w:p>
        </w:tc>
        <w:tc>
          <w:tcPr>
            <w:tcW w:w="7060" w:type="dxa"/>
            <w:vAlign w:val="bottom"/>
            <w:shd w:val="clear" w:color="auto" w:fill="E6E6E6"/>
          </w:tcPr>
          <w:p>
            <w:pPr>
              <w:spacing w:after="0"/>
              <w:rPr>
                <w:sz w:val="20"/>
                <w:szCs w:val="20"/>
                <w:color w:val="auto"/>
              </w:rPr>
            </w:pPr>
            <w:r>
              <w:rPr>
                <w:rFonts w:ascii="Arial" w:cs="Arial" w:eastAsia="Arial" w:hAnsi="Arial"/>
                <w:sz w:val="18"/>
                <w:szCs w:val="18"/>
                <w:color w:val="auto"/>
                <w:w w:val="89"/>
              </w:rPr>
              <w:t>this he served as Executive Chairperson of Cohu from December 28, 2014 to December 24, 2015,</w:t>
            </w:r>
          </w:p>
        </w:tc>
        <w:tc>
          <w:tcPr>
            <w:tcW w:w="0" w:type="dxa"/>
            <w:vAlign w:val="bottom"/>
          </w:tcPr>
          <w:p>
            <w:pPr>
              <w:spacing w:after="0"/>
              <w:rPr>
                <w:sz w:val="1"/>
                <w:szCs w:val="1"/>
                <w:color w:val="auto"/>
              </w:rPr>
            </w:pPr>
          </w:p>
        </w:tc>
      </w:tr>
      <w:tr>
        <w:trPr>
          <w:trHeight w:val="216"/>
        </w:trPr>
        <w:tc>
          <w:tcPr>
            <w:tcW w:w="4180" w:type="dxa"/>
            <w:vAlign w:val="bottom"/>
            <w:tcBorders>
              <w:right w:val="single" w:sz="8" w:color="auto"/>
            </w:tcBorders>
            <w:vMerge w:val="restart"/>
            <w:shd w:val="clear" w:color="auto" w:fill="E6E6E6"/>
          </w:tcPr>
          <w:p>
            <w:pPr>
              <w:jc w:val="center"/>
              <w:spacing w:after="0"/>
              <w:rPr>
                <w:sz w:val="20"/>
                <w:szCs w:val="20"/>
                <w:color w:val="auto"/>
              </w:rPr>
            </w:pPr>
            <w:r>
              <w:rPr>
                <w:rFonts w:ascii="Arial" w:cs="Arial" w:eastAsia="Arial" w:hAnsi="Arial"/>
                <w:sz w:val="22"/>
                <w:szCs w:val="22"/>
                <w:b w:val="1"/>
                <w:bCs w:val="1"/>
                <w:color w:val="2D53A6"/>
                <w:w w:val="87"/>
              </w:rPr>
              <w:t>James A. Donahue</w:t>
            </w:r>
          </w:p>
        </w:tc>
        <w:tc>
          <w:tcPr>
            <w:tcW w:w="7060" w:type="dxa"/>
            <w:vAlign w:val="bottom"/>
            <w:shd w:val="clear" w:color="auto" w:fill="E6E6E6"/>
          </w:tcPr>
          <w:p>
            <w:pPr>
              <w:spacing w:after="0"/>
              <w:rPr>
                <w:sz w:val="20"/>
                <w:szCs w:val="20"/>
                <w:color w:val="auto"/>
              </w:rPr>
            </w:pPr>
            <w:r>
              <w:rPr>
                <w:rFonts w:ascii="Arial" w:cs="Arial" w:eastAsia="Arial" w:hAnsi="Arial"/>
                <w:sz w:val="18"/>
                <w:szCs w:val="18"/>
                <w:color w:val="auto"/>
                <w:w w:val="94"/>
              </w:rPr>
              <w:t>and as Chairperson of the Board from 2010 until 2014. Mr. Donahue was President and Chief</w:t>
            </w:r>
          </w:p>
        </w:tc>
        <w:tc>
          <w:tcPr>
            <w:tcW w:w="0" w:type="dxa"/>
            <w:vAlign w:val="bottom"/>
          </w:tcPr>
          <w:p>
            <w:pPr>
              <w:spacing w:after="0"/>
              <w:rPr>
                <w:sz w:val="1"/>
                <w:szCs w:val="1"/>
                <w:color w:val="auto"/>
              </w:rPr>
            </w:pPr>
          </w:p>
        </w:tc>
      </w:tr>
      <w:tr>
        <w:trPr>
          <w:trHeight w:val="216"/>
        </w:trPr>
        <w:tc>
          <w:tcPr>
            <w:tcW w:w="4180" w:type="dxa"/>
            <w:vAlign w:val="bottom"/>
            <w:tcBorders>
              <w:right w:val="single" w:sz="8" w:color="auto"/>
            </w:tcBorders>
            <w:vMerge w:val="continue"/>
            <w:shd w:val="clear" w:color="auto" w:fill="E6E6E6"/>
          </w:tcPr>
          <w:p>
            <w:pPr>
              <w:spacing w:after="0"/>
              <w:rPr>
                <w:sz w:val="18"/>
                <w:szCs w:val="18"/>
                <w:color w:val="auto"/>
              </w:rPr>
            </w:pPr>
          </w:p>
        </w:tc>
        <w:tc>
          <w:tcPr>
            <w:tcW w:w="7060" w:type="dxa"/>
            <w:vAlign w:val="bottom"/>
            <w:shd w:val="clear" w:color="auto" w:fill="E6E6E6"/>
          </w:tcPr>
          <w:p>
            <w:pPr>
              <w:spacing w:after="0"/>
              <w:rPr>
                <w:sz w:val="20"/>
                <w:szCs w:val="20"/>
                <w:color w:val="auto"/>
              </w:rPr>
            </w:pPr>
            <w:r>
              <w:rPr>
                <w:rFonts w:ascii="Arial" w:cs="Arial" w:eastAsia="Arial" w:hAnsi="Arial"/>
                <w:sz w:val="18"/>
                <w:szCs w:val="18"/>
                <w:color w:val="auto"/>
                <w:w w:val="91"/>
              </w:rPr>
              <w:t>Executive Officer of Cohu from 2000 to 2014, and President and Chief Operating Officer of Cohu</w:t>
            </w:r>
          </w:p>
        </w:tc>
        <w:tc>
          <w:tcPr>
            <w:tcW w:w="0" w:type="dxa"/>
            <w:vAlign w:val="bottom"/>
          </w:tcPr>
          <w:p>
            <w:pPr>
              <w:spacing w:after="0"/>
              <w:rPr>
                <w:sz w:val="1"/>
                <w:szCs w:val="1"/>
                <w:color w:val="auto"/>
              </w:rPr>
            </w:pPr>
          </w:p>
        </w:tc>
      </w:tr>
      <w:tr>
        <w:trPr>
          <w:trHeight w:val="216"/>
        </w:trPr>
        <w:tc>
          <w:tcPr>
            <w:tcW w:w="4180" w:type="dxa"/>
            <w:vAlign w:val="bottom"/>
            <w:tcBorders>
              <w:right w:val="single" w:sz="8" w:color="auto"/>
            </w:tcBorders>
            <w:shd w:val="clear" w:color="auto" w:fill="E6E6E6"/>
          </w:tcPr>
          <w:p>
            <w:pPr>
              <w:jc w:val="center"/>
              <w:spacing w:after="0"/>
              <w:rPr>
                <w:sz w:val="20"/>
                <w:szCs w:val="20"/>
                <w:color w:val="auto"/>
              </w:rPr>
            </w:pPr>
            <w:r>
              <w:rPr>
                <w:rFonts w:ascii="Arial" w:cs="Arial" w:eastAsia="Arial" w:hAnsi="Arial"/>
                <w:sz w:val="18"/>
                <w:szCs w:val="18"/>
                <w:color w:val="auto"/>
                <w:w w:val="90"/>
              </w:rPr>
              <w:t>Director since 1999</w:t>
            </w:r>
          </w:p>
        </w:tc>
        <w:tc>
          <w:tcPr>
            <w:tcW w:w="7060" w:type="dxa"/>
            <w:vAlign w:val="bottom"/>
            <w:shd w:val="clear" w:color="auto" w:fill="E6E6E6"/>
          </w:tcPr>
          <w:p>
            <w:pPr>
              <w:spacing w:after="0"/>
              <w:rPr>
                <w:sz w:val="20"/>
                <w:szCs w:val="20"/>
                <w:color w:val="auto"/>
              </w:rPr>
            </w:pPr>
            <w:r>
              <w:rPr>
                <w:rFonts w:ascii="Arial" w:cs="Arial" w:eastAsia="Arial" w:hAnsi="Arial"/>
                <w:sz w:val="18"/>
                <w:szCs w:val="18"/>
                <w:color w:val="auto"/>
                <w:w w:val="96"/>
              </w:rPr>
              <w:t>from 1999 to 2000. He also served concurrently as President of Delta Design, Inc., a wholly</w:t>
            </w:r>
          </w:p>
        </w:tc>
        <w:tc>
          <w:tcPr>
            <w:tcW w:w="0" w:type="dxa"/>
            <w:vAlign w:val="bottom"/>
          </w:tcPr>
          <w:p>
            <w:pPr>
              <w:spacing w:after="0"/>
              <w:rPr>
                <w:sz w:val="1"/>
                <w:szCs w:val="1"/>
                <w:color w:val="auto"/>
              </w:rPr>
            </w:pPr>
          </w:p>
        </w:tc>
      </w:tr>
      <w:tr>
        <w:trPr>
          <w:trHeight w:val="216"/>
        </w:trPr>
        <w:tc>
          <w:tcPr>
            <w:tcW w:w="4180" w:type="dxa"/>
            <w:vAlign w:val="bottom"/>
            <w:tcBorders>
              <w:right w:val="single" w:sz="8" w:color="auto"/>
            </w:tcBorders>
            <w:shd w:val="clear" w:color="auto" w:fill="E6E6E6"/>
          </w:tcPr>
          <w:p>
            <w:pPr>
              <w:jc w:val="center"/>
              <w:spacing w:after="0"/>
              <w:rPr>
                <w:sz w:val="20"/>
                <w:szCs w:val="20"/>
                <w:color w:val="auto"/>
              </w:rPr>
            </w:pPr>
            <w:r>
              <w:rPr>
                <w:rFonts w:ascii="Arial" w:cs="Arial" w:eastAsia="Arial" w:hAnsi="Arial"/>
                <w:sz w:val="18"/>
                <w:szCs w:val="18"/>
                <w:color w:val="auto"/>
                <w:w w:val="92"/>
              </w:rPr>
              <w:t>(non-executive Director</w:t>
            </w:r>
          </w:p>
        </w:tc>
        <w:tc>
          <w:tcPr>
            <w:tcW w:w="7060" w:type="dxa"/>
            <w:vAlign w:val="bottom"/>
            <w:shd w:val="clear" w:color="auto" w:fill="E6E6E6"/>
          </w:tcPr>
          <w:p>
            <w:pPr>
              <w:spacing w:after="0"/>
              <w:rPr>
                <w:sz w:val="20"/>
                <w:szCs w:val="20"/>
                <w:color w:val="auto"/>
              </w:rPr>
            </w:pPr>
            <w:r>
              <w:rPr>
                <w:rFonts w:ascii="Arial" w:cs="Arial" w:eastAsia="Arial" w:hAnsi="Arial"/>
                <w:sz w:val="18"/>
                <w:szCs w:val="18"/>
                <w:color w:val="auto"/>
                <w:w w:val="92"/>
              </w:rPr>
              <w:t>owned subsidiary of Cohu from 1983 to 2010. Mr. Donahue also previously served as a director</w:t>
            </w:r>
          </w:p>
        </w:tc>
        <w:tc>
          <w:tcPr>
            <w:tcW w:w="0" w:type="dxa"/>
            <w:vAlign w:val="bottom"/>
          </w:tcPr>
          <w:p>
            <w:pPr>
              <w:spacing w:after="0"/>
              <w:rPr>
                <w:sz w:val="1"/>
                <w:szCs w:val="1"/>
                <w:color w:val="auto"/>
              </w:rPr>
            </w:pPr>
          </w:p>
        </w:tc>
      </w:tr>
      <w:tr>
        <w:trPr>
          <w:trHeight w:val="229"/>
        </w:trPr>
        <w:tc>
          <w:tcPr>
            <w:tcW w:w="4180" w:type="dxa"/>
            <w:vAlign w:val="bottom"/>
            <w:tcBorders>
              <w:right w:val="single" w:sz="8" w:color="auto"/>
            </w:tcBorders>
            <w:shd w:val="clear" w:color="auto" w:fill="E6E6E6"/>
          </w:tcPr>
          <w:p>
            <w:pPr>
              <w:jc w:val="center"/>
              <w:spacing w:after="0"/>
              <w:rPr>
                <w:sz w:val="20"/>
                <w:szCs w:val="20"/>
                <w:color w:val="auto"/>
              </w:rPr>
            </w:pPr>
            <w:r>
              <w:rPr>
                <w:rFonts w:ascii="Arial" w:cs="Arial" w:eastAsia="Arial" w:hAnsi="Arial"/>
                <w:sz w:val="18"/>
                <w:szCs w:val="18"/>
                <w:color w:val="auto"/>
                <w:w w:val="90"/>
              </w:rPr>
              <w:t>since 2015)</w:t>
            </w:r>
          </w:p>
        </w:tc>
        <w:tc>
          <w:tcPr>
            <w:tcW w:w="7060" w:type="dxa"/>
            <w:vAlign w:val="bottom"/>
            <w:shd w:val="clear" w:color="auto" w:fill="E6E6E6"/>
          </w:tcPr>
          <w:p>
            <w:pPr>
              <w:spacing w:after="0"/>
              <w:rPr>
                <w:sz w:val="20"/>
                <w:szCs w:val="20"/>
                <w:color w:val="auto"/>
              </w:rPr>
            </w:pPr>
            <w:r>
              <w:rPr>
                <w:rFonts w:ascii="Arial" w:cs="Arial" w:eastAsia="Arial" w:hAnsi="Arial"/>
                <w:sz w:val="18"/>
                <w:szCs w:val="18"/>
                <w:color w:val="auto"/>
              </w:rPr>
              <w:t>of SMSC from 2003 until 2012.</w:t>
            </w:r>
          </w:p>
        </w:tc>
        <w:tc>
          <w:tcPr>
            <w:tcW w:w="0" w:type="dxa"/>
            <w:vAlign w:val="bottom"/>
          </w:tcPr>
          <w:p>
            <w:pPr>
              <w:spacing w:after="0"/>
              <w:rPr>
                <w:sz w:val="1"/>
                <w:szCs w:val="1"/>
                <w:color w:val="auto"/>
              </w:rPr>
            </w:pPr>
          </w:p>
        </w:tc>
      </w:tr>
      <w:tr>
        <w:trPr>
          <w:trHeight w:val="230"/>
        </w:trPr>
        <w:tc>
          <w:tcPr>
            <w:tcW w:w="4180" w:type="dxa"/>
            <w:vAlign w:val="bottom"/>
            <w:tcBorders>
              <w:right w:val="single" w:sz="8" w:color="auto"/>
            </w:tcBorders>
            <w:shd w:val="clear" w:color="auto" w:fill="E6E6E6"/>
          </w:tcPr>
          <w:p>
            <w:pPr>
              <w:jc w:val="center"/>
              <w:spacing w:after="0"/>
              <w:rPr>
                <w:sz w:val="20"/>
                <w:szCs w:val="20"/>
                <w:color w:val="auto"/>
              </w:rPr>
            </w:pPr>
            <w:r>
              <w:rPr>
                <w:rFonts w:ascii="Arial" w:cs="Arial" w:eastAsia="Arial" w:hAnsi="Arial"/>
                <w:sz w:val="18"/>
                <w:szCs w:val="18"/>
                <w:color w:val="auto"/>
                <w:w w:val="91"/>
              </w:rPr>
              <w:t>Age 73</w:t>
            </w:r>
          </w:p>
        </w:tc>
        <w:tc>
          <w:tcPr>
            <w:tcW w:w="7060" w:type="dxa"/>
            <w:vAlign w:val="bottom"/>
            <w:vMerge w:val="restart"/>
            <w:shd w:val="clear" w:color="auto" w:fill="E6E6E6"/>
          </w:tcPr>
          <w:p>
            <w:pPr>
              <w:spacing w:after="0"/>
              <w:rPr>
                <w:sz w:val="20"/>
                <w:szCs w:val="20"/>
                <w:color w:val="auto"/>
              </w:rPr>
            </w:pPr>
            <w:r>
              <w:rPr>
                <w:rFonts w:ascii="Arial" w:cs="Arial" w:eastAsia="Arial" w:hAnsi="Arial"/>
                <w:sz w:val="18"/>
                <w:szCs w:val="18"/>
                <w:color w:val="2D53A6"/>
              </w:rPr>
              <w:t>Experience Qualifications and Attributes</w:t>
            </w:r>
          </w:p>
        </w:tc>
        <w:tc>
          <w:tcPr>
            <w:tcW w:w="0" w:type="dxa"/>
            <w:vAlign w:val="bottom"/>
          </w:tcPr>
          <w:p>
            <w:pPr>
              <w:spacing w:after="0"/>
              <w:rPr>
                <w:sz w:val="1"/>
                <w:szCs w:val="1"/>
                <w:color w:val="auto"/>
              </w:rPr>
            </w:pPr>
          </w:p>
        </w:tc>
      </w:tr>
      <w:tr>
        <w:trPr>
          <w:trHeight w:val="188"/>
        </w:trPr>
        <w:tc>
          <w:tcPr>
            <w:tcW w:w="4180" w:type="dxa"/>
            <w:vAlign w:val="bottom"/>
            <w:tcBorders>
              <w:right w:val="single" w:sz="8" w:color="auto"/>
            </w:tcBorders>
            <w:shd w:val="clear" w:color="auto" w:fill="E6E6E6"/>
          </w:tcPr>
          <w:p>
            <w:pPr>
              <w:spacing w:after="0"/>
              <w:rPr>
                <w:sz w:val="16"/>
                <w:szCs w:val="16"/>
                <w:color w:val="auto"/>
              </w:rPr>
            </w:pPr>
          </w:p>
        </w:tc>
        <w:tc>
          <w:tcPr>
            <w:tcW w:w="7060" w:type="dxa"/>
            <w:vAlign w:val="bottom"/>
            <w:vMerge w:val="continue"/>
            <w:shd w:val="clear" w:color="auto" w:fill="E6E6E6"/>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180" w:type="dxa"/>
            <w:vAlign w:val="bottom"/>
            <w:tcBorders>
              <w:right w:val="single" w:sz="8" w:color="auto"/>
            </w:tcBorders>
            <w:shd w:val="clear" w:color="auto" w:fill="E6E6E6"/>
          </w:tcPr>
          <w:p>
            <w:pPr>
              <w:spacing w:after="0"/>
              <w:rPr>
                <w:sz w:val="18"/>
                <w:szCs w:val="18"/>
                <w:color w:val="auto"/>
              </w:rPr>
            </w:pPr>
          </w:p>
        </w:tc>
        <w:tc>
          <w:tcPr>
            <w:tcW w:w="7060" w:type="dxa"/>
            <w:vAlign w:val="bottom"/>
            <w:shd w:val="clear" w:color="auto" w:fill="E6E6E6"/>
          </w:tcPr>
          <w:p>
            <w:pPr>
              <w:spacing w:after="0"/>
              <w:rPr>
                <w:sz w:val="20"/>
                <w:szCs w:val="20"/>
                <w:color w:val="auto"/>
              </w:rPr>
            </w:pPr>
            <w:r>
              <w:rPr>
                <w:rFonts w:ascii="Arial" w:cs="Arial" w:eastAsia="Arial" w:hAnsi="Arial"/>
                <w:sz w:val="18"/>
                <w:szCs w:val="18"/>
                <w:color w:val="auto"/>
                <w:w w:val="96"/>
              </w:rPr>
              <w:t>We believe Mr. Donahue’s qualifications to sit on our Board include his extensive board and</w:t>
            </w:r>
          </w:p>
        </w:tc>
        <w:tc>
          <w:tcPr>
            <w:tcW w:w="0" w:type="dxa"/>
            <w:vAlign w:val="bottom"/>
          </w:tcPr>
          <w:p>
            <w:pPr>
              <w:spacing w:after="0"/>
              <w:rPr>
                <w:sz w:val="1"/>
                <w:szCs w:val="1"/>
                <w:color w:val="auto"/>
              </w:rPr>
            </w:pPr>
          </w:p>
        </w:tc>
      </w:tr>
      <w:tr>
        <w:trPr>
          <w:trHeight w:val="216"/>
        </w:trPr>
        <w:tc>
          <w:tcPr>
            <w:tcW w:w="4180" w:type="dxa"/>
            <w:vAlign w:val="bottom"/>
            <w:tcBorders>
              <w:right w:val="single" w:sz="8" w:color="auto"/>
            </w:tcBorders>
            <w:shd w:val="clear" w:color="auto" w:fill="E6E6E6"/>
          </w:tcPr>
          <w:p>
            <w:pPr>
              <w:spacing w:after="0"/>
              <w:rPr>
                <w:sz w:val="18"/>
                <w:szCs w:val="18"/>
                <w:color w:val="auto"/>
              </w:rPr>
            </w:pPr>
          </w:p>
        </w:tc>
        <w:tc>
          <w:tcPr>
            <w:tcW w:w="7060" w:type="dxa"/>
            <w:vAlign w:val="bottom"/>
            <w:shd w:val="clear" w:color="auto" w:fill="E6E6E6"/>
          </w:tcPr>
          <w:p>
            <w:pPr>
              <w:spacing w:after="0"/>
              <w:rPr>
                <w:sz w:val="20"/>
                <w:szCs w:val="20"/>
                <w:color w:val="auto"/>
              </w:rPr>
            </w:pPr>
            <w:r>
              <w:rPr>
                <w:rFonts w:ascii="Arial" w:cs="Arial" w:eastAsia="Arial" w:hAnsi="Arial"/>
                <w:sz w:val="18"/>
                <w:szCs w:val="18"/>
                <w:color w:val="auto"/>
                <w:w w:val="98"/>
              </w:rPr>
              <w:t>executive, including CEO, experience in the semiconductor equipment industry and broad</w:t>
            </w:r>
          </w:p>
        </w:tc>
        <w:tc>
          <w:tcPr>
            <w:tcW w:w="0" w:type="dxa"/>
            <w:vAlign w:val="bottom"/>
          </w:tcPr>
          <w:p>
            <w:pPr>
              <w:spacing w:after="0"/>
              <w:rPr>
                <w:sz w:val="1"/>
                <w:szCs w:val="1"/>
                <w:color w:val="auto"/>
              </w:rPr>
            </w:pPr>
          </w:p>
        </w:tc>
      </w:tr>
      <w:tr>
        <w:trPr>
          <w:trHeight w:val="230"/>
        </w:trPr>
        <w:tc>
          <w:tcPr>
            <w:tcW w:w="4180" w:type="dxa"/>
            <w:vAlign w:val="bottom"/>
            <w:tcBorders>
              <w:bottom w:val="single" w:sz="8" w:color="auto"/>
              <w:right w:val="single" w:sz="8" w:color="auto"/>
            </w:tcBorders>
            <w:shd w:val="clear" w:color="auto" w:fill="E6E6E6"/>
          </w:tcPr>
          <w:p>
            <w:pPr>
              <w:spacing w:after="0"/>
              <w:rPr>
                <w:sz w:val="20"/>
                <w:szCs w:val="20"/>
                <w:color w:val="auto"/>
              </w:rPr>
            </w:pPr>
          </w:p>
        </w:tc>
        <w:tc>
          <w:tcPr>
            <w:tcW w:w="7060" w:type="dxa"/>
            <w:vAlign w:val="bottom"/>
            <w:tcBorders>
              <w:bottom w:val="single" w:sz="8" w:color="auto"/>
            </w:tcBorders>
            <w:shd w:val="clear" w:color="auto" w:fill="E6E6E6"/>
          </w:tcPr>
          <w:p>
            <w:pPr>
              <w:spacing w:after="0"/>
              <w:rPr>
                <w:sz w:val="20"/>
                <w:szCs w:val="20"/>
                <w:color w:val="auto"/>
              </w:rPr>
            </w:pPr>
            <w:r>
              <w:rPr>
                <w:rFonts w:ascii="Arial" w:cs="Arial" w:eastAsia="Arial" w:hAnsi="Arial"/>
                <w:sz w:val="18"/>
                <w:szCs w:val="18"/>
                <w:color w:val="auto"/>
                <w:w w:val="99"/>
              </w:rPr>
              <w:t>knowledge of business development and strategy, corporate governance and operations.</w:t>
            </w:r>
          </w:p>
        </w:tc>
        <w:tc>
          <w:tcPr>
            <w:tcW w:w="0" w:type="dxa"/>
            <w:vAlign w:val="bottom"/>
          </w:tcPr>
          <w:p>
            <w:pPr>
              <w:spacing w:after="0"/>
              <w:rPr>
                <w:sz w:val="1"/>
                <w:szCs w:val="1"/>
                <w:color w:val="auto"/>
              </w:rPr>
            </w:pPr>
          </w:p>
        </w:tc>
      </w:tr>
      <w:tr>
        <w:trPr>
          <w:trHeight w:val="426"/>
        </w:trPr>
        <w:tc>
          <w:tcPr>
            <w:tcW w:w="11240" w:type="dxa"/>
            <w:vAlign w:val="bottom"/>
            <w:gridSpan w:val="2"/>
          </w:tcPr>
          <w:p>
            <w:pPr>
              <w:spacing w:after="0"/>
              <w:rPr>
                <w:sz w:val="20"/>
                <w:szCs w:val="20"/>
                <w:color w:val="auto"/>
              </w:rPr>
            </w:pPr>
            <w:r>
              <w:rPr>
                <w:rFonts w:ascii="Arial" w:cs="Arial" w:eastAsia="Arial" w:hAnsi="Arial"/>
                <w:sz w:val="18"/>
                <w:szCs w:val="18"/>
                <w:color w:val="auto"/>
              </w:rPr>
              <w:t>Information Concerning Other Continuing Directors Not Standing for Election in 2022</w:t>
            </w:r>
          </w:p>
        </w:tc>
        <w:tc>
          <w:tcPr>
            <w:tcW w:w="0" w:type="dxa"/>
            <w:vAlign w:val="bottom"/>
          </w:tcPr>
          <w:p>
            <w:pPr>
              <w:spacing w:after="0"/>
              <w:rPr>
                <w:sz w:val="1"/>
                <w:szCs w:val="1"/>
                <w:color w:val="auto"/>
              </w:rPr>
            </w:pPr>
          </w:p>
        </w:tc>
      </w:tr>
      <w:tr>
        <w:trPr>
          <w:trHeight w:val="432"/>
        </w:trPr>
        <w:tc>
          <w:tcPr>
            <w:tcW w:w="4180" w:type="dxa"/>
            <w:vAlign w:val="bottom"/>
          </w:tcPr>
          <w:p>
            <w:pPr>
              <w:spacing w:after="0"/>
              <w:rPr>
                <w:sz w:val="20"/>
                <w:szCs w:val="20"/>
                <w:color w:val="auto"/>
              </w:rPr>
            </w:pPr>
            <w:r>
              <w:rPr>
                <w:rFonts w:ascii="Arial" w:cs="Arial" w:eastAsia="Arial" w:hAnsi="Arial"/>
                <w:sz w:val="18"/>
                <w:szCs w:val="18"/>
                <w:color w:val="2D53A6"/>
              </w:rPr>
              <w:t>Directors Whose Term Expires in 2023 - Class 1</w:t>
            </w:r>
          </w:p>
        </w:tc>
        <w:tc>
          <w:tcPr>
            <w:tcW w:w="7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240"/>
          </w:cols>
          <w:pgMar w:left="320" w:top="579" w:right="339" w:bottom="1440" w:gutter="0" w:footer="0" w:header="0"/>
        </w:sectPr>
      </w:pPr>
      <w:r>
        <w:rPr>
          <w:sz w:val="20"/>
          <w:szCs w:val="20"/>
          <w:color w:val="auto"/>
        </w:rPr>
        <w:drawing>
          <wp:anchor simplePos="0" relativeHeight="251657728" behindDoc="1" locked="0" layoutInCell="0" allowOverlap="1">
            <wp:simplePos x="0" y="0"/>
            <wp:positionH relativeFrom="page">
              <wp:posOffset>2848610</wp:posOffset>
            </wp:positionH>
            <wp:positionV relativeFrom="page">
              <wp:posOffset>380365</wp:posOffset>
            </wp:positionV>
            <wp:extent cx="4491990" cy="180022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491990" cy="180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left="720"/>
        <w:spacing w:after="0"/>
        <w:rPr>
          <w:sz w:val="20"/>
          <w:szCs w:val="20"/>
          <w:color w:val="auto"/>
        </w:rPr>
      </w:pPr>
      <w:r>
        <w:rPr>
          <w:rFonts w:ascii="Arial" w:cs="Arial" w:eastAsia="Arial" w:hAnsi="Arial"/>
          <w:sz w:val="22"/>
          <w:szCs w:val="22"/>
          <w:b w:val="1"/>
          <w:bCs w:val="1"/>
          <w:color w:val="2D53A6"/>
        </w:rPr>
        <w:t>William E. Bendush</w:t>
      </w:r>
    </w:p>
    <w:p>
      <w:pPr>
        <w:spacing w:after="0" w:line="19" w:lineRule="exact"/>
        <w:rPr>
          <w:sz w:val="20"/>
          <w:szCs w:val="20"/>
          <w:color w:val="auto"/>
        </w:rPr>
      </w:pPr>
    </w:p>
    <w:p>
      <w:pPr>
        <w:jc w:val="center"/>
        <w:ind w:left="720"/>
        <w:spacing w:after="0"/>
        <w:rPr>
          <w:sz w:val="20"/>
          <w:szCs w:val="20"/>
          <w:color w:val="auto"/>
        </w:rPr>
      </w:pPr>
      <w:r>
        <w:rPr>
          <w:rFonts w:ascii="Arial" w:cs="Arial" w:eastAsia="Arial" w:hAnsi="Arial"/>
          <w:sz w:val="18"/>
          <w:szCs w:val="18"/>
          <w:color w:val="auto"/>
        </w:rPr>
        <w:t>Director since 2011</w:t>
      </w:r>
    </w:p>
    <w:p>
      <w:pPr>
        <w:spacing w:after="0" w:line="7" w:lineRule="exact"/>
        <w:rPr>
          <w:sz w:val="20"/>
          <w:szCs w:val="20"/>
          <w:color w:val="auto"/>
        </w:rPr>
      </w:pPr>
    </w:p>
    <w:p>
      <w:pPr>
        <w:jc w:val="center"/>
        <w:ind w:left="720"/>
        <w:spacing w:after="0"/>
        <w:rPr>
          <w:sz w:val="20"/>
          <w:szCs w:val="20"/>
          <w:color w:val="auto"/>
        </w:rPr>
      </w:pPr>
      <w:r>
        <w:rPr>
          <w:rFonts w:ascii="Arial" w:cs="Arial" w:eastAsia="Arial" w:hAnsi="Arial"/>
          <w:sz w:val="18"/>
          <w:szCs w:val="18"/>
          <w:color w:val="auto"/>
        </w:rPr>
        <w:t>Age 73</w:t>
      </w:r>
    </w:p>
    <w:p>
      <w:pPr>
        <w:spacing w:after="0" w:line="207" w:lineRule="exact"/>
        <w:rPr>
          <w:sz w:val="20"/>
          <w:szCs w:val="20"/>
          <w:color w:val="auto"/>
        </w:rPr>
      </w:pPr>
    </w:p>
    <w:p>
      <w:pPr>
        <w:jc w:val="center"/>
        <w:ind w:left="720"/>
        <w:spacing w:after="0"/>
        <w:rPr>
          <w:sz w:val="20"/>
          <w:szCs w:val="20"/>
          <w:color w:val="auto"/>
        </w:rPr>
      </w:pPr>
      <w:r>
        <w:rPr>
          <w:rFonts w:ascii="Arial" w:cs="Arial" w:eastAsia="Arial" w:hAnsi="Arial"/>
          <w:sz w:val="18"/>
          <w:szCs w:val="18"/>
          <w:b w:val="1"/>
          <w:bCs w:val="1"/>
          <w:color w:val="2D53A6"/>
        </w:rPr>
        <w:t>Board Committees:</w:t>
      </w:r>
    </w:p>
    <w:p>
      <w:pPr>
        <w:spacing w:after="0" w:line="27" w:lineRule="exact"/>
        <w:rPr>
          <w:sz w:val="20"/>
          <w:szCs w:val="20"/>
          <w:color w:val="auto"/>
        </w:rPr>
      </w:pPr>
    </w:p>
    <w:p>
      <w:pPr>
        <w:jc w:val="center"/>
        <w:ind w:left="720"/>
        <w:spacing w:after="0"/>
        <w:rPr>
          <w:sz w:val="20"/>
          <w:szCs w:val="20"/>
          <w:color w:val="auto"/>
        </w:rPr>
      </w:pPr>
      <w:r>
        <w:rPr>
          <w:rFonts w:ascii="Arial" w:cs="Arial" w:eastAsia="Arial" w:hAnsi="Arial"/>
          <w:sz w:val="18"/>
          <w:szCs w:val="18"/>
          <w:color w:val="auto"/>
        </w:rPr>
        <w:t>Audit Committee (Chair)</w:t>
      </w:r>
    </w:p>
    <w:p>
      <w:pPr>
        <w:spacing w:after="0" w:line="9" w:lineRule="exact"/>
        <w:rPr>
          <w:sz w:val="20"/>
          <w:szCs w:val="20"/>
          <w:color w:val="auto"/>
        </w:rPr>
      </w:pPr>
    </w:p>
    <w:p>
      <w:pPr>
        <w:jc w:val="center"/>
        <w:ind w:left="720"/>
        <w:spacing w:after="0"/>
        <w:rPr>
          <w:sz w:val="20"/>
          <w:szCs w:val="20"/>
          <w:color w:val="auto"/>
        </w:rPr>
      </w:pPr>
      <w:r>
        <w:rPr>
          <w:rFonts w:ascii="Arial" w:cs="Arial" w:eastAsia="Arial" w:hAnsi="Arial"/>
          <w:sz w:val="16"/>
          <w:szCs w:val="16"/>
          <w:color w:val="auto"/>
        </w:rPr>
        <w:t>Nominating and Governance</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2D53A6"/>
        </w:rPr>
        <w:t>Business Experience and Other Directorships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-2635885</wp:posOffset>
            </wp:positionH>
            <wp:positionV relativeFrom="paragraph">
              <wp:posOffset>-130175</wp:posOffset>
            </wp:positionV>
            <wp:extent cx="7132320" cy="15259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525905"/>
                    </a:xfrm>
                    <a:prstGeom prst="rect">
                      <a:avLst/>
                    </a:prstGeom>
                    <a:noFill/>
                  </pic:spPr>
                </pic:pic>
              </a:graphicData>
            </a:graphic>
          </wp:anchor>
        </w:drawing>
      </w:r>
    </w:p>
    <w:p>
      <w:pPr>
        <w:spacing w:after="0" w:line="3"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Mr. Bendush is the retired Senior Vice President and Chief Financial Officer of Applied Micro Circuits Corporation (“AMCC”), a communications semiconductor company where he served from 1999 to 2003. Mr. Bendush was a director of Microsemi Corp. from 2003 until the company was acquired in 2018, and previously was a director of Conexant Systems, Inc.</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2D53A6"/>
        </w:rPr>
        <w:t>Experience Qualifications and Attributes</w:t>
      </w:r>
    </w:p>
    <w:p>
      <w:pPr>
        <w:spacing w:after="0" w:line="23" w:lineRule="exact"/>
        <w:rPr>
          <w:sz w:val="20"/>
          <w:szCs w:val="20"/>
          <w:color w:val="auto"/>
        </w:rPr>
      </w:pPr>
    </w:p>
    <w:p>
      <w:pPr>
        <w:ind w:right="120"/>
        <w:spacing w:after="0" w:line="295" w:lineRule="auto"/>
        <w:rPr>
          <w:sz w:val="20"/>
          <w:szCs w:val="20"/>
          <w:color w:val="auto"/>
        </w:rPr>
      </w:pPr>
      <w:r>
        <w:rPr>
          <w:rFonts w:ascii="Arial" w:cs="Arial" w:eastAsia="Arial" w:hAnsi="Arial"/>
          <w:sz w:val="16"/>
          <w:szCs w:val="16"/>
          <w:color w:val="auto"/>
        </w:rPr>
        <w:t>We believe Mr. Bendush’s qualifications to sit on our Board include his extensive board and executive experience in the semiconductor industry and his experience with financial accounting matters for complex global organizations as well as his knowledge of business strategy. Mr. Bendush qualifies as an “audit committee financial expert” under SEC guidelines.</w:t>
      </w:r>
    </w:p>
    <w:p>
      <w:pPr>
        <w:spacing w:after="0" w:line="188" w:lineRule="exact"/>
        <w:rPr>
          <w:sz w:val="20"/>
          <w:szCs w:val="20"/>
          <w:color w:val="auto"/>
        </w:rPr>
      </w:pPr>
    </w:p>
    <w:p>
      <w:pPr>
        <w:sectPr>
          <w:pgSz w:w="11900" w:h="16838" w:orient="portrait"/>
          <w:cols w:equalWidth="0" w:num="2">
            <w:col w:w="3440" w:space="720"/>
            <w:col w:w="7080"/>
          </w:cols>
          <w:pgMar w:left="320" w:top="57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left="380"/>
        <w:spacing w:after="0"/>
        <w:rPr>
          <w:sz w:val="20"/>
          <w:szCs w:val="20"/>
          <w:color w:val="auto"/>
        </w:rPr>
      </w:pPr>
      <w:r>
        <w:rPr>
          <w:rFonts w:ascii="Arial" w:cs="Arial" w:eastAsia="Arial" w:hAnsi="Arial"/>
          <w:sz w:val="22"/>
          <w:szCs w:val="22"/>
          <w:b w:val="1"/>
          <w:bCs w:val="1"/>
          <w:color w:val="2D53A6"/>
        </w:rPr>
        <w:t>Nina L. Richardson</w:t>
      </w:r>
    </w:p>
    <w:p>
      <w:pPr>
        <w:spacing w:after="0" w:line="19"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Director since 2019</w:t>
      </w:r>
    </w:p>
    <w:p>
      <w:pPr>
        <w:spacing w:after="0" w:line="7"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Age 63</w:t>
      </w:r>
    </w:p>
    <w:p>
      <w:pPr>
        <w:spacing w:after="0" w:line="207" w:lineRule="exact"/>
        <w:rPr>
          <w:sz w:val="20"/>
          <w:szCs w:val="20"/>
          <w:color w:val="auto"/>
        </w:rPr>
      </w:pPr>
    </w:p>
    <w:p>
      <w:pPr>
        <w:jc w:val="center"/>
        <w:ind w:left="380"/>
        <w:spacing w:after="0"/>
        <w:rPr>
          <w:sz w:val="20"/>
          <w:szCs w:val="20"/>
          <w:color w:val="auto"/>
        </w:rPr>
      </w:pPr>
      <w:r>
        <w:rPr>
          <w:rFonts w:ascii="Arial" w:cs="Arial" w:eastAsia="Arial" w:hAnsi="Arial"/>
          <w:sz w:val="18"/>
          <w:szCs w:val="18"/>
          <w:b w:val="1"/>
          <w:bCs w:val="1"/>
          <w:color w:val="2D53A6"/>
        </w:rPr>
        <w:t>Board Committees:</w:t>
      </w:r>
    </w:p>
    <w:p>
      <w:pPr>
        <w:spacing w:after="0" w:line="27"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Compensation Committee</w:t>
      </w:r>
    </w:p>
    <w:p>
      <w:pPr>
        <w:spacing w:after="0" w:line="207" w:lineRule="exact"/>
        <w:rPr>
          <w:sz w:val="20"/>
          <w:szCs w:val="20"/>
          <w:color w:val="auto"/>
        </w:rPr>
      </w:pPr>
    </w:p>
    <w:p>
      <w:pPr>
        <w:jc w:val="center"/>
        <w:ind w:left="380"/>
        <w:spacing w:after="0"/>
        <w:rPr>
          <w:sz w:val="20"/>
          <w:szCs w:val="20"/>
          <w:color w:val="auto"/>
        </w:rPr>
      </w:pPr>
      <w:r>
        <w:rPr>
          <w:rFonts w:ascii="Arial" w:cs="Arial" w:eastAsia="Arial" w:hAnsi="Arial"/>
          <w:sz w:val="18"/>
          <w:szCs w:val="18"/>
          <w:b w:val="1"/>
          <w:bCs w:val="1"/>
          <w:color w:val="2D53A6"/>
        </w:rPr>
        <w:t>Other Current Public</w:t>
      </w:r>
    </w:p>
    <w:p>
      <w:pPr>
        <w:spacing w:after="0" w:line="27" w:lineRule="exact"/>
        <w:rPr>
          <w:sz w:val="20"/>
          <w:szCs w:val="20"/>
          <w:color w:val="auto"/>
        </w:rPr>
      </w:pPr>
    </w:p>
    <w:p>
      <w:pPr>
        <w:jc w:val="center"/>
        <w:ind w:left="380"/>
        <w:spacing w:after="0"/>
        <w:rPr>
          <w:sz w:val="20"/>
          <w:szCs w:val="20"/>
          <w:color w:val="auto"/>
        </w:rPr>
      </w:pPr>
      <w:r>
        <w:rPr>
          <w:rFonts w:ascii="Arial" w:cs="Arial" w:eastAsia="Arial" w:hAnsi="Arial"/>
          <w:sz w:val="18"/>
          <w:szCs w:val="18"/>
          <w:b w:val="1"/>
          <w:bCs w:val="1"/>
          <w:color w:val="2D53A6"/>
        </w:rPr>
        <w:t>Company Boards:</w:t>
      </w:r>
    </w:p>
    <w:p>
      <w:pPr>
        <w:spacing w:after="0" w:line="9" w:lineRule="exact"/>
        <w:rPr>
          <w:sz w:val="20"/>
          <w:szCs w:val="20"/>
          <w:color w:val="auto"/>
        </w:rPr>
      </w:pPr>
    </w:p>
    <w:p>
      <w:pPr>
        <w:jc w:val="center"/>
        <w:ind w:left="380"/>
        <w:spacing w:after="0" w:line="260" w:lineRule="auto"/>
        <w:rPr>
          <w:sz w:val="20"/>
          <w:szCs w:val="20"/>
          <w:color w:val="auto"/>
        </w:rPr>
      </w:pPr>
      <w:r>
        <w:rPr>
          <w:rFonts w:ascii="Arial" w:cs="Arial" w:eastAsia="Arial" w:hAnsi="Arial"/>
          <w:sz w:val="18"/>
          <w:szCs w:val="18"/>
          <w:color w:val="auto"/>
        </w:rPr>
        <w:t>Eargo, Inc., Resideo Technologies Inc., Silicon Laboratories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2D53A6"/>
        </w:rPr>
        <w:t>Business Experience and Other Directorships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-2635885</wp:posOffset>
            </wp:positionH>
            <wp:positionV relativeFrom="paragraph">
              <wp:posOffset>-130175</wp:posOffset>
            </wp:positionV>
            <wp:extent cx="7132320" cy="234886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2348865"/>
                    </a:xfrm>
                    <a:prstGeom prst="rect">
                      <a:avLst/>
                    </a:prstGeom>
                    <a:noFill/>
                  </pic:spPr>
                </pic:pic>
              </a:graphicData>
            </a:graphic>
          </wp:anchor>
        </w:drawing>
      </w:r>
    </w:p>
    <w:p>
      <w:pPr>
        <w:spacing w:after="0" w:line="3"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Ms. Richardson served as chief operating officer of GoPro, Inc. from February 2013 to February 2015. Prior to that, she held several executive positions of increasing responsibility at Flex Ltd., a global electronics and manufacturing service provider. Currently, she serves as managing director of Three Rivers Energy, Inc., a company she co-founded in 2004, and she has been an independent consultant since March 2015. Ms. Richardson also currently serves as a director of Silicon Laboratories Inc., a position she has held since January 2016; as a director of Resideo Technologies, Inc., a position she has held since October 2018; and as a director of Eargo, Inc., a position she has held since September 2020. She previously served as a director at Zayo Group Holdings, Inc. (2015 to 2018), Callidus Software, Inc. (2017 to 2018) and Silicon Graphics International Corp. (“SGI”) (2016).</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2D53A6"/>
        </w:rPr>
        <w:t>Experience Qualifications and Attributes</w:t>
      </w:r>
    </w:p>
    <w:p>
      <w:pPr>
        <w:spacing w:after="0" w:line="23" w:lineRule="exact"/>
        <w:rPr>
          <w:sz w:val="20"/>
          <w:szCs w:val="20"/>
          <w:color w:val="auto"/>
        </w:rPr>
      </w:pPr>
    </w:p>
    <w:p>
      <w:pPr>
        <w:jc w:val="both"/>
        <w:ind w:right="140"/>
        <w:spacing w:after="0" w:line="253" w:lineRule="auto"/>
        <w:rPr>
          <w:sz w:val="20"/>
          <w:szCs w:val="20"/>
          <w:color w:val="auto"/>
        </w:rPr>
      </w:pPr>
      <w:r>
        <w:rPr>
          <w:rFonts w:ascii="Arial" w:cs="Arial" w:eastAsia="Arial" w:hAnsi="Arial"/>
          <w:sz w:val="18"/>
          <w:szCs w:val="18"/>
          <w:color w:val="auto"/>
        </w:rPr>
        <w:t>We believe Ms. Richardson’s qualifications to sit on our Board include her extensive board and executive experience in engineering, manufacturing, sales, supply chain management and global operations. She has held executive positions in a variety of industry sectors including consumer electronics, technology, and manufacturing.</w:t>
      </w:r>
    </w:p>
    <w:p>
      <w:pPr>
        <w:spacing w:after="0" w:line="200" w:lineRule="exact"/>
        <w:rPr>
          <w:sz w:val="20"/>
          <w:szCs w:val="20"/>
          <w:color w:val="auto"/>
        </w:rPr>
      </w:pPr>
    </w:p>
    <w:p>
      <w:pPr>
        <w:sectPr>
          <w:pgSz w:w="11900" w:h="16838" w:orient="portrait"/>
          <w:cols w:equalWidth="0" w:num="2">
            <w:col w:w="3780" w:space="380"/>
            <w:col w:w="7080"/>
          </w:cols>
          <w:pgMar w:left="320" w:top="579" w:right="339" w:bottom="1440" w:gutter="0" w:footer="0" w:header="0"/>
          <w:type w:val="continuous"/>
        </w:sectPr>
      </w:pP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type w:val="continuous"/>
        </w:sectPr>
      </w:pPr>
    </w:p>
    <w:bookmarkStart w:id="59" w:name="page60"/>
    <w:bookmarkEnd w:id="59"/>
    <w:p>
      <w:pPr>
        <w:spacing w:after="0"/>
        <w:rPr>
          <w:sz w:val="20"/>
          <w:szCs w:val="20"/>
          <w:color w:val="auto"/>
        </w:rPr>
      </w:pPr>
      <w:r>
        <w:rPr>
          <w:rFonts w:ascii="Arial" w:cs="Arial" w:eastAsia="Arial" w:hAnsi="Arial"/>
          <w:sz w:val="16"/>
          <w:szCs w:val="16"/>
          <w:color w:val="2D53A6"/>
        </w:rPr>
        <w:t>Directors Whose Term Expires in 2024 - Class 2</w:t>
      </w:r>
    </w:p>
    <w:p>
      <w:pPr>
        <w:sectPr>
          <w:pgSz w:w="11900" w:h="16838" w:orient="portrait"/>
          <w:cols w:equalWidth="0" w:num="1">
            <w:col w:w="11220"/>
          </w:cols>
          <w:pgMar w:left="320" w:top="58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left="720"/>
        <w:spacing w:after="0"/>
        <w:rPr>
          <w:sz w:val="20"/>
          <w:szCs w:val="20"/>
          <w:color w:val="auto"/>
        </w:rPr>
      </w:pPr>
      <w:r>
        <w:rPr>
          <w:rFonts w:ascii="Arial" w:cs="Arial" w:eastAsia="Arial" w:hAnsi="Arial"/>
          <w:sz w:val="22"/>
          <w:szCs w:val="22"/>
          <w:b w:val="1"/>
          <w:bCs w:val="1"/>
          <w:color w:val="2D53A6"/>
        </w:rPr>
        <w:t>Andrew M. Caggia</w:t>
      </w:r>
    </w:p>
    <w:p>
      <w:pPr>
        <w:spacing w:after="0" w:line="19" w:lineRule="exact"/>
        <w:rPr>
          <w:sz w:val="20"/>
          <w:szCs w:val="20"/>
          <w:color w:val="auto"/>
        </w:rPr>
      </w:pPr>
    </w:p>
    <w:p>
      <w:pPr>
        <w:jc w:val="center"/>
        <w:ind w:left="720"/>
        <w:spacing w:after="0"/>
        <w:rPr>
          <w:sz w:val="20"/>
          <w:szCs w:val="20"/>
          <w:color w:val="auto"/>
        </w:rPr>
      </w:pPr>
      <w:r>
        <w:rPr>
          <w:rFonts w:ascii="Arial" w:cs="Arial" w:eastAsia="Arial" w:hAnsi="Arial"/>
          <w:sz w:val="18"/>
          <w:szCs w:val="18"/>
          <w:color w:val="auto"/>
        </w:rPr>
        <w:t>Director since 2014</w:t>
      </w:r>
    </w:p>
    <w:p>
      <w:pPr>
        <w:spacing w:after="0" w:line="7" w:lineRule="exact"/>
        <w:rPr>
          <w:sz w:val="20"/>
          <w:szCs w:val="20"/>
          <w:color w:val="auto"/>
        </w:rPr>
      </w:pPr>
    </w:p>
    <w:p>
      <w:pPr>
        <w:jc w:val="center"/>
        <w:ind w:left="720"/>
        <w:spacing w:after="0"/>
        <w:rPr>
          <w:sz w:val="20"/>
          <w:szCs w:val="20"/>
          <w:color w:val="auto"/>
        </w:rPr>
      </w:pPr>
      <w:r>
        <w:rPr>
          <w:rFonts w:ascii="Arial" w:cs="Arial" w:eastAsia="Arial" w:hAnsi="Arial"/>
          <w:sz w:val="18"/>
          <w:szCs w:val="18"/>
          <w:color w:val="auto"/>
        </w:rPr>
        <w:t>Age 73</w:t>
      </w:r>
    </w:p>
    <w:p>
      <w:pPr>
        <w:spacing w:after="0" w:line="207" w:lineRule="exact"/>
        <w:rPr>
          <w:sz w:val="20"/>
          <w:szCs w:val="20"/>
          <w:color w:val="auto"/>
        </w:rPr>
      </w:pPr>
    </w:p>
    <w:p>
      <w:pPr>
        <w:jc w:val="center"/>
        <w:ind w:left="720"/>
        <w:spacing w:after="0"/>
        <w:rPr>
          <w:sz w:val="20"/>
          <w:szCs w:val="20"/>
          <w:color w:val="auto"/>
        </w:rPr>
      </w:pPr>
      <w:r>
        <w:rPr>
          <w:rFonts w:ascii="Arial" w:cs="Arial" w:eastAsia="Arial" w:hAnsi="Arial"/>
          <w:sz w:val="18"/>
          <w:szCs w:val="18"/>
          <w:b w:val="1"/>
          <w:bCs w:val="1"/>
          <w:color w:val="2D53A6"/>
        </w:rPr>
        <w:t>Board Committees:</w:t>
      </w:r>
    </w:p>
    <w:p>
      <w:pPr>
        <w:spacing w:after="0" w:line="27" w:lineRule="exact"/>
        <w:rPr>
          <w:sz w:val="20"/>
          <w:szCs w:val="20"/>
          <w:color w:val="auto"/>
        </w:rPr>
      </w:pPr>
    </w:p>
    <w:p>
      <w:pPr>
        <w:jc w:val="center"/>
        <w:ind w:left="720"/>
        <w:spacing w:after="0"/>
        <w:rPr>
          <w:sz w:val="20"/>
          <w:szCs w:val="20"/>
          <w:color w:val="auto"/>
        </w:rPr>
      </w:pPr>
      <w:r>
        <w:rPr>
          <w:rFonts w:ascii="Arial" w:cs="Arial" w:eastAsia="Arial" w:hAnsi="Arial"/>
          <w:sz w:val="18"/>
          <w:szCs w:val="18"/>
          <w:color w:val="auto"/>
        </w:rPr>
        <w:t>Audit Committee</w:t>
      </w:r>
    </w:p>
    <w:p>
      <w:pPr>
        <w:spacing w:after="0" w:line="9" w:lineRule="exact"/>
        <w:rPr>
          <w:sz w:val="20"/>
          <w:szCs w:val="20"/>
          <w:color w:val="auto"/>
        </w:rPr>
      </w:pPr>
    </w:p>
    <w:p>
      <w:pPr>
        <w:jc w:val="center"/>
        <w:ind w:left="720"/>
        <w:spacing w:after="0"/>
        <w:rPr>
          <w:sz w:val="20"/>
          <w:szCs w:val="20"/>
          <w:color w:val="auto"/>
        </w:rPr>
      </w:pPr>
      <w:r>
        <w:rPr>
          <w:rFonts w:ascii="Arial" w:cs="Arial" w:eastAsia="Arial" w:hAnsi="Arial"/>
          <w:sz w:val="16"/>
          <w:szCs w:val="16"/>
          <w:color w:val="auto"/>
        </w:rPr>
        <w:t>Nominating and Governance</w:t>
      </w:r>
    </w:p>
    <w:p>
      <w:pPr>
        <w:spacing w:after="0" w:line="32" w:lineRule="exact"/>
        <w:rPr>
          <w:sz w:val="20"/>
          <w:szCs w:val="20"/>
          <w:color w:val="auto"/>
        </w:rPr>
      </w:pPr>
    </w:p>
    <w:p>
      <w:pPr>
        <w:jc w:val="center"/>
        <w:ind w:left="720"/>
        <w:spacing w:after="0"/>
        <w:rPr>
          <w:sz w:val="20"/>
          <w:szCs w:val="20"/>
          <w:color w:val="auto"/>
        </w:rPr>
      </w:pPr>
      <w:r>
        <w:rPr>
          <w:rFonts w:ascii="Arial" w:cs="Arial" w:eastAsia="Arial" w:hAnsi="Arial"/>
          <w:sz w:val="18"/>
          <w:szCs w:val="18"/>
          <w:color w:val="auto"/>
        </w:rPr>
        <w:t>(Chair)</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2D53A6"/>
        </w:rPr>
        <w:t>Business Experience and Other Directorships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-2635885</wp:posOffset>
            </wp:positionH>
            <wp:positionV relativeFrom="paragraph">
              <wp:posOffset>-130175</wp:posOffset>
            </wp:positionV>
            <wp:extent cx="7132320" cy="16630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663065"/>
                    </a:xfrm>
                    <a:prstGeom prst="rect">
                      <a:avLst/>
                    </a:prstGeom>
                    <a:noFill/>
                  </pic:spPr>
                </pic:pic>
              </a:graphicData>
            </a:graphic>
          </wp:anchor>
        </w:drawing>
      </w:r>
    </w:p>
    <w:p>
      <w:pPr>
        <w:spacing w:after="0" w:line="3"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Mr. Caggia is the retired Senior Vice President and Chief Financial Officer of SMSC, where he worked from 2000 until his retirement in 2006. Mr. Caggia also served as a director of SMSC from 2001 until its purchase by Microchip Technology Incorporated in 2012. Prior to SMSC, Mr. Caggia was Senior Vice President and Chief Financial Officer of General Semiconductor, Inc. from 1997 to 2000.</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2D53A6"/>
        </w:rPr>
        <w:t>Experience Qualifications and Attributes</w:t>
      </w:r>
    </w:p>
    <w:p>
      <w:pPr>
        <w:spacing w:after="0" w:line="2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believe Mr. Caggia’s qualifications to sit on our Board include his extensive executive experience in the semiconductor industry and his experience with financial accounting matters for complex global organizations as well as his knowledge of business strategy. Mr. Caggia qualifies as an “audit committee financial expert” under SEC guidelines.</w:t>
      </w:r>
    </w:p>
    <w:p>
      <w:pPr>
        <w:spacing w:after="0" w:line="200" w:lineRule="exact"/>
        <w:rPr>
          <w:sz w:val="20"/>
          <w:szCs w:val="20"/>
          <w:color w:val="auto"/>
        </w:rPr>
      </w:pPr>
    </w:p>
    <w:p>
      <w:pPr>
        <w:sectPr>
          <w:pgSz w:w="11900" w:h="16838" w:orient="portrait"/>
          <w:cols w:equalWidth="0" w:num="2">
            <w:col w:w="3440" w:space="720"/>
            <w:col w:w="7060"/>
          </w:cols>
          <w:pgMar w:left="320" w:top="584"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left="200"/>
        <w:spacing w:after="0"/>
        <w:rPr>
          <w:sz w:val="20"/>
          <w:szCs w:val="20"/>
          <w:color w:val="auto"/>
        </w:rPr>
      </w:pPr>
      <w:r>
        <w:rPr>
          <w:rFonts w:ascii="Arial" w:cs="Arial" w:eastAsia="Arial" w:hAnsi="Arial"/>
          <w:sz w:val="22"/>
          <w:szCs w:val="22"/>
          <w:b w:val="1"/>
          <w:bCs w:val="1"/>
          <w:color w:val="2D53A6"/>
        </w:rPr>
        <w:t>Yon Y. Jorden</w:t>
      </w:r>
    </w:p>
    <w:p>
      <w:pPr>
        <w:spacing w:after="0" w:line="19"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Director since 2021</w:t>
      </w:r>
    </w:p>
    <w:p>
      <w:pPr>
        <w:spacing w:after="0" w:line="7"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Age 67</w:t>
      </w:r>
    </w:p>
    <w:p>
      <w:pPr>
        <w:spacing w:after="0" w:line="207" w:lineRule="exact"/>
        <w:rPr>
          <w:sz w:val="20"/>
          <w:szCs w:val="20"/>
          <w:color w:val="auto"/>
        </w:rPr>
      </w:pPr>
    </w:p>
    <w:p>
      <w:pPr>
        <w:jc w:val="center"/>
        <w:ind w:left="200"/>
        <w:spacing w:after="0"/>
        <w:rPr>
          <w:sz w:val="20"/>
          <w:szCs w:val="20"/>
          <w:color w:val="auto"/>
        </w:rPr>
      </w:pPr>
      <w:r>
        <w:rPr>
          <w:rFonts w:ascii="Arial" w:cs="Arial" w:eastAsia="Arial" w:hAnsi="Arial"/>
          <w:sz w:val="18"/>
          <w:szCs w:val="18"/>
          <w:b w:val="1"/>
          <w:bCs w:val="1"/>
          <w:color w:val="2D53A6"/>
        </w:rPr>
        <w:t>Board Committees:</w:t>
      </w:r>
    </w:p>
    <w:p>
      <w:pPr>
        <w:spacing w:after="0" w:line="27"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Audit Committee</w:t>
      </w:r>
    </w:p>
    <w:p>
      <w:pPr>
        <w:spacing w:after="0" w:line="207" w:lineRule="exact"/>
        <w:rPr>
          <w:sz w:val="20"/>
          <w:szCs w:val="20"/>
          <w:color w:val="auto"/>
        </w:rPr>
      </w:pPr>
    </w:p>
    <w:p>
      <w:pPr>
        <w:jc w:val="center"/>
        <w:ind w:left="200"/>
        <w:spacing w:after="0"/>
        <w:rPr>
          <w:sz w:val="20"/>
          <w:szCs w:val="20"/>
          <w:color w:val="auto"/>
        </w:rPr>
      </w:pPr>
      <w:r>
        <w:rPr>
          <w:rFonts w:ascii="Arial" w:cs="Arial" w:eastAsia="Arial" w:hAnsi="Arial"/>
          <w:sz w:val="18"/>
          <w:szCs w:val="18"/>
          <w:b w:val="1"/>
          <w:bCs w:val="1"/>
          <w:color w:val="2D53A6"/>
        </w:rPr>
        <w:t>Other Current Public</w:t>
      </w:r>
    </w:p>
    <w:p>
      <w:pPr>
        <w:spacing w:after="0" w:line="27" w:lineRule="exact"/>
        <w:rPr>
          <w:sz w:val="20"/>
          <w:szCs w:val="20"/>
          <w:color w:val="auto"/>
        </w:rPr>
      </w:pPr>
    </w:p>
    <w:p>
      <w:pPr>
        <w:jc w:val="center"/>
        <w:ind w:left="200"/>
        <w:spacing w:after="0"/>
        <w:rPr>
          <w:sz w:val="20"/>
          <w:szCs w:val="20"/>
          <w:color w:val="auto"/>
        </w:rPr>
      </w:pPr>
      <w:r>
        <w:rPr>
          <w:rFonts w:ascii="Arial" w:cs="Arial" w:eastAsia="Arial" w:hAnsi="Arial"/>
          <w:sz w:val="18"/>
          <w:szCs w:val="18"/>
          <w:b w:val="1"/>
          <w:bCs w:val="1"/>
          <w:color w:val="2D53A6"/>
        </w:rPr>
        <w:t>Company Boards:</w:t>
      </w:r>
    </w:p>
    <w:p>
      <w:pPr>
        <w:spacing w:after="0" w:line="9" w:lineRule="exact"/>
        <w:rPr>
          <w:sz w:val="20"/>
          <w:szCs w:val="20"/>
          <w:color w:val="auto"/>
        </w:rPr>
      </w:pPr>
    </w:p>
    <w:p>
      <w:pPr>
        <w:jc w:val="center"/>
        <w:ind w:left="200"/>
        <w:spacing w:after="0" w:line="260" w:lineRule="auto"/>
        <w:rPr>
          <w:sz w:val="20"/>
          <w:szCs w:val="20"/>
          <w:color w:val="auto"/>
        </w:rPr>
      </w:pPr>
      <w:r>
        <w:rPr>
          <w:rFonts w:ascii="Arial" w:cs="Arial" w:eastAsia="Arial" w:hAnsi="Arial"/>
          <w:sz w:val="18"/>
          <w:szCs w:val="18"/>
          <w:color w:val="auto"/>
        </w:rPr>
        <w:t>Alignment Healthcare, Inc., Capstone Green Energy Corp.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2D53A6"/>
        </w:rPr>
        <w:t>Business Experience and Other Directorships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-2635885</wp:posOffset>
            </wp:positionH>
            <wp:positionV relativeFrom="paragraph">
              <wp:posOffset>-130175</wp:posOffset>
            </wp:positionV>
            <wp:extent cx="7132320" cy="23488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2348865"/>
                    </a:xfrm>
                    <a:prstGeom prst="rect">
                      <a:avLst/>
                    </a:prstGeom>
                    <a:noFill/>
                  </pic:spPr>
                </pic:pic>
              </a:graphicData>
            </a:graphic>
          </wp:anchor>
        </w:drawing>
      </w:r>
    </w:p>
    <w:p>
      <w:pPr>
        <w:spacing w:after="0" w:line="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Ms. Jorden is the retired Executive Vice President and Chief Financial Officer of AdvancePCS, a position she held from 2002 to 2004. Prior to that she served as chief financial officer of three other publicly traded companies: Informix, Oxford Health Plans and WellPoint, Inc. She currently serves as a director of Capstone Green Energy, a position she has held since April 2017; as a director of Alignment Healthcare, Inc., a position she has held since January 2022, and as a director for the not-for-profit Methodist Health System, a position she has held since 2008. She previously served as a director at Maxwell Technologies (2008 to 2017), BioScrip (2014 to 2015), Magnetek, Inc. (2004 to 2013) and U.S. Oncology (2008 to 2010).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2D53A6"/>
        </w:rPr>
        <w:t>Experience Qualifications and Attributes</w:t>
      </w:r>
    </w:p>
    <w:p>
      <w:pPr>
        <w:spacing w:after="0" w:line="2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believe Ms. Jorden’s qualifications to sit on our Board include her extensive board and financial executive experience across several industries and her experience with financial accounting matters for complex global organizations. Ms. Jorden qualifies as an “audit committee financial expert” under SEC guidelines. She is also a board leadership fellow of the National Association of Corporate Directors, demonstrating her commitment and leadership as a board member.</w:t>
      </w:r>
    </w:p>
    <w:p>
      <w:pPr>
        <w:spacing w:after="0" w:line="200" w:lineRule="exact"/>
        <w:rPr>
          <w:sz w:val="20"/>
          <w:szCs w:val="20"/>
          <w:color w:val="auto"/>
        </w:rPr>
      </w:pPr>
    </w:p>
    <w:p>
      <w:pPr>
        <w:sectPr>
          <w:pgSz w:w="11900" w:h="16838" w:orient="portrait"/>
          <w:cols w:equalWidth="0" w:num="2">
            <w:col w:w="3960" w:space="200"/>
            <w:col w:w="7060"/>
          </w:cols>
          <w:pgMar w:left="320" w:top="584"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left="720"/>
        <w:spacing w:after="0"/>
        <w:rPr>
          <w:sz w:val="20"/>
          <w:szCs w:val="20"/>
          <w:color w:val="auto"/>
        </w:rPr>
      </w:pPr>
      <w:r>
        <w:rPr>
          <w:rFonts w:ascii="Arial" w:cs="Arial" w:eastAsia="Arial" w:hAnsi="Arial"/>
          <w:sz w:val="22"/>
          <w:szCs w:val="22"/>
          <w:b w:val="1"/>
          <w:bCs w:val="1"/>
          <w:color w:val="2D53A6"/>
        </w:rPr>
        <w:t>Luis A. Müller</w:t>
      </w:r>
    </w:p>
    <w:p>
      <w:pPr>
        <w:spacing w:after="0" w:line="19" w:lineRule="exact"/>
        <w:rPr>
          <w:sz w:val="20"/>
          <w:szCs w:val="20"/>
          <w:color w:val="auto"/>
        </w:rPr>
      </w:pPr>
    </w:p>
    <w:p>
      <w:pPr>
        <w:jc w:val="center"/>
        <w:ind w:left="720"/>
        <w:spacing w:after="0"/>
        <w:rPr>
          <w:sz w:val="20"/>
          <w:szCs w:val="20"/>
          <w:color w:val="auto"/>
        </w:rPr>
      </w:pPr>
      <w:r>
        <w:rPr>
          <w:rFonts w:ascii="Arial" w:cs="Arial" w:eastAsia="Arial" w:hAnsi="Arial"/>
          <w:sz w:val="18"/>
          <w:szCs w:val="18"/>
          <w:color w:val="auto"/>
        </w:rPr>
        <w:t>Director since 2014</w:t>
      </w:r>
    </w:p>
    <w:p>
      <w:pPr>
        <w:spacing w:after="0" w:line="7" w:lineRule="exact"/>
        <w:rPr>
          <w:sz w:val="20"/>
          <w:szCs w:val="20"/>
          <w:color w:val="auto"/>
        </w:rPr>
      </w:pPr>
    </w:p>
    <w:p>
      <w:pPr>
        <w:jc w:val="center"/>
        <w:ind w:left="720"/>
        <w:spacing w:after="0"/>
        <w:rPr>
          <w:sz w:val="20"/>
          <w:szCs w:val="20"/>
          <w:color w:val="auto"/>
        </w:rPr>
      </w:pPr>
      <w:r>
        <w:rPr>
          <w:rFonts w:ascii="Arial" w:cs="Arial" w:eastAsia="Arial" w:hAnsi="Arial"/>
          <w:sz w:val="18"/>
          <w:szCs w:val="18"/>
          <w:color w:val="auto"/>
        </w:rPr>
        <w:t>Age 52</w:t>
      </w:r>
    </w:p>
    <w:p>
      <w:pPr>
        <w:spacing w:after="0" w:line="207" w:lineRule="exact"/>
        <w:rPr>
          <w:sz w:val="20"/>
          <w:szCs w:val="20"/>
          <w:color w:val="auto"/>
        </w:rPr>
      </w:pPr>
    </w:p>
    <w:p>
      <w:pPr>
        <w:jc w:val="center"/>
        <w:ind w:left="720"/>
        <w:spacing w:after="0"/>
        <w:rPr>
          <w:sz w:val="20"/>
          <w:szCs w:val="20"/>
          <w:color w:val="auto"/>
        </w:rPr>
      </w:pPr>
      <w:r>
        <w:rPr>
          <w:rFonts w:ascii="Arial" w:cs="Arial" w:eastAsia="Arial" w:hAnsi="Arial"/>
          <w:sz w:val="17"/>
          <w:szCs w:val="17"/>
          <w:b w:val="1"/>
          <w:bCs w:val="1"/>
          <w:color w:val="2D53A6"/>
        </w:rPr>
        <w:t>Other Current Public</w:t>
      </w:r>
    </w:p>
    <w:p>
      <w:pPr>
        <w:spacing w:after="0" w:line="39" w:lineRule="exact"/>
        <w:rPr>
          <w:sz w:val="20"/>
          <w:szCs w:val="20"/>
          <w:color w:val="auto"/>
        </w:rPr>
      </w:pPr>
    </w:p>
    <w:p>
      <w:pPr>
        <w:jc w:val="center"/>
        <w:ind w:left="720"/>
        <w:spacing w:after="0"/>
        <w:rPr>
          <w:sz w:val="20"/>
          <w:szCs w:val="20"/>
          <w:color w:val="auto"/>
        </w:rPr>
      </w:pPr>
      <w:r>
        <w:rPr>
          <w:rFonts w:ascii="Arial" w:cs="Arial" w:eastAsia="Arial" w:hAnsi="Arial"/>
          <w:sz w:val="18"/>
          <w:szCs w:val="18"/>
          <w:b w:val="1"/>
          <w:bCs w:val="1"/>
          <w:color w:val="2D53A6"/>
        </w:rPr>
        <w:t>Company Boards:</w:t>
      </w:r>
    </w:p>
    <w:p>
      <w:pPr>
        <w:spacing w:after="0" w:line="9" w:lineRule="exact"/>
        <w:rPr>
          <w:sz w:val="20"/>
          <w:szCs w:val="20"/>
          <w:color w:val="auto"/>
        </w:rPr>
      </w:pPr>
    </w:p>
    <w:p>
      <w:pPr>
        <w:jc w:val="center"/>
        <w:ind w:left="720"/>
        <w:spacing w:after="0"/>
        <w:rPr>
          <w:sz w:val="20"/>
          <w:szCs w:val="20"/>
          <w:color w:val="auto"/>
        </w:rPr>
      </w:pPr>
      <w:r>
        <w:rPr>
          <w:rFonts w:ascii="Arial" w:cs="Arial" w:eastAsia="Arial" w:hAnsi="Arial"/>
          <w:sz w:val="18"/>
          <w:szCs w:val="18"/>
          <w:color w:val="auto"/>
        </w:rPr>
        <w:t>Celestica Inc.</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2D53A6"/>
        </w:rPr>
        <w:t>Business Experience and Other Directorships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-2635885</wp:posOffset>
            </wp:positionH>
            <wp:positionV relativeFrom="paragraph">
              <wp:posOffset>-130175</wp:posOffset>
            </wp:positionV>
            <wp:extent cx="7132320" cy="2074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2074545"/>
                    </a:xfrm>
                    <a:prstGeom prst="rect">
                      <a:avLst/>
                    </a:prstGeom>
                    <a:noFill/>
                  </pic:spPr>
                </pic:pic>
              </a:graphicData>
            </a:graphic>
          </wp:anchor>
        </w:drawing>
      </w:r>
    </w:p>
    <w:p>
      <w:pPr>
        <w:spacing w:after="0" w:line="3"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Dr. Müller has been the President and Chief Executive Officer of Cohu since December 28, 2014. He also currently serves as a director of Celestica Inc., a position he has held since August 2021. His previous roles at Cohu include serving as President of Cohu’s Semiconductor Equipment Group (“SEG”) from 2011 to 2014; Managing Director of Rasco GmbH from 2009 to 2011; Vice President of Delta Design’s High Speed Handling Group from 2008 to 2009; and Director of Engineering at Delta Design from 2005 to 2008. Prior to joining Cohu, Dr. Müller spent nine years at Teradyne Inc., where he held management positions in engineering and business development.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2D53A6"/>
        </w:rPr>
        <w:t>Experience Qualifications and Attributes</w:t>
      </w:r>
    </w:p>
    <w:p>
      <w:pPr>
        <w:spacing w:after="0" w:line="23" w:lineRule="exact"/>
        <w:rPr>
          <w:sz w:val="20"/>
          <w:szCs w:val="20"/>
          <w:color w:val="auto"/>
        </w:rPr>
      </w:pPr>
    </w:p>
    <w:p>
      <w:pPr>
        <w:jc w:val="both"/>
        <w:ind w:right="520"/>
        <w:spacing w:after="0" w:line="253" w:lineRule="auto"/>
        <w:rPr>
          <w:sz w:val="20"/>
          <w:szCs w:val="20"/>
          <w:color w:val="auto"/>
        </w:rPr>
      </w:pPr>
      <w:r>
        <w:rPr>
          <w:rFonts w:ascii="Arial" w:cs="Arial" w:eastAsia="Arial" w:hAnsi="Arial"/>
          <w:sz w:val="18"/>
          <w:szCs w:val="18"/>
          <w:color w:val="auto"/>
        </w:rPr>
        <w:t>We believe Dr. Müller’s qualifications to sit on our Board include his extensive executive, including CEO, experience in the semiconductor equipment industry, broad knowledge of business development and strategy, semiconductor technologies, corporate governance and international operations.</w:t>
      </w:r>
    </w:p>
    <w:p>
      <w:pPr>
        <w:spacing w:after="0" w:line="200" w:lineRule="exact"/>
        <w:rPr>
          <w:sz w:val="20"/>
          <w:szCs w:val="20"/>
          <w:color w:val="auto"/>
        </w:rPr>
      </w:pPr>
    </w:p>
    <w:p>
      <w:pPr>
        <w:sectPr>
          <w:pgSz w:w="11900" w:h="16838" w:orient="portrait"/>
          <w:cols w:equalWidth="0" w:num="2">
            <w:col w:w="3440" w:space="720"/>
            <w:col w:w="7060"/>
          </w:cols>
          <w:pgMar w:left="320" w:top="584" w:right="359" w:bottom="1440" w:gutter="0" w:footer="0" w:header="0"/>
          <w:type w:val="continuous"/>
        </w:sectPr>
      </w:pPr>
    </w:p>
    <w:p>
      <w:pPr>
        <w:spacing w:after="0" w:line="3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type w:val="continuous"/>
        </w:sectPr>
      </w:pPr>
    </w:p>
    <w:bookmarkStart w:id="60" w:name="page61"/>
    <w:bookmarkEnd w:id="60"/>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1371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t>Proposal No. 2: Advisory Vote to Approve Named Executive Compensation</w:t>
      </w:r>
    </w:p>
    <w:p>
      <w:pPr>
        <w:spacing w:after="0" w:line="21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At our 2017 annual meeting, our Board recommended and our stockholders approved holding an advisory vote on the compensation of our NEOs every year. Accordingly, as required by Section 14A of the Securities Exchange Act of 1934, as amended, we are asking our stockholders to cast an advisory vote to approve the compensation of our NEOs as described in this proxy statement.</w:t>
      </w:r>
    </w:p>
    <w:p>
      <w:pPr>
        <w:spacing w:after="0" w:line="18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At last year’s annual meeting, we provided our stockholders with the opportunity to cast an advisory vote regarding the compensation of our NEOs as disclosed in the proxy statement for the 2021 Annual Meeting of Stockholders. At our 2021 Annual Meeting, our stockholders approved the proposal, with approximately 99% of the votes cast voting in favor of the proposal.</w:t>
      </w:r>
    </w:p>
    <w:p>
      <w:pPr>
        <w:spacing w:after="0" w:line="184"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We value the opinions of our stockholders and will continue to consider the outcome of future say-on-pay votes, as well as feedback received throughout the year, when making compensation decisions for our executive officers, including the NEOs. This year, we are again asking our stockholders to vote “FOR” the compensation of our NEOs as disclosed in this proxy statement.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2D53A6"/>
        </w:rPr>
        <w:t>Compensation Program and Philosophy</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described under the Compensation Discussion and Analysis section of this proxy statement (the “CD&amp;A”), the Compensation Committee has structured our executive compensation program to achieve the following key objectives:</w:t>
      </w:r>
    </w:p>
    <w:p>
      <w:pPr>
        <w:spacing w:after="0" w:line="170"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pay for performance,</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attract, motivate and retain talented executive officers,</w:t>
      </w:r>
    </w:p>
    <w:p>
      <w:pPr>
        <w:spacing w:after="0" w:line="36" w:lineRule="exact"/>
        <w:rPr>
          <w:rFonts w:ascii="Arial" w:cs="Arial" w:eastAsia="Arial" w:hAnsi="Arial"/>
          <w:sz w:val="18"/>
          <w:szCs w:val="18"/>
          <w:color w:val="auto"/>
        </w:rPr>
      </w:pPr>
    </w:p>
    <w:p>
      <w:pPr>
        <w:ind w:left="660" w:right="980" w:hanging="328"/>
        <w:spacing w:after="0" w:line="258"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motivate progress toward Company-wide financial and business objectives while balancing rewards for short- term and long-term performance;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align the interests of our executive officers with those of stockholders.</w:t>
      </w:r>
    </w:p>
    <w:p>
      <w:pPr>
        <w:spacing w:after="0" w:line="238"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We urge stockholders to read the CD&amp;A beginning on page 21 of this proxy statement, which describes in more detail how our executive compensation policies and procedures operate and are designed to achieve our compensation objectives, as well as the Summary Compensation Table and other related compensation tables and narrative, which provide detailed information on the compensation of our NEOs. The Compensation Committee and the Board of Directors believe that the policies and procedures articulated in the CD&amp;A are effective in achieving our goals and that the compensation of our NEOs reported in this proxy statement has contributed to Cohu’s recent and long-term success.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2D53A6"/>
        </w:rPr>
        <w:t>Required Vote</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majority of the votes cast is required to approve Proposal No. 2. Brokers do not have discretion to vote on this proposal without your instruction. If you do not instruct your broker how to vote on this proposal, your broker will deliver a non-vote on this proposal.</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61" w:name="page62"/>
    <w:bookmarkEnd w:id="61"/>
    <w:p>
      <w:pPr>
        <w:spacing w:after="0"/>
        <w:rPr>
          <w:sz w:val="20"/>
          <w:szCs w:val="20"/>
          <w:color w:val="auto"/>
        </w:rPr>
      </w:pPr>
      <w:r>
        <w:rPr>
          <w:rFonts w:ascii="Arial" w:cs="Arial" w:eastAsia="Arial" w:hAnsi="Arial"/>
          <w:sz w:val="18"/>
          <w:szCs w:val="18"/>
          <w:color w:val="2D53A6"/>
        </w:rPr>
        <w:t>Recommendation of the Board</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For the above reasons, we are asking our stockholders to indicate their support for the compensation of our NEOs as described in this proxy statement by voting in favor of the following resolution:</w:t>
      </w:r>
    </w:p>
    <w:p>
      <w:pPr>
        <w:spacing w:after="0" w:line="170"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b w:val="1"/>
          <w:bCs w:val="1"/>
          <w:i w:val="1"/>
          <w:iCs w:val="1"/>
          <w:color w:val="auto"/>
        </w:rPr>
        <w:t>“RESOLVED, that the stockholders of Cohu approve, in a non-binding vote, the compensation of Cohu</w:t>
      </w:r>
      <w:r>
        <w:rPr>
          <w:rFonts w:ascii="Arial" w:cs="Arial" w:eastAsia="Arial" w:hAnsi="Arial"/>
          <w:sz w:val="18"/>
          <w:szCs w:val="18"/>
          <w:color w:val="auto"/>
        </w:rPr>
        <w:t>’</w:t>
      </w:r>
      <w:r>
        <w:rPr>
          <w:rFonts w:ascii="Arial" w:cs="Arial" w:eastAsia="Arial" w:hAnsi="Arial"/>
          <w:sz w:val="18"/>
          <w:szCs w:val="18"/>
          <w:b w:val="1"/>
          <w:bCs w:val="1"/>
          <w:i w:val="1"/>
          <w:iCs w:val="1"/>
          <w:color w:val="auto"/>
        </w:rPr>
        <w:t>s NEOs as disclosed pursuant to the CD&amp;A, the tabular disclosure regarding such compensation, and the accompanying narrative disclosure set forth in the proxy statement relating to Cohu</w:t>
      </w:r>
      <w:r>
        <w:rPr>
          <w:rFonts w:ascii="Arial" w:cs="Arial" w:eastAsia="Arial" w:hAnsi="Arial"/>
          <w:sz w:val="18"/>
          <w:szCs w:val="18"/>
          <w:color w:val="auto"/>
        </w:rPr>
        <w:t>’</w:t>
      </w:r>
      <w:r>
        <w:rPr>
          <w:rFonts w:ascii="Arial" w:cs="Arial" w:eastAsia="Arial" w:hAnsi="Arial"/>
          <w:sz w:val="18"/>
          <w:szCs w:val="18"/>
          <w:b w:val="1"/>
          <w:bCs w:val="1"/>
          <w:i w:val="1"/>
          <w:iCs w:val="1"/>
          <w:color w:val="auto"/>
        </w:rPr>
        <w:t>s 2022 Annual Meeting of Stockholders.</w:t>
      </w:r>
      <w:r>
        <w:rPr>
          <w:rFonts w:ascii="Arial" w:cs="Arial" w:eastAsia="Arial" w:hAnsi="Arial"/>
          <w:sz w:val="18"/>
          <w:szCs w:val="18"/>
          <w:color w:val="auto"/>
        </w:rPr>
        <w:t>”</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Even though this say-on-pay vote is advisory and therefore will not be binding on Cohu, the Compensation Committee and the Board value the opinions of our stockholders. Accordingly, to the extent there is a significant vote against the compensation of our NEOs, we will consider our stockholders’ concerns and the Compensation Committee will evaluate what actions may be necessary or appropriate to address those concerns.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62547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625475"/>
                    </a:xfrm>
                    <a:prstGeom prst="rect">
                      <a:avLst/>
                    </a:prstGeom>
                    <a:noFill/>
                  </pic:spPr>
                </pic:pic>
              </a:graphicData>
            </a:graphic>
          </wp:anchor>
        </w:drawing>
      </w:r>
    </w:p>
    <w:p>
      <w:pPr>
        <w:spacing w:after="0" w:line="375"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FFFFFF"/>
        </w:rPr>
        <w:t xml:space="preserve">The Board of Directors unanimously recommends a vote </w:t>
      </w:r>
      <w:r>
        <w:rPr>
          <w:rFonts w:ascii="Arial" w:cs="Arial" w:eastAsia="Arial" w:hAnsi="Arial"/>
          <w:sz w:val="22"/>
          <w:szCs w:val="22"/>
          <w:color w:val="FFFFFF"/>
        </w:rPr>
        <w:t>√ “</w:t>
      </w:r>
      <w:r>
        <w:rPr>
          <w:rFonts w:ascii="Arial" w:cs="Arial" w:eastAsia="Arial" w:hAnsi="Arial"/>
          <w:sz w:val="22"/>
          <w:szCs w:val="22"/>
          <w:b w:val="1"/>
          <w:bCs w:val="1"/>
          <w:color w:val="FFFFFF"/>
        </w:rPr>
        <w:t>FOR</w:t>
      </w:r>
      <w:r>
        <w:rPr>
          <w:rFonts w:ascii="Arial" w:cs="Arial" w:eastAsia="Arial" w:hAnsi="Arial"/>
          <w:sz w:val="22"/>
          <w:szCs w:val="22"/>
          <w:color w:val="FFFFFF"/>
        </w:rPr>
        <w:t>”</w:t>
      </w:r>
      <w:r>
        <w:rPr>
          <w:rFonts w:ascii="Arial" w:cs="Arial" w:eastAsia="Arial" w:hAnsi="Arial"/>
          <w:sz w:val="22"/>
          <w:szCs w:val="22"/>
          <w:b w:val="1"/>
          <w:bCs w:val="1"/>
          <w:color w:val="FFFFFF"/>
        </w:rPr>
        <w:t xml:space="preserve"> approval,</w:t>
      </w:r>
    </w:p>
    <w:p>
      <w:pPr>
        <w:spacing w:after="0" w:line="1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FFFFFF"/>
        </w:rPr>
        <w:t>on an advisory basis, of the resolution on executive compensation.</w:t>
      </w:r>
    </w:p>
    <w:p>
      <w:pPr>
        <w:spacing w:after="0" w:line="200" w:lineRule="exact"/>
        <w:rPr>
          <w:sz w:val="20"/>
          <w:szCs w:val="20"/>
          <w:color w:val="auto"/>
        </w:rPr>
      </w:pP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84" w:right="399" w:bottom="1440" w:gutter="0" w:footer="0" w:header="0"/>
        </w:sectPr>
      </w:pPr>
    </w:p>
    <w:bookmarkStart w:id="62" w:name="page63"/>
    <w:bookmarkEnd w:id="62"/>
    <w:p>
      <w:pPr>
        <w:ind w:right="620"/>
        <w:spacing w:after="0" w:line="256" w:lineRule="auto"/>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1371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t>Proposal No. 3: Approve an Amendment to our Amended and Restated Certificate of Incorporation Increasing the Number of Authorized Shares of Common Stock from 60,000,000 to 90,000,000 Shares</w:t>
      </w:r>
    </w:p>
    <w:p>
      <w:pPr>
        <w:spacing w:after="0" w:line="175" w:lineRule="exact"/>
        <w:rPr>
          <w:sz w:val="20"/>
          <w:szCs w:val="20"/>
          <w:color w:val="auto"/>
        </w:rPr>
      </w:pPr>
    </w:p>
    <w:p>
      <w:pPr>
        <w:ind w:right="520"/>
        <w:spacing w:after="0" w:line="263" w:lineRule="auto"/>
        <w:rPr>
          <w:sz w:val="20"/>
          <w:szCs w:val="20"/>
          <w:color w:val="auto"/>
        </w:rPr>
      </w:pPr>
      <w:r>
        <w:rPr>
          <w:rFonts w:ascii="Arial" w:cs="Arial" w:eastAsia="Arial" w:hAnsi="Arial"/>
          <w:sz w:val="18"/>
          <w:szCs w:val="18"/>
          <w:color w:val="auto"/>
        </w:rPr>
        <w:t xml:space="preserve">We are seeking stockholder approval of an amendment to our Amended and Restated Certificate of Incorporation that would increase the number of authorized shares of common stock from 60,000,000 to 90,000,000 shares. The proposed Certificate of Amendment to the Amended and Restated Certificate of Incorporation (the “Certificate of Amendment”) is attached hereto as </w:t>
      </w:r>
      <w:r>
        <w:rPr>
          <w:rFonts w:ascii="Arial" w:cs="Arial" w:eastAsia="Arial" w:hAnsi="Arial"/>
          <w:sz w:val="18"/>
          <w:szCs w:val="18"/>
          <w:b w:val="1"/>
          <w:bCs w:val="1"/>
          <w:u w:val="single" w:color="auto"/>
          <w:color w:val="auto"/>
        </w:rPr>
        <w:t>Appendix B</w:t>
      </w:r>
      <w:r>
        <w:rPr>
          <w:rFonts w:ascii="Arial" w:cs="Arial" w:eastAsia="Arial" w:hAnsi="Arial"/>
          <w:sz w:val="18"/>
          <w:szCs w:val="18"/>
          <w:color w:val="auto"/>
        </w:rPr>
        <w:t>.</w:t>
      </w:r>
    </w:p>
    <w:p>
      <w:pPr>
        <w:spacing w:after="0" w:line="184"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The newly authorized shares of common stock would have the same rights as the currently outstanding shares of our common stock. As of March 1, 2022, 48,563,962 shares of our common stock were issued and outstanding, 1,473,999 shares were subject to existing awards under our equity compensation plans, and 1,882,889 shares of our common stock were reserved for future issuance under our equity compensation plans. Accordingly, 51,920,850 (or</w:t>
      </w:r>
    </w:p>
    <w:p>
      <w:pPr>
        <w:spacing w:after="0" w:line="2" w:lineRule="exact"/>
        <w:rPr>
          <w:sz w:val="20"/>
          <w:szCs w:val="20"/>
          <w:color w:val="auto"/>
        </w:rPr>
      </w:pPr>
    </w:p>
    <w:p>
      <w:pPr>
        <w:ind w:right="300"/>
        <w:spacing w:after="0" w:line="260" w:lineRule="auto"/>
        <w:rPr>
          <w:sz w:val="20"/>
          <w:szCs w:val="20"/>
          <w:color w:val="auto"/>
        </w:rPr>
      </w:pPr>
      <w:r>
        <w:rPr>
          <w:rFonts w:ascii="Arial" w:cs="Arial" w:eastAsia="Arial" w:hAnsi="Arial"/>
          <w:sz w:val="18"/>
          <w:szCs w:val="18"/>
          <w:color w:val="auto"/>
        </w:rPr>
        <w:t>86.53%) of the 60,000,000 authorized shares of our common stock are currently issued or reserved while only 8,079,150 (or 13.47%) of the authorized shares of our common stock remain available for future issuance.</w:t>
      </w:r>
    </w:p>
    <w:p>
      <w:pPr>
        <w:spacing w:after="0" w:line="18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We believe that it would be prudent and advisable to have the additional shares available to provide additional flexibility regarding the potential use of shares of common stock for business and financial purposes in the future. Having an increased number of authorized but unissued shares of common stock would allow us to take prompt action with respect to corporate opportunities that may arise, without the delay and expense of convening a special meeting of stockholders for the purpose of approving an increase in our authorized shares. The additional shares could be used for various purposes without further stockholder approval. These purposes may include: (i) raising capital, if we have an appropriate opportunity, through offerings of common stock or securities that are convertible into common stock; (ii) expanding our business through potential strategic transactions, including mergers, acquisitions, and other business combinations or acquisitions of new technologies or products; (iii) establishing strategic relationships with other companies; (iv) exchanges of common stock or securities that are convertible into common stock for other outstanding securities; (v) providing equity incentives to attract and retain employees, officers or directors; and (vi) other purposes. However, at this time, beyond ongoing equity grants under our equity compensation plans in the ordinary course of business, we have no imminent plans, arrangements or understandings for any transactions that would involve the issuance of such additional authorized shares.</w:t>
      </w:r>
    </w:p>
    <w:p>
      <w:pPr>
        <w:spacing w:after="0" w:line="182"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If the proposed amendment is approved by our stockholders, the additional authorized shares of common stock would have rights identical to our currently outstanding common stock. Our Amended and Restated Certificate of Incorporation also currently authorizes the issuance of 1,000,000 shares of preferred stock, none of which are issued or outstanding.</w:t>
      </w:r>
    </w:p>
    <w:p>
      <w:pPr>
        <w:spacing w:after="0" w:line="184"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The proposed amendment to our Amended and Restated Certificate of Incorporation would not change the authorized number of shares of preferred stock. Future issuances of shares of common stock or securities convertible into shares of common stock could have a dilutive effect on our earnings per share, book value per share and the voting interest and power of current stockholders since holders of common stock are not entitled to preemptive rights.</w:t>
      </w:r>
    </w:p>
    <w:p>
      <w:pPr>
        <w:spacing w:after="0" w:line="14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SEC rules require disclosure of the possible anti-takeover effects of an increase in authorized capital stock and other charter and bylaw provisions that could have an anti-takeover effect. Although we have not proposed the increase in the number of authorized shares of common stock with the intent of using the additional shares to prevent or discourage any actual or threatened takeover of the Company, under certain circumstances, such shares could have an anti-takeover effect. The additional shares could be issued to dilute the stock ownership or voting rights of persons seeking to obtain control of the Company or could be issued to persons allied with the Board or management and thereby have the effect of making it more difficult to remove directors or members of management by diluting the stock ownership or voting rights of persons seeking to affect such a removal. Accordingly, if the proposed amendment is approved, the additional shares of authorized common stock may render more difficult or discourage a merger, tender offer or proxy contest, the assumption of control by a holder of a large block of common stock, or the replacement or removal of members of the Board or management.</w:t>
      </w:r>
    </w:p>
    <w:p>
      <w:pPr>
        <w:spacing w:after="0" w:line="16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Following stockholder approval of this proposal, the authorized share increase would be implemented by our filing the Certificate of Amendment with the Secretary of State of the State of Delaware. However, at any time prior to the effectiveness of the filing of the Certificate of Amendment with the Secretary of State of the State of Delaware, the Board reserves the right to abandon this proposal and to not file the Certificate of Amendment, even if approved by the stockholders of the Corporation, if the Board, in its discretion, determines that such amendment is no longer in the best interests of the Corporation or its stockholders.</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003" w:right="399" w:bottom="1440" w:gutter="0" w:footer="0" w:header="0"/>
        </w:sectPr>
      </w:pPr>
    </w:p>
    <w:bookmarkStart w:id="63" w:name="page64"/>
    <w:bookmarkEnd w:id="63"/>
    <w:p>
      <w:pPr>
        <w:spacing w:after="0"/>
        <w:rPr>
          <w:sz w:val="20"/>
          <w:szCs w:val="20"/>
          <w:color w:val="auto"/>
        </w:rPr>
      </w:pPr>
      <w:r>
        <w:rPr>
          <w:rFonts w:ascii="Arial" w:cs="Arial" w:eastAsia="Arial" w:hAnsi="Arial"/>
          <w:sz w:val="18"/>
          <w:szCs w:val="18"/>
          <w:color w:val="2D53A6"/>
        </w:rPr>
        <w:t>Required Vote</w:t>
      </w:r>
    </w:p>
    <w:p>
      <w:pPr>
        <w:spacing w:after="0" w:line="22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 majority of the issued and outstanding shares of the company’s common stock as of the record date is required to approve Proposal No. 3. If you hold your shares through a broker and you do not instruct the broker on how to vote on this “routine” proposal, your broker will nevertheless have authority to vote your shares on this “routine” proposal in your broker’s discretion.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2D53A6"/>
        </w:rPr>
        <w:t>Recommendation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9347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93472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left="520" w:right="1900"/>
        <w:spacing w:after="0" w:line="239" w:lineRule="auto"/>
        <w:rPr>
          <w:sz w:val="20"/>
          <w:szCs w:val="20"/>
          <w:color w:val="auto"/>
        </w:rPr>
      </w:pPr>
      <w:r>
        <w:rPr>
          <w:rFonts w:ascii="Arial" w:cs="Arial" w:eastAsia="Arial" w:hAnsi="Arial"/>
          <w:sz w:val="22"/>
          <w:szCs w:val="22"/>
          <w:b w:val="1"/>
          <w:bCs w:val="1"/>
          <w:color w:val="FFFFFF"/>
        </w:rPr>
        <w:t xml:space="preserve">The Board of Directors unanimously recommends a vote </w:t>
      </w:r>
      <w:r>
        <w:rPr>
          <w:rFonts w:ascii="Arial" w:cs="Arial" w:eastAsia="Arial" w:hAnsi="Arial"/>
          <w:sz w:val="22"/>
          <w:szCs w:val="22"/>
          <w:color w:val="FFFFFF"/>
        </w:rPr>
        <w:t>√ “</w:t>
      </w:r>
      <w:r>
        <w:rPr>
          <w:rFonts w:ascii="Arial" w:cs="Arial" w:eastAsia="Arial" w:hAnsi="Arial"/>
          <w:sz w:val="22"/>
          <w:szCs w:val="22"/>
          <w:b w:val="1"/>
          <w:bCs w:val="1"/>
          <w:color w:val="FFFFFF"/>
        </w:rPr>
        <w:t>FOR</w:t>
      </w:r>
      <w:r>
        <w:rPr>
          <w:rFonts w:ascii="Arial" w:cs="Arial" w:eastAsia="Arial" w:hAnsi="Arial"/>
          <w:sz w:val="22"/>
          <w:szCs w:val="22"/>
          <w:color w:val="FFFFFF"/>
        </w:rPr>
        <w:t>”</w:t>
      </w:r>
      <w:r>
        <w:rPr>
          <w:rFonts w:ascii="Arial" w:cs="Arial" w:eastAsia="Arial" w:hAnsi="Arial"/>
          <w:sz w:val="22"/>
          <w:szCs w:val="22"/>
          <w:b w:val="1"/>
          <w:bCs w:val="1"/>
          <w:color w:val="FFFFFF"/>
        </w:rPr>
        <w:t xml:space="preserve"> approval of an amendment to our Amended and Restated Certificate of Incorporation increasing the number of authorized shares of common stock from 60,000,000 to 90,000,000 shares.</w:t>
      </w:r>
    </w:p>
    <w:p>
      <w:pPr>
        <w:spacing w:after="0" w:line="200" w:lineRule="exact"/>
        <w:rPr>
          <w:sz w:val="20"/>
          <w:szCs w:val="20"/>
          <w:color w:val="auto"/>
        </w:rPr>
      </w:pPr>
    </w:p>
    <w:p>
      <w:pPr>
        <w:spacing w:after="0" w:line="25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584" w:right="539" w:bottom="1440" w:gutter="0" w:footer="0" w:header="0"/>
        </w:sectPr>
      </w:pPr>
    </w:p>
    <w:bookmarkStart w:id="64" w:name="page65"/>
    <w:bookmarkEnd w:id="64"/>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1371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t>Proposal No. 4: Ratification of Independent Registered Public Accounting Firm</w:t>
      </w:r>
    </w:p>
    <w:p>
      <w:pPr>
        <w:spacing w:after="0" w:line="21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Audit Committee of the Board has appointed Ernst &amp; Young LLP as Cohu’s independent registered public accounting firm for the fiscal year ending December 31, 2022. Ernst &amp; Young LLP served as Cohu’s independent registered public accounting firm for the fiscal year ended December 25, 2021, and also provided certain tax services. See “Principal Accounting Fees and Services” on page 50. Representatives of Ernst &amp; Young LLP are expected to attend the Meeting, where they will be available to respond to appropriate questions and, if they desire, to make a statement. Ernst &amp; Young LLP (or its predecessor firms) has been Cohu’s independent registered public accounting firm since 1956. Our Board recommends that the stockholders approve the ratification of the appointment of Ernst &amp; Young LLP as Cohu’s independent registered public accounting firm for the fiscal year ending December 31, 2022. If the appointment is not ratified, the Audit Committee will consider whether it should select another independent registered public accounting firm.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2D53A6"/>
        </w:rPr>
        <w:t>Required Vote</w:t>
      </w:r>
    </w:p>
    <w:p>
      <w:pPr>
        <w:spacing w:after="0" w:line="225"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A majority of the votes cast is required to approve Proposal No. 4. If you hold your shares through a broker and you do not instruct the broker on how to vote on this “routine” proposal, your broker will nevertheless have authority to vote your shares on this “routine” proposal in your broker’s discretion.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2D53A6"/>
        </w:rPr>
        <w:t>Recommendation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9340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93408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spacing w:after="0" w:line="254" w:lineRule="auto"/>
        <w:rPr>
          <w:sz w:val="20"/>
          <w:szCs w:val="20"/>
          <w:color w:val="auto"/>
        </w:rPr>
      </w:pPr>
      <w:r>
        <w:rPr>
          <w:rFonts w:ascii="Arial" w:cs="Arial" w:eastAsia="Arial" w:hAnsi="Arial"/>
          <w:sz w:val="21"/>
          <w:szCs w:val="21"/>
          <w:b w:val="1"/>
          <w:bCs w:val="1"/>
          <w:color w:val="FFFFFF"/>
        </w:rPr>
        <w:t xml:space="preserve">The Board of Directors unanimously recommends a vote </w:t>
      </w:r>
      <w:r>
        <w:rPr>
          <w:rFonts w:ascii="Arial" w:cs="Arial" w:eastAsia="Arial" w:hAnsi="Arial"/>
          <w:sz w:val="21"/>
          <w:szCs w:val="21"/>
          <w:color w:val="FFFFFF"/>
        </w:rPr>
        <w:t>√ “</w:t>
      </w:r>
      <w:r>
        <w:rPr>
          <w:rFonts w:ascii="Arial" w:cs="Arial" w:eastAsia="Arial" w:hAnsi="Arial"/>
          <w:sz w:val="21"/>
          <w:szCs w:val="21"/>
          <w:b w:val="1"/>
          <w:bCs w:val="1"/>
          <w:color w:val="FFFFFF"/>
        </w:rPr>
        <w:t>FOR</w:t>
      </w:r>
      <w:r>
        <w:rPr>
          <w:rFonts w:ascii="Arial" w:cs="Arial" w:eastAsia="Arial" w:hAnsi="Arial"/>
          <w:sz w:val="21"/>
          <w:szCs w:val="21"/>
          <w:color w:val="FFFFFF"/>
        </w:rPr>
        <w:t>”</w:t>
      </w:r>
      <w:r>
        <w:rPr>
          <w:rFonts w:ascii="Arial" w:cs="Arial" w:eastAsia="Arial" w:hAnsi="Arial"/>
          <w:sz w:val="21"/>
          <w:szCs w:val="21"/>
          <w:b w:val="1"/>
          <w:bCs w:val="1"/>
          <w:color w:val="FFFFFF"/>
        </w:rPr>
        <w:t xml:space="preserve"> the ratification of the appointment of Ernst &amp; Young LLP as Cohu</w:t>
      </w:r>
      <w:r>
        <w:rPr>
          <w:rFonts w:ascii="Arial" w:cs="Arial" w:eastAsia="Arial" w:hAnsi="Arial"/>
          <w:sz w:val="21"/>
          <w:szCs w:val="21"/>
          <w:color w:val="FFFFFF"/>
        </w:rPr>
        <w:t>’</w:t>
      </w:r>
      <w:r>
        <w:rPr>
          <w:rFonts w:ascii="Arial" w:cs="Arial" w:eastAsia="Arial" w:hAnsi="Arial"/>
          <w:sz w:val="21"/>
          <w:szCs w:val="21"/>
          <w:b w:val="1"/>
          <w:bCs w:val="1"/>
          <w:color w:val="FFFFFF"/>
        </w:rPr>
        <w:t>s independent registered public accounting firm for the fiscal year ending December 31, 2022.</w:t>
      </w: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03" w:right="379" w:bottom="1440" w:gutter="0" w:footer="0" w:header="0"/>
        </w:sectPr>
      </w:pPr>
    </w:p>
    <w:bookmarkStart w:id="65" w:name="page66"/>
    <w:bookmarkEnd w:id="65"/>
    <w:p>
      <w:pPr>
        <w:ind w:left="340"/>
        <w:spacing w:after="0"/>
        <w:rPr>
          <w:sz w:val="20"/>
          <w:szCs w:val="20"/>
          <w:color w:val="auto"/>
        </w:rPr>
      </w:pPr>
      <w:r>
        <w:rPr>
          <w:rFonts w:ascii="Arial" w:cs="Arial" w:eastAsia="Arial" w:hAnsi="Arial"/>
          <w:sz w:val="32"/>
          <w:szCs w:val="32"/>
          <w:b w:val="1"/>
          <w:bCs w:val="1"/>
          <w:color w:val="FFFFFF"/>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50609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506095"/>
                    </a:xfrm>
                    <a:prstGeom prst="rect">
                      <a:avLst/>
                    </a:prstGeom>
                    <a:noFill/>
                  </pic:spPr>
                </pic:pic>
              </a:graphicData>
            </a:graphic>
          </wp:anchor>
        </w:drawing>
        <w:t>Voting and Meeting Information</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b w:val="1"/>
          <w:bCs w:val="1"/>
          <w:color w:val="2D53A6"/>
        </w:rPr>
        <w:t>General Information</w:t>
      </w:r>
    </w:p>
    <w:p>
      <w:pPr>
        <w:spacing w:after="0" w:line="219"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 xml:space="preserve">This proxy statement is furnished in connection with the solicitation by the Board of Directors of Cohu, Inc., a Delaware corporation (“Cohu”), of your proxy for use at the 2022 Annual Meeting of Stockholders to be held on Wednesday, May 4, 2022, at 1:00 p.m. Pacific Time (the “Meeting”). The Meeting will be a completely ‘‘virtual meeting’’ of stockholders. You will be able to attend the Meeting as well as vote and submit your questions during the live webcast of the Meeting by visiting </w:t>
      </w:r>
      <w:r>
        <w:rPr>
          <w:rFonts w:ascii="Arial" w:cs="Arial" w:eastAsia="Arial" w:hAnsi="Arial"/>
          <w:sz w:val="17"/>
          <w:szCs w:val="17"/>
          <w:u w:val="single" w:color="auto"/>
          <w:color w:val="auto"/>
        </w:rPr>
        <w:t>www.virtualshareholdermeeting.com/COHU2022</w:t>
      </w:r>
      <w:r>
        <w:rPr>
          <w:rFonts w:ascii="Arial" w:cs="Arial" w:eastAsia="Arial" w:hAnsi="Arial"/>
          <w:sz w:val="17"/>
          <w:szCs w:val="17"/>
          <w:color w:val="auto"/>
        </w:rPr>
        <w:t xml:space="preserve"> and entering the 16-digit control number included in our notice of Internet availability of the proxy materials, on your proxy card or in the instructions that accompanied your proxy materials.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2D53A6"/>
        </w:rPr>
        <w:t>Electronic Distribution</w:t>
      </w:r>
    </w:p>
    <w:p>
      <w:pPr>
        <w:spacing w:after="0" w:line="225"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We are furnishing our proxy materials to our stockholders over the internet using “Notice and Access” delivery. Electronic delivery is faster, convenient, economical and more environmentally friendly. On or about March 25, 2022 we expect to mail to our stockholders a Notice of Internet Availability of Proxy Materials containing instructions on how to access our proxy materials and the Cohu 2021 Annual Report via the Internet and how to vote your proxy. If you received the Notice of Internet Availability of Proxy Materials, you will not automatically receive a printed copy of Cohu’s proxy materials in the mail. If you would like to receive a printed copy, please follow the instructions provided in the Notice of Internet Availability of Proxy Materials.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2D53A6"/>
        </w:rPr>
        <w:t>Voting</w:t>
      </w:r>
    </w:p>
    <w:p>
      <w:pPr>
        <w:spacing w:after="0" w:line="225"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On March 14, 2022, the record date fixed by our Board of Directors (the “Board”), Cohu had outstanding 48,563,962, shares of common stock. Only stockholders of record as of the close of business on March 14, 2022, will be entitled to vote at the Meeting and any adjournment thereof. We encourage you to read the entire Proxy Statement for more information prior to voting.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2D53A6"/>
        </w:rPr>
        <w:t>Voting Procedures</w:t>
      </w:r>
    </w:p>
    <w:p>
      <w:pPr>
        <w:spacing w:after="0" w:line="22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As a stockholder of Cohu, you have a right to vote on certain business matters affecting Cohu. This proxy statement relates only to the solicitation of proxies from the stockholders with respect to the election of the two (2) Class 3 directors nominated by the Board, an advisory vote on named executive officer compensation, to approve an amendment to our Amended and Restated Certificate of Incorporation to increase the number of authorized shares of our common stock, and ratification of the appointment of Cohu’s independent registered public accounting firm. Each share of Cohu’s common stock you own entitles you to one vote for each proposal.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2D53A6"/>
        </w:rPr>
        <w:t>Methods of Voting</w:t>
      </w:r>
    </w:p>
    <w:p>
      <w:pPr>
        <w:spacing w:after="0" w:line="225"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If you are a Cohu stockholder of record, you may vote by following the Internet voting instructions on your Notice of Internet Availability of Proxy Materials. If you received a Notice of Internet Availability of Proxy Materials on how to access the proxy materials via the Internet, a proxy card was not sent to you, and you may vote only via the Internet, unless you have requested a paper copy of the proxy materials, in which case, you may also vote by telephone or by signing, dating and returning your proxy card. Shares cannot be voted by marking, writing on and returning the Notice of Internet Availability. Any Notices of Internet Availability that are returned will not be counted as votes. Instructions for requesting a paper copy of the proxy materials are set forth on the Notice of Internet Availability.</w:t>
      </w:r>
    </w:p>
    <w:p>
      <w:pPr>
        <w:spacing w:after="0" w:line="19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If you are a stockholder of record and return a signed proxy card but do not specify how you want to vote your shares, your shares will be voted FOR the named nominees for Class 3 director, FOR the advisory vote to approve named executive officer compensation, FOR the approval of the amendment to our Amended and Restated Certificate of Incorporation to increase the number of authorized shares of our common stock, and FOR the ratification of the appointment of Ernst &amp; Young LLP as Cohu’s independent registered public accounting firm for fiscal year 2022, and in the discretion of the proxies (as defined below) as to other matters that may properly come before the Meeting.</w:t>
      </w:r>
    </w:p>
    <w:p>
      <w:pPr>
        <w:spacing w:after="0" w:line="188"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If you are a beneficial owner of shares, your broker, bank, trustee, or other nominee may make telephone or Internet voting available to you. The availability of telephone and Internet voting for beneficial owners will depend on the voting processes of your broker, bank, trustee, or other nominee. Therefore, we recommend that you follow the voting instructions in the materials you receive.</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73" w:right="379" w:bottom="1440" w:gutter="0" w:footer="0" w:header="0"/>
        </w:sectPr>
      </w:pPr>
    </w:p>
    <w:bookmarkStart w:id="66" w:name="page67"/>
    <w:bookmarkEnd w:id="66"/>
    <w:p>
      <w:pPr>
        <w:ind w:right="280"/>
        <w:spacing w:after="0" w:line="282" w:lineRule="auto"/>
        <w:rPr>
          <w:sz w:val="20"/>
          <w:szCs w:val="20"/>
          <w:color w:val="auto"/>
        </w:rPr>
      </w:pPr>
      <w:r>
        <w:rPr>
          <w:rFonts w:ascii="Arial" w:cs="Arial" w:eastAsia="Arial" w:hAnsi="Arial"/>
          <w:sz w:val="18"/>
          <w:szCs w:val="18"/>
          <w:b w:val="1"/>
          <w:bCs w:val="1"/>
          <w:color w:val="auto"/>
        </w:rPr>
        <w:t>Voting over the Internet</w:t>
      </w:r>
      <w:r>
        <w:rPr>
          <w:rFonts w:ascii="Arial" w:cs="Arial" w:eastAsia="Arial" w:hAnsi="Arial"/>
          <w:sz w:val="18"/>
          <w:szCs w:val="18"/>
          <w:color w:val="auto"/>
        </w:rPr>
        <w:t>. If you are a stockholder of record, to vote over the Internet, please follow the instructions included on your Notice of Internet</w:t>
      </w:r>
      <w:r>
        <w:rPr>
          <w:rFonts w:ascii="Arial" w:cs="Arial" w:eastAsia="Arial" w:hAnsi="Arial"/>
          <w:sz w:val="18"/>
          <w:szCs w:val="18"/>
          <w:b w:val="1"/>
          <w:bCs w:val="1"/>
          <w:color w:val="auto"/>
        </w:rPr>
        <w:t xml:space="preserve"> </w:t>
      </w:r>
      <w:r>
        <w:rPr>
          <w:rFonts w:ascii="Arial" w:cs="Arial" w:eastAsia="Arial" w:hAnsi="Arial"/>
          <w:sz w:val="18"/>
          <w:szCs w:val="18"/>
          <w:color w:val="auto"/>
        </w:rPr>
        <w:t>Availability of Proxy Materials.</w:t>
      </w:r>
    </w:p>
    <w:p>
      <w:pPr>
        <w:spacing w:after="0" w:line="162" w:lineRule="exact"/>
        <w:rPr>
          <w:sz w:val="20"/>
          <w:szCs w:val="20"/>
          <w:color w:val="auto"/>
        </w:rPr>
      </w:pPr>
    </w:p>
    <w:p>
      <w:pPr>
        <w:ind w:right="20"/>
        <w:spacing w:after="0" w:line="277" w:lineRule="auto"/>
        <w:rPr>
          <w:sz w:val="20"/>
          <w:szCs w:val="20"/>
          <w:color w:val="auto"/>
        </w:rPr>
      </w:pPr>
      <w:r>
        <w:rPr>
          <w:rFonts w:ascii="Arial" w:cs="Arial" w:eastAsia="Arial" w:hAnsi="Arial"/>
          <w:sz w:val="17"/>
          <w:szCs w:val="17"/>
          <w:b w:val="1"/>
          <w:bCs w:val="1"/>
          <w:color w:val="auto"/>
        </w:rPr>
        <w:t>Voting by Mai</w:t>
      </w:r>
      <w:r>
        <w:rPr>
          <w:rFonts w:ascii="Arial" w:cs="Arial" w:eastAsia="Arial" w:hAnsi="Arial"/>
          <w:sz w:val="17"/>
          <w:szCs w:val="17"/>
          <w:color w:val="auto"/>
        </w:rPr>
        <w:t>l. If you are a stockholder of record and have requested a paper copy of the proxy materials you may vote by mail by signing and returning</w:t>
      </w:r>
      <w:r>
        <w:rPr>
          <w:rFonts w:ascii="Arial" w:cs="Arial" w:eastAsia="Arial" w:hAnsi="Arial"/>
          <w:sz w:val="17"/>
          <w:szCs w:val="17"/>
          <w:b w:val="1"/>
          <w:bCs w:val="1"/>
          <w:color w:val="auto"/>
        </w:rPr>
        <w:t xml:space="preserve"> </w:t>
      </w:r>
      <w:r>
        <w:rPr>
          <w:rFonts w:ascii="Arial" w:cs="Arial" w:eastAsia="Arial" w:hAnsi="Arial"/>
          <w:sz w:val="17"/>
          <w:szCs w:val="17"/>
          <w:color w:val="auto"/>
        </w:rPr>
        <w:t>the proxy card in the prepaid and addressed envelope provided. If you do that, you are authorizing the individuals named on the proxy card (known as “proxies”) to vote your shares at the Meeting in the manner you indicate. We encourage you to sign and return the proxy card even if you plan to attend the Meeting. In this way, your shares will be voted if you are unable to attend the Meeting. If you receive more than one proxy card, it is an indication that your shares are held in multiple accounts. Please sign and return all proxy cards to ensure that all of your shares are voted.</w:t>
      </w:r>
    </w:p>
    <w:p>
      <w:pPr>
        <w:spacing w:after="0" w:line="168"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Voting by Telephone</w:t>
      </w:r>
      <w:r>
        <w:rPr>
          <w:rFonts w:ascii="Arial" w:cs="Arial" w:eastAsia="Arial" w:hAnsi="Arial"/>
          <w:sz w:val="18"/>
          <w:szCs w:val="18"/>
          <w:color w:val="auto"/>
        </w:rPr>
        <w:t>. If you have requested a paper copy of the proxy materials you may vote by telephone by following the instructions included on your</w:t>
      </w:r>
      <w:r>
        <w:rPr>
          <w:rFonts w:ascii="Arial" w:cs="Arial" w:eastAsia="Arial" w:hAnsi="Arial"/>
          <w:sz w:val="18"/>
          <w:szCs w:val="18"/>
          <w:b w:val="1"/>
          <w:bCs w:val="1"/>
          <w:color w:val="auto"/>
        </w:rPr>
        <w:t xml:space="preserve"> </w:t>
      </w:r>
      <w:r>
        <w:rPr>
          <w:rFonts w:ascii="Arial" w:cs="Arial" w:eastAsia="Arial" w:hAnsi="Arial"/>
          <w:sz w:val="18"/>
          <w:szCs w:val="18"/>
          <w:color w:val="auto"/>
        </w:rPr>
        <w:t>proxy card. If you vote by telephone, you do not need to complete and mail your proxy card.</w:t>
      </w:r>
    </w:p>
    <w:p>
      <w:pPr>
        <w:spacing w:after="0" w:line="162" w:lineRule="exact"/>
        <w:rPr>
          <w:sz w:val="20"/>
          <w:szCs w:val="20"/>
          <w:color w:val="auto"/>
        </w:rPr>
      </w:pPr>
    </w:p>
    <w:p>
      <w:pPr>
        <w:spacing w:after="0" w:line="272" w:lineRule="auto"/>
        <w:rPr>
          <w:sz w:val="20"/>
          <w:szCs w:val="20"/>
          <w:color w:val="auto"/>
        </w:rPr>
      </w:pPr>
      <w:r>
        <w:rPr>
          <w:rFonts w:ascii="Arial" w:cs="Arial" w:eastAsia="Arial" w:hAnsi="Arial"/>
          <w:sz w:val="17"/>
          <w:szCs w:val="17"/>
          <w:b w:val="1"/>
          <w:bCs w:val="1"/>
          <w:color w:val="auto"/>
        </w:rPr>
        <w:t>Voting in Person at the Virtual Meeting</w:t>
      </w:r>
      <w:r>
        <w:rPr>
          <w:rFonts w:ascii="Arial" w:cs="Arial" w:eastAsia="Arial" w:hAnsi="Arial"/>
          <w:sz w:val="17"/>
          <w:szCs w:val="17"/>
          <w:color w:val="auto"/>
        </w:rPr>
        <w:t>. The Meeting will be held entirely online to allow for greater participation. Stockholders may participate in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Meeting by visiting the following website: </w:t>
      </w:r>
      <w:r>
        <w:rPr>
          <w:rFonts w:ascii="Arial" w:cs="Arial" w:eastAsia="Arial" w:hAnsi="Arial"/>
          <w:sz w:val="17"/>
          <w:szCs w:val="17"/>
          <w:u w:val="single" w:color="auto"/>
          <w:color w:val="auto"/>
        </w:rPr>
        <w:t>www.virtualshareholdermeeting.com/ COHU2022</w:t>
      </w:r>
      <w:r>
        <w:rPr>
          <w:rFonts w:ascii="Arial" w:cs="Arial" w:eastAsia="Arial" w:hAnsi="Arial"/>
          <w:sz w:val="17"/>
          <w:szCs w:val="17"/>
          <w:color w:val="auto"/>
        </w:rPr>
        <w:t>. To participate in the Meeting, you will need the 16-digit control number included on your Notice, on your proxy card or on the instructions that accompanied your proxy materials. Shares held in your name as the stockholder of record may be voted electronically during the Meeting. Shares for which you are the beneficial owner but not the stockholder of record also may be voted electronically during the Meeting; however, you may not vote beneficially held shares electronically at the Meeting unless you receive a valid proxy from your bank, brokerage firm, broker dealer or other nominee holder and those institutions will likely require your instructions to be submitted before the deadline listed above. Even if you plan to attend the Meeting, we recommend that you vote your shares in advance, so that your vote will be counted if you later decide not to attend the Meeting.</w:t>
      </w:r>
    </w:p>
    <w:p>
      <w:pPr>
        <w:spacing w:after="0" w:line="172" w:lineRule="exact"/>
        <w:rPr>
          <w:sz w:val="20"/>
          <w:szCs w:val="20"/>
          <w:color w:val="auto"/>
        </w:rPr>
      </w:pPr>
    </w:p>
    <w:p>
      <w:pPr>
        <w:jc w:val="both"/>
        <w:ind w:right="40"/>
        <w:spacing w:after="0" w:line="303" w:lineRule="auto"/>
        <w:rPr>
          <w:sz w:val="20"/>
          <w:szCs w:val="20"/>
          <w:color w:val="auto"/>
        </w:rPr>
      </w:pPr>
      <w:r>
        <w:rPr>
          <w:rFonts w:ascii="Arial" w:cs="Arial" w:eastAsia="Arial" w:hAnsi="Arial"/>
          <w:sz w:val="16"/>
          <w:szCs w:val="16"/>
          <w:b w:val="1"/>
          <w:bCs w:val="1"/>
          <w:color w:val="auto"/>
        </w:rPr>
        <w:t>Log in Instructions</w:t>
      </w:r>
      <w:r>
        <w:rPr>
          <w:rFonts w:ascii="Arial" w:cs="Arial" w:eastAsia="Arial" w:hAnsi="Arial"/>
          <w:sz w:val="16"/>
          <w:szCs w:val="16"/>
          <w:color w:val="auto"/>
        </w:rPr>
        <w:t>. To attend the Meeting, please log in at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www.virtualshareholdermeeting.com/COHU2022</w:t>
      </w:r>
      <w:r>
        <w:rPr>
          <w:rFonts w:ascii="Arial" w:cs="Arial" w:eastAsia="Arial" w:hAnsi="Arial"/>
          <w:sz w:val="16"/>
          <w:szCs w:val="16"/>
          <w:color w:val="auto"/>
        </w:rPr>
        <w:t>. Stockholders as of the record date will need</w:t>
      </w:r>
      <w:r>
        <w:rPr>
          <w:rFonts w:ascii="Arial" w:cs="Arial" w:eastAsia="Arial" w:hAnsi="Arial"/>
          <w:sz w:val="16"/>
          <w:szCs w:val="16"/>
          <w:b w:val="1"/>
          <w:bCs w:val="1"/>
          <w:color w:val="auto"/>
        </w:rPr>
        <w:t xml:space="preserve"> </w:t>
      </w:r>
      <w:r>
        <w:rPr>
          <w:rFonts w:ascii="Arial" w:cs="Arial" w:eastAsia="Arial" w:hAnsi="Arial"/>
          <w:sz w:val="16"/>
          <w:szCs w:val="16"/>
          <w:color w:val="auto"/>
        </w:rPr>
        <w:t>their unique 16-digit control number, which appears on the Notice and the instructions that accompanied the proxy materials, in order to be able to be able to submit a question or vote at the Meeting. If you are the beneficial owner of shares held in “street name” by a bank, broker or other holder of record, you may gain access to the Meeting by following the instructions in the voting instruction card provided by your bank, broker or other nominee.</w:t>
      </w:r>
    </w:p>
    <w:p>
      <w:pPr>
        <w:spacing w:after="0" w:line="151"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b w:val="1"/>
          <w:bCs w:val="1"/>
          <w:color w:val="auto"/>
        </w:rPr>
        <w:t>Submitting Questions Prior To or at the Meeting</w:t>
      </w:r>
      <w:r>
        <w:rPr>
          <w:rFonts w:ascii="Arial" w:cs="Arial" w:eastAsia="Arial" w:hAnsi="Arial"/>
          <w:sz w:val="18"/>
          <w:szCs w:val="18"/>
          <w:color w:val="auto"/>
        </w:rPr>
        <w:t>. If you would like to submit a question to be addressed during the question and answer portion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Meeting, you may do so in advance at </w:t>
      </w:r>
      <w:r>
        <w:rPr>
          <w:rFonts w:ascii="Arial" w:cs="Arial" w:eastAsia="Arial" w:hAnsi="Arial"/>
          <w:sz w:val="18"/>
          <w:szCs w:val="18"/>
          <w:u w:val="single" w:color="auto"/>
          <w:color w:val="auto"/>
        </w:rPr>
        <w:t>www.virtualshareholdermeeting.com/ COHU2022</w:t>
      </w:r>
      <w:r>
        <w:rPr>
          <w:rFonts w:ascii="Arial" w:cs="Arial" w:eastAsia="Arial" w:hAnsi="Arial"/>
          <w:sz w:val="18"/>
          <w:szCs w:val="18"/>
          <w:color w:val="auto"/>
        </w:rPr>
        <w:t>, or you may type it into the dialog box provided at any point during the Meeting (until the floor is closed to questions). We intend to answer questions submitted prior to or during the Meeting that are pertinent to the Cohu and the Meeting matters, as time permits. Questions and answers will be grouped by topic and substantially similar questions will be grouped and answered once.</w:t>
      </w:r>
    </w:p>
    <w:p>
      <w:pPr>
        <w:spacing w:after="0" w:line="183" w:lineRule="exact"/>
        <w:rPr>
          <w:sz w:val="20"/>
          <w:szCs w:val="20"/>
          <w:color w:val="auto"/>
        </w:rPr>
      </w:pPr>
    </w:p>
    <w:p>
      <w:pPr>
        <w:ind w:right="60"/>
        <w:spacing w:after="0" w:line="289" w:lineRule="auto"/>
        <w:rPr>
          <w:sz w:val="20"/>
          <w:szCs w:val="20"/>
          <w:color w:val="auto"/>
        </w:rPr>
      </w:pPr>
      <w:r>
        <w:rPr>
          <w:rFonts w:ascii="Arial" w:cs="Arial" w:eastAsia="Arial" w:hAnsi="Arial"/>
          <w:sz w:val="17"/>
          <w:szCs w:val="17"/>
          <w:b w:val="1"/>
          <w:bCs w:val="1"/>
          <w:color w:val="auto"/>
        </w:rPr>
        <w:t>Technical Assistance</w:t>
      </w:r>
      <w:r>
        <w:rPr>
          <w:rFonts w:ascii="Arial" w:cs="Arial" w:eastAsia="Arial" w:hAnsi="Arial"/>
          <w:sz w:val="17"/>
          <w:szCs w:val="17"/>
          <w:color w:val="auto"/>
        </w:rPr>
        <w:t>. Beginning approximately thirty minutes prior to the start of and during the Meeting, we will have a support team ready to assist</w:t>
      </w:r>
      <w:r>
        <w:rPr>
          <w:rFonts w:ascii="Arial" w:cs="Arial" w:eastAsia="Arial" w:hAnsi="Arial"/>
          <w:sz w:val="17"/>
          <w:szCs w:val="17"/>
          <w:b w:val="1"/>
          <w:bCs w:val="1"/>
          <w:color w:val="auto"/>
        </w:rPr>
        <w:t xml:space="preserve"> </w:t>
      </w:r>
      <w:r>
        <w:rPr>
          <w:rFonts w:ascii="Arial" w:cs="Arial" w:eastAsia="Arial" w:hAnsi="Arial"/>
          <w:sz w:val="17"/>
          <w:szCs w:val="17"/>
          <w:color w:val="auto"/>
        </w:rPr>
        <w:t>stockholders with any technical difficulties they may have accessing or hearing the Meeting. If you encounter any difficulties accessing the Meeting during the check-in or during the Meeting, please call the technical support number that will be posted on the Meeting website log-in page.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2D53A6"/>
        </w:rPr>
        <w:t>Revoking Your Proxy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You may revoke your proxy at any time before it is voted at the Meeting. In order to do this as a stockholder of record, you must:</w:t>
      </w:r>
    </w:p>
    <w:p>
      <w:pPr>
        <w:spacing w:after="0" w:line="225"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Enter a new vote over the Internet, by telephone or by signing and returning another proxy card bearing a later date;</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Provide written notice of the revocation to Cohu’s Secretary; or</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Attend the Meeting and vote in person.</w:t>
      </w:r>
    </w:p>
    <w:p>
      <w:pPr>
        <w:spacing w:after="0" w:line="25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If you are the beneficial owner of your shares (shares registered in the name of a broker, bank or other nominee), you must contact the broker, bank or other nominee holding your shares and follow their instructions to change your vote or revoke your proxy.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color w:val="2D53A6"/>
        </w:rPr>
        <w:t>Quorum Requirement</w:t>
      </w:r>
    </w:p>
    <w:p>
      <w:pPr>
        <w:spacing w:after="0" w:line="225" w:lineRule="exact"/>
        <w:rPr>
          <w:sz w:val="20"/>
          <w:szCs w:val="20"/>
          <w:color w:val="auto"/>
        </w:rPr>
      </w:pPr>
    </w:p>
    <w:p>
      <w:pPr>
        <w:jc w:val="both"/>
        <w:ind w:right="80"/>
        <w:spacing w:after="0" w:line="279" w:lineRule="auto"/>
        <w:rPr>
          <w:sz w:val="20"/>
          <w:szCs w:val="20"/>
          <w:color w:val="auto"/>
        </w:rPr>
      </w:pPr>
      <w:r>
        <w:rPr>
          <w:rFonts w:ascii="Arial" w:cs="Arial" w:eastAsia="Arial" w:hAnsi="Arial"/>
          <w:sz w:val="17"/>
          <w:szCs w:val="17"/>
          <w:color w:val="auto"/>
        </w:rPr>
        <w:t>A quorum, which is a majority of the outstanding shares entitled to vote as of the record date, March 14, 2022, must be present in person or represented by proxy in order to hold the Meeting and to conduct business. Your shares are counted as being present at the Meeting if you appear in person at the Meeting or if you vote your shares over the Internet, by telephone or by submitting a properly executed proxy card. Proxies marked as abstaining on any matter and broker non- votes (as described below) will be counted as present for the purpose of determining a quorum.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2D53A6"/>
        </w:rPr>
        <w:t>Votes Required for the Proposals</w:t>
      </w:r>
    </w:p>
    <w:p>
      <w:pPr>
        <w:spacing w:after="0" w:line="225"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For Proposal No. 1, Cohu utilizes a majority voting standard in uncontested elections of directors. In an uncontested election, a director nominee must receive a majority of the votes cast for such nominee’s election (meaning the number of shares voted “For” a nominee must exceed the number of shares voted “Against” such nominee) in order to be elected. If the number of shares voted “Against” a director exceeds the number of shares voted “For” such director in any election, then the director nominee(s) would be requested to submit a letter of resignation and the Board would decide, through a process managed by the Nominating and Governance Committee, whether to accept the resignation. A contested election will generally include any situation in which Cohu receives a notice that a stockholder has nominated a person for election to the Board at a meeting of stockholders. A plurality voting standard continues to apply in contested director elections.</w:t>
      </w:r>
    </w:p>
    <w:p>
      <w:pPr>
        <w:spacing w:after="0" w:line="19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affirmative vote of a majority of the shares of Cohu common stock cast at the Meeting is required for approval of the advisory vote on named executive compensation (Proposal No. 2), and the ratification of the appointment of Cohu’s independent registered public accounting firm (Proposal No. 4). The affirmative vote of a majority of the issued and outstanding shares of the company’s common stock as of the record date is required to approve Proposal No. 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2D53A6"/>
        </w:rPr>
        <w:t>Broker Non-Votes</w:t>
      </w:r>
    </w:p>
    <w:p>
      <w:pPr>
        <w:spacing w:after="0" w:line="22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Broker non-votes are shares held by brokers or nominees for which voting instructions have not been received from the beneficial owners or the persons entitled to vote those shares and for which the broker or nominee does not have discretionary voting power under rules applicable to broker-dealers. If your broker holds your shares in its name and you do not instruct your broker how to vote, your broker will nevertheless have discretion to vote your shares on “routine” matters, which include the approval of an amendment to our Amended and Restated Certificate of Incorporation to increase the number of authorized shares of our common stock (Proposal No. 3), and the ratification of the appointment of Cohu’s independent registered public accounting firm (Proposal No. 4). Your broker will not have discretion to vote on any of the other matters, which are deemed “non-routine” matters, absent direction from you. Accordingly, shares subject to a broker “non-vote” will not be considered entitled to vote with respect to Proposals No. 1 and No. 2 and will not affect the outcome of these proposals. We strongly encourage you to provide instructions to your broker regarding the voting of your shares.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2D53A6"/>
        </w:rPr>
        <w:t>Abstentions</w:t>
      </w:r>
    </w:p>
    <w:p>
      <w:pPr>
        <w:spacing w:after="0" w:line="225"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Abstentions will have no effect on the election of directors (Proposal No. 1). Abstentions will be treated as being present and entitled to vote on the approval of the advisory vote on named executive compensation (Proposal No. 2), the approval of an amendment to our Amended and Restated Certificate of Incorporation to increase the number of authorized shares of our common stock (Proposal No. 3), and the ratification of the appointment of Cohu’s independent registered public accounting firm (Proposal No. 4) and, therefore, will have the effect of votes “Against” on Proposals 2, 3, and 4.</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2D53A6"/>
        </w:rPr>
        <w:t>Voting Confidentiality</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Proxies, ballots and voting tabulations are handled on a confidential basis to protect your voting privacy. Such information will not be disclosed except as required by law.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2D53A6"/>
        </w:rPr>
        <w:t>Voting Results</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 xml:space="preserve">Final voting results will be announced at the Meeting and will be posted shortly after the Meeting on our website at </w:t>
      </w:r>
      <w:r>
        <w:rPr>
          <w:rFonts w:ascii="Arial" w:cs="Arial" w:eastAsia="Arial" w:hAnsi="Arial"/>
          <w:sz w:val="18"/>
          <w:szCs w:val="18"/>
          <w:u w:val="single" w:color="auto"/>
          <w:color w:val="auto"/>
        </w:rPr>
        <w:t>www.cohu.com</w:t>
      </w:r>
      <w:r>
        <w:rPr>
          <w:rFonts w:ascii="Arial" w:cs="Arial" w:eastAsia="Arial" w:hAnsi="Arial"/>
          <w:sz w:val="18"/>
          <w:szCs w:val="18"/>
          <w:color w:val="auto"/>
        </w:rPr>
        <w:t>. Voting results will also be published in a Current Report on Form 8-K to be filed with the Securities and Exchange Commission (“SEC”) within four business days of the Meeting. After the reports are filed, you may obtain a copy by:</w:t>
      </w:r>
    </w:p>
    <w:p>
      <w:pPr>
        <w:spacing w:after="0" w:line="184"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Visiting our website at </w:t>
      </w:r>
      <w:r>
        <w:rPr>
          <w:rFonts w:ascii="Arial" w:cs="Arial" w:eastAsia="Arial" w:hAnsi="Arial"/>
          <w:sz w:val="18"/>
          <w:szCs w:val="18"/>
          <w:u w:val="single" w:color="auto"/>
          <w:color w:val="auto"/>
        </w:rPr>
        <w:t>www.cohu.com</w:t>
      </w:r>
      <w:r>
        <w:rPr>
          <w:rFonts w:ascii="Arial" w:cs="Arial" w:eastAsia="Arial" w:hAnsi="Arial"/>
          <w:sz w:val="18"/>
          <w:szCs w:val="18"/>
          <w:color w:val="auto"/>
        </w:rPr>
        <w:t>;</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Contacting our Investor Relations department at (858) 848-8106; or</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Viewing our Form 8-K on the SEC’s website at </w:t>
      </w:r>
      <w:r>
        <w:rPr>
          <w:rFonts w:ascii="Arial" w:cs="Arial" w:eastAsia="Arial" w:hAnsi="Arial"/>
          <w:sz w:val="18"/>
          <w:szCs w:val="18"/>
          <w:u w:val="single" w:color="auto"/>
          <w:color w:val="auto"/>
        </w:rPr>
        <w:t>www.sec.gov</w:t>
      </w:r>
      <w:r>
        <w:rPr>
          <w:rFonts w:ascii="Arial" w:cs="Arial" w:eastAsia="Arial" w:hAnsi="Arial"/>
          <w:sz w:val="18"/>
          <w:szCs w:val="18"/>
          <w:color w:val="auto"/>
        </w:rPr>
        <w:t>.</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color w:val="2D53A6"/>
        </w:rPr>
        <w:t>Proxy Solicitation Costs</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Cohu will bear the entire cost of proxy solicitation, including the preparation, assembly, printing, mailing and distribution of the proxy materials. Cohu’s officers, directors and regular employees will not receive additional compensation for such proxy solicitation services. Cohu may engage, as necessary, an outside solicitor in connection with this proxy solicitation. We will reimburse brokerage firms and other custodians for their reasonable out-of-pocket expenses for forwarding the proxy materials to you.</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2D53A6"/>
        </w:rPr>
        <w:t>Householding</w:t>
      </w:r>
    </w:p>
    <w:p>
      <w:pPr>
        <w:spacing w:after="0" w:line="225"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Under “householding,” stockholders of record who have the same address and last name will receive only one copy of the Notice of Internet Availability of Proxy Materials unless one or more of these stockholders notifies us that they wish to receive individual copies. Stockholders who participate in householding will continue to be able to request and receive separate proxy cards. This procedure will reduce our printing costs and postage fees.</w:t>
      </w:r>
    </w:p>
    <w:p>
      <w:pPr>
        <w:spacing w:after="0" w:line="14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If you are eligible for householding but you and other stockholders of record with whom you share an address received multiple copies of the Notice of Internet Availability of Proxy Materials, or if you hold stock in more than one account, and, in either case, you wish to receive only a single copy of the Notice for your household, please contact: Corporate Secretary, Cohu, Inc., 12367 Crosthwaite Circle, Poway, CA 92064-6817 or by telephone at 858-848-8119. If you participate in householding and wish to receive a separate copy of the Notice of Internet Availability of Proxy Materials, or if you do not wish to continue to participate in householding and prefer to receive separate copies in the future, please contact Cohu’s Corporate Secretary as indicated above. Upon request, we will promptly deliver a separate copy of the Notice and, if applicable, the proxy materials to any stockholder at a shared address to which we delivered a single copy of any of these documents. Beneficial owners can request information about householding from their broker, banks, trustee, or other nominee.</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jc w:val="center"/>
        <w:ind w:left="360" w:right="240"/>
        <w:spacing w:after="0" w:line="282" w:lineRule="auto"/>
        <w:rPr>
          <w:sz w:val="20"/>
          <w:szCs w:val="20"/>
          <w:color w:val="auto"/>
        </w:rPr>
      </w:pPr>
      <w:r>
        <w:rPr>
          <w:rFonts w:ascii="Arial" w:cs="Arial" w:eastAsia="Arial" w:hAnsi="Arial"/>
          <w:sz w:val="18"/>
          <w:szCs w:val="18"/>
          <w:b w:val="1"/>
          <w:bCs w:val="1"/>
          <w:color w:val="auto"/>
        </w:rPr>
        <w:t>IMPORTANT NOTICE REGARDING THE AVAILABILITY OF PROXY MATERIALS FOR THE STOCKHOLDER MEETING TO BE HELD ON MAY 4, 2022</w:t>
      </w:r>
    </w:p>
    <w:p>
      <w:pPr>
        <w:spacing w:after="0" w:line="16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This proxy statement and Cohu’s Fiscal Year 2021 Annual Report are both</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 xml:space="preserve">available at </w:t>
      </w:r>
      <w:r>
        <w:rPr>
          <w:rFonts w:ascii="Arial" w:cs="Arial" w:eastAsia="Arial" w:hAnsi="Arial"/>
          <w:sz w:val="18"/>
          <w:szCs w:val="18"/>
          <w:b w:val="1"/>
          <w:bCs w:val="1"/>
          <w:u w:val="single" w:color="auto"/>
          <w:color w:val="auto"/>
        </w:rPr>
        <w:t>http://materials.proxyvote.com/192576</w:t>
      </w:r>
      <w:r>
        <w:rPr>
          <w:rFonts w:ascii="Arial" w:cs="Arial" w:eastAsia="Arial" w:hAnsi="Arial"/>
          <w:sz w:val="18"/>
          <w:szCs w:val="18"/>
          <w:b w:val="1"/>
          <w:bCs w:val="1"/>
          <w:color w:val="auto"/>
        </w:rPr>
        <w:t xml:space="preserve"> and </w:t>
      </w:r>
      <w:r>
        <w:rPr>
          <w:rFonts w:ascii="Arial" w:cs="Arial" w:eastAsia="Arial" w:hAnsi="Arial"/>
          <w:sz w:val="18"/>
          <w:szCs w:val="18"/>
          <w:b w:val="1"/>
          <w:bCs w:val="1"/>
          <w:u w:val="single" w:color="auto"/>
          <w:color w:val="auto"/>
        </w:rPr>
        <w:t>www.cohu.com</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69" w:name="page70"/>
    <w:bookmarkEnd w:id="69"/>
    <w:p>
      <w:pPr>
        <w:ind w:left="340"/>
        <w:spacing w:after="0"/>
        <w:rPr>
          <w:sz w:val="20"/>
          <w:szCs w:val="20"/>
          <w:color w:val="auto"/>
        </w:rPr>
      </w:pPr>
      <w:r>
        <w:rPr>
          <w:rFonts w:ascii="Arial" w:cs="Arial" w:eastAsia="Arial" w:hAnsi="Arial"/>
          <w:sz w:val="32"/>
          <w:szCs w:val="32"/>
          <w:b w:val="1"/>
          <w:bCs w:val="1"/>
          <w:color w:val="FFFFFF"/>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5143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514350"/>
                    </a:xfrm>
                    <a:prstGeom prst="rect">
                      <a:avLst/>
                    </a:prstGeom>
                    <a:noFill/>
                  </pic:spPr>
                </pic:pic>
              </a:graphicData>
            </a:graphic>
          </wp:anchor>
        </w:drawing>
        <w:t>Appendices</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Appendix A</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2D53A6"/>
        </w:rPr>
        <w:t>Non-GAAP Financial Measures</w:t>
      </w:r>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This Proxy Statement includes references to non-GAAP Net Income, EPS, Gross Profit and Pre-tax Income. These financial measures differ from such figures prepared under generally accepted accounting principles (GAAP) by adjusting Cohu’s actual results prepared under GAAP to exclude charges and the related income tax effect for: share-based compensation, the amortization of acquired intangible assets, restructuring costs, manufacturing transition and severance costs, acquisition-related costs and associated professional fees, fair value adjustment to contingent consideration, reduction of indemnification receivable, amortization of favorable/unfavorable lease adjustments and purchase accounting inventory step-up included in cost of sales. Reconciliations of GAAP to non-GAAP amounts for the periods presented herein are provided below and should be considered together with the Condensed Consolidated Statements of Income. Human Resources and the Compensation Committee utilized these non-GAAP measure in evaluating compensation decisions in 2021 to benchmark compensation decisions based on measures utilized by management and the Board in evaluating Cohu’s performance.</w:t>
      </w:r>
    </w:p>
    <w:p>
      <w:pPr>
        <w:spacing w:after="0" w:line="16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These non-GAAP measures are not meant as a substitute for GAAP but are included for informational and comparative purposes. Cohu’s management believes that this information can assist investors in evaluating Cohu’s operational trends, financial performance, and cash generating capacity. Management believes these non-GAAP measures allow investors to evaluate Cohu’s financial performance using some of the same measures as management. However, the non-GAAP financial measures should not be regarded as a replacement for (or superior to) corresponding, similarly captioned, GAAP measures.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these non-GAAP measures to GAAP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4484370</wp:posOffset>
            </wp:positionH>
            <wp:positionV relativeFrom="paragraph">
              <wp:posOffset>139065</wp:posOffset>
            </wp:positionV>
            <wp:extent cx="34290" cy="3086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4290" cy="308610"/>
                    </a:xfrm>
                    <a:prstGeom prst="rect">
                      <a:avLst/>
                    </a:prstGeom>
                    <a:noFill/>
                  </pic:spPr>
                </pic:pic>
              </a:graphicData>
            </a:graphic>
          </wp:anchor>
        </w:drawing>
        <w:drawing>
          <wp:anchor simplePos="0" relativeHeight="251657728" behindDoc="1" locked="0" layoutInCell="0" allowOverlap="1">
            <wp:simplePos x="0" y="0"/>
            <wp:positionH relativeFrom="column">
              <wp:posOffset>6172835</wp:posOffset>
            </wp:positionH>
            <wp:positionV relativeFrom="paragraph">
              <wp:posOffset>139065</wp:posOffset>
            </wp:positionV>
            <wp:extent cx="33655" cy="3086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3655" cy="308610"/>
                    </a:xfrm>
                    <a:prstGeom prst="rect">
                      <a:avLst/>
                    </a:prstGeom>
                    <a:noFill/>
                  </pic:spPr>
                </pic:pic>
              </a:graphicData>
            </a:graphic>
          </wp:anchor>
        </w:drawing>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00" w:type="dxa"/>
            <w:vAlign w:val="bottom"/>
            <w:tcBorders>
              <w:right w:val="single" w:sz="8" w:color="2D53A6"/>
            </w:tcBorders>
            <w:vMerge w:val="restart"/>
            <w:shd w:val="clear" w:color="auto" w:fill="2D53A6"/>
          </w:tcPr>
          <w:p>
            <w:pPr>
              <w:spacing w:after="0"/>
              <w:rPr>
                <w:sz w:val="20"/>
                <w:szCs w:val="20"/>
                <w:color w:val="auto"/>
              </w:rPr>
            </w:pPr>
            <w:r>
              <w:rPr>
                <w:rFonts w:ascii="Arial" w:cs="Arial" w:eastAsia="Arial" w:hAnsi="Arial"/>
                <w:sz w:val="18"/>
                <w:szCs w:val="18"/>
                <w:b w:val="1"/>
                <w:bCs w:val="1"/>
                <w:color w:val="FFFFFF"/>
              </w:rPr>
              <w:t>Net income reconciliation (in thousands)</w:t>
            </w:r>
          </w:p>
        </w:tc>
        <w:tc>
          <w:tcPr>
            <w:tcW w:w="2800" w:type="dxa"/>
            <w:vAlign w:val="bottom"/>
            <w:gridSpan w:val="3"/>
            <w:shd w:val="clear" w:color="auto" w:fill="2D53A6"/>
          </w:tcPr>
          <w:p>
            <w:pPr>
              <w:jc w:val="center"/>
              <w:ind w:right="160"/>
              <w:spacing w:after="0"/>
              <w:rPr>
                <w:sz w:val="20"/>
                <w:szCs w:val="20"/>
                <w:color w:val="auto"/>
              </w:rPr>
            </w:pPr>
            <w:r>
              <w:rPr>
                <w:rFonts w:ascii="Arial" w:cs="Arial" w:eastAsia="Arial" w:hAnsi="Arial"/>
                <w:sz w:val="18"/>
                <w:szCs w:val="18"/>
                <w:b w:val="1"/>
                <w:bCs w:val="1"/>
                <w:color w:val="FFFFFF"/>
                <w:w w:val="90"/>
              </w:rPr>
              <w:t>Twelve Months Ended</w:t>
            </w:r>
          </w:p>
        </w:tc>
        <w:tc>
          <w:tcPr>
            <w:tcW w:w="1340" w:type="dxa"/>
            <w:vAlign w:val="bottom"/>
            <w:gridSpan w:val="3"/>
            <w:vMerge w:val="restart"/>
            <w:shd w:val="clear" w:color="auto" w:fill="2D53A6"/>
          </w:tcPr>
          <w:p>
            <w:pPr>
              <w:jc w:val="right"/>
              <w:ind w:right="280"/>
              <w:spacing w:after="0"/>
              <w:rPr>
                <w:sz w:val="20"/>
                <w:szCs w:val="20"/>
                <w:color w:val="auto"/>
              </w:rPr>
            </w:pPr>
            <w:r>
              <w:rPr>
                <w:rFonts w:ascii="Arial" w:cs="Arial" w:eastAsia="Arial" w:hAnsi="Arial"/>
                <w:sz w:val="18"/>
                <w:szCs w:val="18"/>
                <w:b w:val="1"/>
                <w:bCs w:val="1"/>
                <w:color w:val="FFFFFF"/>
              </w:rPr>
              <w:t>Diluted EPS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7100" w:type="dxa"/>
            <w:vAlign w:val="bottom"/>
            <w:tcBorders>
              <w:right w:val="single" w:sz="8" w:color="2D53A6"/>
            </w:tcBorders>
            <w:vMerge w:val="continue"/>
            <w:shd w:val="clear" w:color="auto" w:fill="2D53A6"/>
          </w:tcPr>
          <w:p>
            <w:pPr>
              <w:spacing w:after="0"/>
              <w:rPr>
                <w:sz w:val="10"/>
                <w:szCs w:val="10"/>
                <w:color w:val="auto"/>
              </w:rPr>
            </w:pPr>
          </w:p>
        </w:tc>
        <w:tc>
          <w:tcPr>
            <w:tcW w:w="2800" w:type="dxa"/>
            <w:vAlign w:val="bottom"/>
            <w:gridSpan w:val="3"/>
            <w:vMerge w:val="restart"/>
            <w:shd w:val="clear" w:color="auto" w:fill="2D53A6"/>
          </w:tcPr>
          <w:p>
            <w:pPr>
              <w:jc w:val="center"/>
              <w:ind w:right="160"/>
              <w:spacing w:after="0"/>
              <w:rPr>
                <w:sz w:val="20"/>
                <w:szCs w:val="20"/>
                <w:color w:val="auto"/>
              </w:rPr>
            </w:pPr>
            <w:r>
              <w:rPr>
                <w:rFonts w:ascii="Arial" w:cs="Arial" w:eastAsia="Arial" w:hAnsi="Arial"/>
                <w:sz w:val="18"/>
                <w:szCs w:val="18"/>
                <w:b w:val="1"/>
                <w:bCs w:val="1"/>
                <w:color w:val="FFFFFF"/>
                <w:w w:val="88"/>
              </w:rPr>
              <w:t>December 25, 2021</w:t>
            </w:r>
          </w:p>
        </w:tc>
        <w:tc>
          <w:tcPr>
            <w:tcW w:w="1340" w:type="dxa"/>
            <w:vAlign w:val="bottom"/>
            <w:gridSpan w:val="3"/>
            <w:vMerge w:val="continue"/>
            <w:shd w:val="clear" w:color="auto" w:fill="2D53A6"/>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7100" w:type="dxa"/>
            <w:vAlign w:val="bottom"/>
            <w:tcBorders>
              <w:bottom w:val="single" w:sz="8" w:color="auto"/>
              <w:right w:val="single" w:sz="8" w:color="2D53A6"/>
            </w:tcBorders>
            <w:shd w:val="clear" w:color="auto" w:fill="2D53A6"/>
          </w:tcPr>
          <w:p>
            <w:pPr>
              <w:spacing w:after="0"/>
              <w:rPr>
                <w:sz w:val="9"/>
                <w:szCs w:val="9"/>
                <w:color w:val="auto"/>
              </w:rPr>
            </w:pPr>
          </w:p>
        </w:tc>
        <w:tc>
          <w:tcPr>
            <w:tcW w:w="2800" w:type="dxa"/>
            <w:vAlign w:val="bottom"/>
            <w:tcBorders>
              <w:bottom w:val="single" w:sz="8" w:color="auto"/>
            </w:tcBorders>
            <w:gridSpan w:val="3"/>
            <w:vMerge w:val="continue"/>
            <w:shd w:val="clear" w:color="auto" w:fill="2D53A6"/>
          </w:tcPr>
          <w:p>
            <w:pPr>
              <w:spacing w:after="0"/>
              <w:rPr>
                <w:sz w:val="9"/>
                <w:szCs w:val="9"/>
                <w:color w:val="auto"/>
              </w:rPr>
            </w:pPr>
          </w:p>
        </w:tc>
        <w:tc>
          <w:tcPr>
            <w:tcW w:w="840" w:type="dxa"/>
            <w:vAlign w:val="bottom"/>
            <w:tcBorders>
              <w:bottom w:val="single" w:sz="8" w:color="auto"/>
            </w:tcBorders>
            <w:shd w:val="clear" w:color="auto" w:fill="2D53A6"/>
          </w:tcPr>
          <w:p>
            <w:pPr>
              <w:spacing w:after="0"/>
              <w:rPr>
                <w:sz w:val="9"/>
                <w:szCs w:val="9"/>
                <w:color w:val="auto"/>
              </w:rPr>
            </w:pPr>
          </w:p>
        </w:tc>
        <w:tc>
          <w:tcPr>
            <w:tcW w:w="100" w:type="dxa"/>
            <w:vAlign w:val="bottom"/>
            <w:tcBorders>
              <w:bottom w:val="single" w:sz="8" w:color="auto"/>
            </w:tcBorders>
            <w:shd w:val="clear" w:color="auto" w:fill="2D53A6"/>
          </w:tcPr>
          <w:p>
            <w:pPr>
              <w:spacing w:after="0"/>
              <w:rPr>
                <w:sz w:val="9"/>
                <w:szCs w:val="9"/>
                <w:color w:val="auto"/>
              </w:rPr>
            </w:pPr>
          </w:p>
        </w:tc>
        <w:tc>
          <w:tcPr>
            <w:tcW w:w="400" w:type="dxa"/>
            <w:vAlign w:val="bottom"/>
            <w:tcBorders>
              <w:bottom w:val="single" w:sz="8" w:color="auto"/>
            </w:tcBorders>
            <w:shd w:val="clear" w:color="auto" w:fill="2D53A6"/>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7100" w:type="dxa"/>
            <w:vAlign w:val="bottom"/>
            <w:tcBorders>
              <w:right w:val="single" w:sz="8" w:color="2D53A6"/>
            </w:tcBorders>
          </w:tcPr>
          <w:p>
            <w:pPr>
              <w:spacing w:after="0" w:line="195" w:lineRule="exact"/>
              <w:rPr>
                <w:sz w:val="20"/>
                <w:szCs w:val="20"/>
                <w:color w:val="auto"/>
              </w:rPr>
            </w:pPr>
            <w:r>
              <w:rPr>
                <w:rFonts w:ascii="Arial" w:cs="Arial" w:eastAsia="Arial" w:hAnsi="Arial"/>
                <w:sz w:val="18"/>
                <w:szCs w:val="18"/>
                <w:color w:val="auto"/>
              </w:rPr>
              <w:t>Net income from continuing operations - GAAP basis</w:t>
            </w:r>
          </w:p>
        </w:tc>
        <w:tc>
          <w:tcPr>
            <w:tcW w:w="2660" w:type="dxa"/>
            <w:vAlign w:val="bottom"/>
            <w:tcBorders>
              <w:right w:val="single" w:sz="8" w:color="2D53A6"/>
            </w:tcBorders>
            <w:gridSpan w:val="2"/>
          </w:tcPr>
          <w:p>
            <w:pPr>
              <w:jc w:val="right"/>
              <w:ind w:right="20"/>
              <w:spacing w:after="0" w:line="195" w:lineRule="exact"/>
              <w:rPr>
                <w:sz w:val="20"/>
                <w:szCs w:val="20"/>
                <w:color w:val="auto"/>
              </w:rPr>
            </w:pPr>
            <w:r>
              <w:rPr>
                <w:rFonts w:ascii="Arial" w:cs="Arial" w:eastAsia="Arial" w:hAnsi="Arial"/>
                <w:sz w:val="18"/>
                <w:szCs w:val="18"/>
                <w:color w:val="auto"/>
              </w:rPr>
              <w:t>$167,325</w:t>
            </w:r>
          </w:p>
        </w:tc>
        <w:tc>
          <w:tcPr>
            <w:tcW w:w="140" w:type="dxa"/>
            <w:vAlign w:val="bottom"/>
          </w:tcPr>
          <w:p>
            <w:pPr>
              <w:spacing w:after="0"/>
              <w:rPr>
                <w:sz w:val="16"/>
                <w:szCs w:val="16"/>
                <w:color w:val="auto"/>
              </w:rPr>
            </w:pPr>
          </w:p>
        </w:tc>
        <w:tc>
          <w:tcPr>
            <w:tcW w:w="1340" w:type="dxa"/>
            <w:vAlign w:val="bottom"/>
            <w:gridSpan w:val="3"/>
          </w:tcPr>
          <w:p>
            <w:pPr>
              <w:jc w:val="right"/>
              <w:spacing w:after="0" w:line="195" w:lineRule="exact"/>
              <w:rPr>
                <w:sz w:val="20"/>
                <w:szCs w:val="20"/>
                <w:color w:val="auto"/>
              </w:rPr>
            </w:pPr>
            <w:r>
              <w:rPr>
                <w:rFonts w:ascii="Arial" w:cs="Arial" w:eastAsia="Arial" w:hAnsi="Arial"/>
                <w:sz w:val="18"/>
                <w:szCs w:val="18"/>
                <w:color w:val="auto"/>
              </w:rPr>
              <w:t>$3.45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100" w:type="dxa"/>
            <w:vAlign w:val="bottom"/>
            <w:tcBorders>
              <w:right w:val="single" w:sz="8" w:color="2D53A6"/>
            </w:tcBorders>
          </w:tcPr>
          <w:p>
            <w:pPr>
              <w:ind w:left="180"/>
              <w:spacing w:after="0"/>
              <w:rPr>
                <w:sz w:val="20"/>
                <w:szCs w:val="20"/>
                <w:color w:val="auto"/>
              </w:rPr>
            </w:pPr>
            <w:r>
              <w:rPr>
                <w:rFonts w:ascii="Arial" w:cs="Arial" w:eastAsia="Arial" w:hAnsi="Arial"/>
                <w:sz w:val="18"/>
                <w:szCs w:val="18"/>
                <w:color w:val="auto"/>
              </w:rPr>
              <w:t>Share-based compensation</w:t>
            </w:r>
          </w:p>
        </w:tc>
        <w:tc>
          <w:tcPr>
            <w:tcW w:w="2660" w:type="dxa"/>
            <w:vAlign w:val="bottom"/>
            <w:tcBorders>
              <w:right w:val="single" w:sz="8" w:color="2D53A6"/>
            </w:tcBorders>
            <w:gridSpan w:val="2"/>
          </w:tcPr>
          <w:p>
            <w:pPr>
              <w:jc w:val="right"/>
              <w:ind w:right="20"/>
              <w:spacing w:after="0"/>
              <w:rPr>
                <w:sz w:val="20"/>
                <w:szCs w:val="20"/>
                <w:color w:val="auto"/>
              </w:rPr>
            </w:pPr>
            <w:r>
              <w:rPr>
                <w:rFonts w:ascii="Arial" w:cs="Arial" w:eastAsia="Arial" w:hAnsi="Arial"/>
                <w:sz w:val="18"/>
                <w:szCs w:val="18"/>
                <w:color w:val="auto"/>
              </w:rPr>
              <w:t>13,792</w:t>
            </w:r>
          </w:p>
        </w:tc>
        <w:tc>
          <w:tcPr>
            <w:tcW w:w="140" w:type="dxa"/>
            <w:vAlign w:val="bottom"/>
          </w:tcPr>
          <w:p>
            <w:pPr>
              <w:spacing w:after="0"/>
              <w:rPr>
                <w:sz w:val="18"/>
                <w:szCs w:val="18"/>
                <w:color w:val="auto"/>
              </w:rPr>
            </w:pPr>
          </w:p>
        </w:tc>
        <w:tc>
          <w:tcPr>
            <w:tcW w:w="1360" w:type="dxa"/>
            <w:vAlign w:val="bottom"/>
            <w:gridSpan w:val="4"/>
          </w:tcPr>
          <w:p>
            <w:pPr>
              <w:jc w:val="right"/>
              <w:ind w:right="2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16"/>
        </w:trPr>
        <w:tc>
          <w:tcPr>
            <w:tcW w:w="7100" w:type="dxa"/>
            <w:vAlign w:val="bottom"/>
            <w:tcBorders>
              <w:right w:val="single" w:sz="8" w:color="2D53A6"/>
            </w:tcBorders>
          </w:tcPr>
          <w:p>
            <w:pPr>
              <w:ind w:left="180"/>
              <w:spacing w:after="0"/>
              <w:rPr>
                <w:sz w:val="20"/>
                <w:szCs w:val="20"/>
                <w:color w:val="auto"/>
              </w:rPr>
            </w:pPr>
            <w:r>
              <w:rPr>
                <w:rFonts w:ascii="Arial" w:cs="Arial" w:eastAsia="Arial" w:hAnsi="Arial"/>
                <w:sz w:val="18"/>
                <w:szCs w:val="18"/>
                <w:color w:val="auto"/>
              </w:rPr>
              <w:t>Amortization of purchased intangible assets</w:t>
            </w:r>
          </w:p>
        </w:tc>
        <w:tc>
          <w:tcPr>
            <w:tcW w:w="2660" w:type="dxa"/>
            <w:vAlign w:val="bottom"/>
            <w:tcBorders>
              <w:right w:val="single" w:sz="8" w:color="2D53A6"/>
            </w:tcBorders>
            <w:gridSpan w:val="2"/>
          </w:tcPr>
          <w:p>
            <w:pPr>
              <w:jc w:val="right"/>
              <w:ind w:right="20"/>
              <w:spacing w:after="0"/>
              <w:rPr>
                <w:sz w:val="20"/>
                <w:szCs w:val="20"/>
                <w:color w:val="auto"/>
              </w:rPr>
            </w:pPr>
            <w:r>
              <w:rPr>
                <w:rFonts w:ascii="Arial" w:cs="Arial" w:eastAsia="Arial" w:hAnsi="Arial"/>
                <w:sz w:val="18"/>
                <w:szCs w:val="18"/>
                <w:color w:val="auto"/>
              </w:rPr>
              <w:t>35,414</w:t>
            </w:r>
          </w:p>
        </w:tc>
        <w:tc>
          <w:tcPr>
            <w:tcW w:w="140" w:type="dxa"/>
            <w:vAlign w:val="bottom"/>
          </w:tcPr>
          <w:p>
            <w:pPr>
              <w:spacing w:after="0"/>
              <w:rPr>
                <w:sz w:val="18"/>
                <w:szCs w:val="18"/>
                <w:color w:val="auto"/>
              </w:rPr>
            </w:pPr>
          </w:p>
        </w:tc>
        <w:tc>
          <w:tcPr>
            <w:tcW w:w="1360" w:type="dxa"/>
            <w:vAlign w:val="bottom"/>
            <w:gridSpan w:val="4"/>
          </w:tcPr>
          <w:p>
            <w:pPr>
              <w:jc w:val="right"/>
              <w:ind w:right="20"/>
              <w:spacing w:after="0"/>
              <w:rPr>
                <w:sz w:val="20"/>
                <w:szCs w:val="20"/>
                <w:color w:val="auto"/>
              </w:rPr>
            </w:pPr>
            <w:r>
              <w:rPr>
                <w:rFonts w:ascii="Arial" w:cs="Arial" w:eastAsia="Arial" w:hAnsi="Arial"/>
                <w:sz w:val="18"/>
                <w:szCs w:val="18"/>
                <w:color w:val="auto"/>
              </w:rPr>
              <w:t>0.73</w:t>
            </w:r>
          </w:p>
        </w:tc>
        <w:tc>
          <w:tcPr>
            <w:tcW w:w="0" w:type="dxa"/>
            <w:vAlign w:val="bottom"/>
          </w:tcPr>
          <w:p>
            <w:pPr>
              <w:spacing w:after="0"/>
              <w:rPr>
                <w:sz w:val="1"/>
                <w:szCs w:val="1"/>
                <w:color w:val="auto"/>
              </w:rPr>
            </w:pPr>
          </w:p>
        </w:tc>
      </w:tr>
      <w:tr>
        <w:trPr>
          <w:trHeight w:val="216"/>
        </w:trPr>
        <w:tc>
          <w:tcPr>
            <w:tcW w:w="7100" w:type="dxa"/>
            <w:vAlign w:val="bottom"/>
            <w:tcBorders>
              <w:right w:val="single" w:sz="8" w:color="2D53A6"/>
            </w:tcBorders>
          </w:tcPr>
          <w:p>
            <w:pPr>
              <w:ind w:left="180"/>
              <w:spacing w:after="0"/>
              <w:rPr>
                <w:sz w:val="20"/>
                <w:szCs w:val="20"/>
                <w:color w:val="auto"/>
              </w:rPr>
            </w:pPr>
            <w:r>
              <w:rPr>
                <w:rFonts w:ascii="Arial" w:cs="Arial" w:eastAsia="Arial" w:hAnsi="Arial"/>
                <w:sz w:val="18"/>
                <w:szCs w:val="18"/>
                <w:color w:val="auto"/>
              </w:rPr>
              <w:t>Restructuring charges related to inventory adjustments in cost of sales</w:t>
            </w:r>
          </w:p>
        </w:tc>
        <w:tc>
          <w:tcPr>
            <w:tcW w:w="2660" w:type="dxa"/>
            <w:vAlign w:val="bottom"/>
            <w:tcBorders>
              <w:right w:val="single" w:sz="8" w:color="2D53A6"/>
            </w:tcBorders>
            <w:gridSpan w:val="2"/>
          </w:tcPr>
          <w:p>
            <w:pPr>
              <w:jc w:val="right"/>
              <w:ind w:right="20"/>
              <w:spacing w:after="0"/>
              <w:rPr>
                <w:sz w:val="20"/>
                <w:szCs w:val="20"/>
                <w:color w:val="auto"/>
              </w:rPr>
            </w:pPr>
            <w:r>
              <w:rPr>
                <w:rFonts w:ascii="Arial" w:cs="Arial" w:eastAsia="Arial" w:hAnsi="Arial"/>
                <w:sz w:val="18"/>
                <w:szCs w:val="18"/>
                <w:color w:val="auto"/>
              </w:rPr>
              <w:t>(558)</w:t>
            </w:r>
          </w:p>
        </w:tc>
        <w:tc>
          <w:tcPr>
            <w:tcW w:w="140" w:type="dxa"/>
            <w:vAlign w:val="bottom"/>
          </w:tcPr>
          <w:p>
            <w:pPr>
              <w:spacing w:after="0"/>
              <w:rPr>
                <w:sz w:val="18"/>
                <w:szCs w:val="18"/>
                <w:color w:val="auto"/>
              </w:rPr>
            </w:pPr>
          </w:p>
        </w:tc>
        <w:tc>
          <w:tcPr>
            <w:tcW w:w="1360" w:type="dxa"/>
            <w:vAlign w:val="bottom"/>
            <w:gridSpan w:val="4"/>
          </w:tcPr>
          <w:p>
            <w:pPr>
              <w:jc w:val="right"/>
              <w:ind w:right="2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7100" w:type="dxa"/>
            <w:vAlign w:val="bottom"/>
            <w:tcBorders>
              <w:right w:val="single" w:sz="8" w:color="2D53A6"/>
            </w:tcBorders>
          </w:tcPr>
          <w:p>
            <w:pPr>
              <w:ind w:left="180"/>
              <w:spacing w:after="0"/>
              <w:rPr>
                <w:sz w:val="20"/>
                <w:szCs w:val="20"/>
                <w:color w:val="auto"/>
              </w:rPr>
            </w:pPr>
            <w:r>
              <w:rPr>
                <w:rFonts w:ascii="Arial" w:cs="Arial" w:eastAsia="Arial" w:hAnsi="Arial"/>
                <w:sz w:val="18"/>
                <w:szCs w:val="18"/>
                <w:color w:val="auto"/>
              </w:rPr>
              <w:t>Restructuring charges</w:t>
            </w:r>
          </w:p>
        </w:tc>
        <w:tc>
          <w:tcPr>
            <w:tcW w:w="2660" w:type="dxa"/>
            <w:vAlign w:val="bottom"/>
            <w:tcBorders>
              <w:right w:val="single" w:sz="8" w:color="2D53A6"/>
            </w:tcBorders>
            <w:gridSpan w:val="2"/>
          </w:tcPr>
          <w:p>
            <w:pPr>
              <w:jc w:val="right"/>
              <w:ind w:right="20"/>
              <w:spacing w:after="0"/>
              <w:rPr>
                <w:sz w:val="20"/>
                <w:szCs w:val="20"/>
                <w:color w:val="auto"/>
              </w:rPr>
            </w:pPr>
            <w:r>
              <w:rPr>
                <w:rFonts w:ascii="Arial" w:cs="Arial" w:eastAsia="Arial" w:hAnsi="Arial"/>
                <w:sz w:val="18"/>
                <w:szCs w:val="18"/>
                <w:color w:val="auto"/>
              </w:rPr>
              <w:t>1,833</w:t>
            </w:r>
          </w:p>
        </w:tc>
        <w:tc>
          <w:tcPr>
            <w:tcW w:w="140" w:type="dxa"/>
            <w:vAlign w:val="bottom"/>
          </w:tcPr>
          <w:p>
            <w:pPr>
              <w:spacing w:after="0"/>
              <w:rPr>
                <w:sz w:val="18"/>
                <w:szCs w:val="18"/>
                <w:color w:val="auto"/>
              </w:rPr>
            </w:pPr>
          </w:p>
        </w:tc>
        <w:tc>
          <w:tcPr>
            <w:tcW w:w="1360" w:type="dxa"/>
            <w:vAlign w:val="bottom"/>
            <w:gridSpan w:val="4"/>
          </w:tcPr>
          <w:p>
            <w:pPr>
              <w:jc w:val="right"/>
              <w:ind w:right="2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6"/>
        </w:trPr>
        <w:tc>
          <w:tcPr>
            <w:tcW w:w="7100" w:type="dxa"/>
            <w:vAlign w:val="bottom"/>
            <w:tcBorders>
              <w:right w:val="single" w:sz="8" w:color="2D53A6"/>
            </w:tcBorders>
          </w:tcPr>
          <w:p>
            <w:pPr>
              <w:ind w:left="180"/>
              <w:spacing w:after="0"/>
              <w:rPr>
                <w:sz w:val="20"/>
                <w:szCs w:val="20"/>
                <w:color w:val="auto"/>
              </w:rPr>
            </w:pPr>
            <w:r>
              <w:rPr>
                <w:rFonts w:ascii="Arial" w:cs="Arial" w:eastAsia="Arial" w:hAnsi="Arial"/>
                <w:sz w:val="18"/>
                <w:szCs w:val="18"/>
                <w:color w:val="auto"/>
              </w:rPr>
              <w:t>Manufacturing transition and severance costs</w:t>
            </w:r>
          </w:p>
        </w:tc>
        <w:tc>
          <w:tcPr>
            <w:tcW w:w="2660" w:type="dxa"/>
            <w:vAlign w:val="bottom"/>
            <w:tcBorders>
              <w:right w:val="single" w:sz="8" w:color="2D53A6"/>
            </w:tcBorders>
            <w:gridSpan w:val="2"/>
          </w:tcPr>
          <w:p>
            <w:pPr>
              <w:jc w:val="right"/>
              <w:ind w:right="2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8"/>
                <w:szCs w:val="18"/>
                <w:color w:val="auto"/>
              </w:rPr>
            </w:pPr>
          </w:p>
        </w:tc>
        <w:tc>
          <w:tcPr>
            <w:tcW w:w="1360" w:type="dxa"/>
            <w:vAlign w:val="bottom"/>
            <w:gridSpan w:val="4"/>
          </w:tcPr>
          <w:p>
            <w:pPr>
              <w:jc w:val="right"/>
              <w:ind w:right="2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7100" w:type="dxa"/>
            <w:vAlign w:val="bottom"/>
            <w:tcBorders>
              <w:right w:val="single" w:sz="8" w:color="2D53A6"/>
            </w:tcBorders>
          </w:tcPr>
          <w:p>
            <w:pPr>
              <w:ind w:left="180"/>
              <w:spacing w:after="0"/>
              <w:rPr>
                <w:sz w:val="20"/>
                <w:szCs w:val="20"/>
                <w:color w:val="auto"/>
              </w:rPr>
            </w:pPr>
            <w:r>
              <w:rPr>
                <w:rFonts w:ascii="Arial" w:cs="Arial" w:eastAsia="Arial" w:hAnsi="Arial"/>
                <w:sz w:val="18"/>
                <w:szCs w:val="18"/>
                <w:color w:val="auto"/>
              </w:rPr>
              <w:t>Impairment charges</w:t>
            </w:r>
          </w:p>
        </w:tc>
        <w:tc>
          <w:tcPr>
            <w:tcW w:w="2660" w:type="dxa"/>
            <w:vAlign w:val="bottom"/>
            <w:tcBorders>
              <w:right w:val="single" w:sz="8" w:color="2D53A6"/>
            </w:tcBorders>
            <w:gridSpan w:val="2"/>
          </w:tcPr>
          <w:p>
            <w:pPr>
              <w:jc w:val="right"/>
              <w:ind w:right="20"/>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18"/>
                <w:szCs w:val="18"/>
                <w:color w:val="auto"/>
              </w:rPr>
            </w:pPr>
          </w:p>
        </w:tc>
        <w:tc>
          <w:tcPr>
            <w:tcW w:w="1360" w:type="dxa"/>
            <w:vAlign w:val="bottom"/>
            <w:gridSpan w:val="4"/>
          </w:tcPr>
          <w:p>
            <w:pPr>
              <w:jc w:val="right"/>
              <w:ind w:right="2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7100" w:type="dxa"/>
            <w:vAlign w:val="bottom"/>
            <w:tcBorders>
              <w:right w:val="single" w:sz="8" w:color="2D53A6"/>
            </w:tcBorders>
          </w:tcPr>
          <w:p>
            <w:pPr>
              <w:ind w:left="180"/>
              <w:spacing w:after="0"/>
              <w:rPr>
                <w:sz w:val="20"/>
                <w:szCs w:val="20"/>
                <w:color w:val="auto"/>
              </w:rPr>
            </w:pPr>
            <w:r>
              <w:rPr>
                <w:rFonts w:ascii="Arial" w:cs="Arial" w:eastAsia="Arial" w:hAnsi="Arial"/>
                <w:sz w:val="18"/>
                <w:szCs w:val="18"/>
                <w:color w:val="auto"/>
              </w:rPr>
              <w:t>Gain on sale of PCB Test business</w:t>
            </w:r>
          </w:p>
        </w:tc>
        <w:tc>
          <w:tcPr>
            <w:tcW w:w="2660" w:type="dxa"/>
            <w:vAlign w:val="bottom"/>
            <w:tcBorders>
              <w:right w:val="single" w:sz="8" w:color="2D53A6"/>
            </w:tcBorders>
            <w:gridSpan w:val="2"/>
          </w:tcPr>
          <w:p>
            <w:pPr>
              <w:jc w:val="right"/>
              <w:ind w:right="20"/>
              <w:spacing w:after="0"/>
              <w:rPr>
                <w:sz w:val="20"/>
                <w:szCs w:val="20"/>
                <w:color w:val="auto"/>
              </w:rPr>
            </w:pPr>
            <w:r>
              <w:rPr>
                <w:rFonts w:ascii="Arial" w:cs="Arial" w:eastAsia="Arial" w:hAnsi="Arial"/>
                <w:sz w:val="18"/>
                <w:szCs w:val="18"/>
                <w:color w:val="auto"/>
              </w:rPr>
              <w:t>(70,815)</w:t>
            </w:r>
          </w:p>
        </w:tc>
        <w:tc>
          <w:tcPr>
            <w:tcW w:w="140" w:type="dxa"/>
            <w:vAlign w:val="bottom"/>
          </w:tcPr>
          <w:p>
            <w:pPr>
              <w:spacing w:after="0"/>
              <w:rPr>
                <w:sz w:val="18"/>
                <w:szCs w:val="18"/>
                <w:color w:val="auto"/>
              </w:rPr>
            </w:pPr>
          </w:p>
        </w:tc>
        <w:tc>
          <w:tcPr>
            <w:tcW w:w="1360" w:type="dxa"/>
            <w:vAlign w:val="bottom"/>
            <w:gridSpan w:val="4"/>
          </w:tcPr>
          <w:p>
            <w:pPr>
              <w:jc w:val="right"/>
              <w:ind w:right="2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7100" w:type="dxa"/>
            <w:vAlign w:val="bottom"/>
            <w:tcBorders>
              <w:right w:val="single" w:sz="8" w:color="2D53A6"/>
            </w:tcBorders>
          </w:tcPr>
          <w:p>
            <w:pPr>
              <w:ind w:left="180"/>
              <w:spacing w:after="0"/>
              <w:rPr>
                <w:sz w:val="20"/>
                <w:szCs w:val="20"/>
                <w:color w:val="auto"/>
              </w:rPr>
            </w:pPr>
            <w:r>
              <w:rPr>
                <w:rFonts w:ascii="Arial" w:cs="Arial" w:eastAsia="Arial" w:hAnsi="Arial"/>
                <w:sz w:val="18"/>
                <w:szCs w:val="18"/>
                <w:color w:val="auto"/>
              </w:rPr>
              <w:t>PP&amp;E step-up included in SG&amp;A</w:t>
            </w:r>
          </w:p>
        </w:tc>
        <w:tc>
          <w:tcPr>
            <w:tcW w:w="2660" w:type="dxa"/>
            <w:vAlign w:val="bottom"/>
            <w:tcBorders>
              <w:right w:val="single" w:sz="8" w:color="2D53A6"/>
            </w:tcBorders>
            <w:gridSpan w:val="2"/>
          </w:tcPr>
          <w:p>
            <w:pPr>
              <w:jc w:val="right"/>
              <w:ind w:right="20"/>
              <w:spacing w:after="0"/>
              <w:rPr>
                <w:sz w:val="20"/>
                <w:szCs w:val="20"/>
                <w:color w:val="auto"/>
              </w:rPr>
            </w:pPr>
            <w:r>
              <w:rPr>
                <w:rFonts w:ascii="Arial" w:cs="Arial" w:eastAsia="Arial" w:hAnsi="Arial"/>
                <w:sz w:val="18"/>
                <w:szCs w:val="18"/>
                <w:color w:val="auto"/>
              </w:rPr>
              <w:t>435</w:t>
            </w:r>
          </w:p>
        </w:tc>
        <w:tc>
          <w:tcPr>
            <w:tcW w:w="140" w:type="dxa"/>
            <w:vAlign w:val="bottom"/>
          </w:tcPr>
          <w:p>
            <w:pPr>
              <w:spacing w:after="0"/>
              <w:rPr>
                <w:sz w:val="18"/>
                <w:szCs w:val="18"/>
                <w:color w:val="auto"/>
              </w:rPr>
            </w:pPr>
          </w:p>
        </w:tc>
        <w:tc>
          <w:tcPr>
            <w:tcW w:w="1360" w:type="dxa"/>
            <w:vAlign w:val="bottom"/>
            <w:gridSpan w:val="4"/>
          </w:tcPr>
          <w:p>
            <w:pPr>
              <w:jc w:val="right"/>
              <w:ind w:right="2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7100" w:type="dxa"/>
            <w:vAlign w:val="bottom"/>
            <w:tcBorders>
              <w:right w:val="single" w:sz="8" w:color="2D53A6"/>
            </w:tcBorders>
          </w:tcPr>
          <w:p>
            <w:pPr>
              <w:ind w:left="180"/>
              <w:spacing w:after="0"/>
              <w:rPr>
                <w:sz w:val="20"/>
                <w:szCs w:val="20"/>
                <w:color w:val="auto"/>
              </w:rPr>
            </w:pPr>
            <w:r>
              <w:rPr>
                <w:rFonts w:ascii="Arial" w:cs="Arial" w:eastAsia="Arial" w:hAnsi="Arial"/>
                <w:sz w:val="18"/>
                <w:szCs w:val="18"/>
                <w:color w:val="auto"/>
              </w:rPr>
              <w:t>Reduction of indemnification receivable</w:t>
            </w:r>
          </w:p>
        </w:tc>
        <w:tc>
          <w:tcPr>
            <w:tcW w:w="2660" w:type="dxa"/>
            <w:vAlign w:val="bottom"/>
            <w:tcBorders>
              <w:right w:val="single" w:sz="8" w:color="2D53A6"/>
            </w:tcBorders>
            <w:gridSpan w:val="2"/>
          </w:tcPr>
          <w:p>
            <w:pPr>
              <w:jc w:val="right"/>
              <w:ind w:right="20"/>
              <w:spacing w:after="0"/>
              <w:rPr>
                <w:sz w:val="20"/>
                <w:szCs w:val="20"/>
                <w:color w:val="auto"/>
              </w:rPr>
            </w:pPr>
            <w:r>
              <w:rPr>
                <w:rFonts w:ascii="Arial" w:cs="Arial" w:eastAsia="Arial" w:hAnsi="Arial"/>
                <w:sz w:val="18"/>
                <w:szCs w:val="18"/>
                <w:color w:val="auto"/>
              </w:rPr>
              <w:t>75</w:t>
            </w:r>
          </w:p>
        </w:tc>
        <w:tc>
          <w:tcPr>
            <w:tcW w:w="140" w:type="dxa"/>
            <w:vAlign w:val="bottom"/>
          </w:tcPr>
          <w:p>
            <w:pPr>
              <w:spacing w:after="0"/>
              <w:rPr>
                <w:sz w:val="18"/>
                <w:szCs w:val="18"/>
                <w:color w:val="auto"/>
              </w:rPr>
            </w:pPr>
          </w:p>
        </w:tc>
        <w:tc>
          <w:tcPr>
            <w:tcW w:w="1360" w:type="dxa"/>
            <w:vAlign w:val="bottom"/>
            <w:gridSpan w:val="4"/>
          </w:tcPr>
          <w:p>
            <w:pPr>
              <w:jc w:val="right"/>
              <w:ind w:right="2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7100" w:type="dxa"/>
            <w:vAlign w:val="bottom"/>
            <w:tcBorders>
              <w:right w:val="single" w:sz="8" w:color="2D53A6"/>
            </w:tcBorders>
          </w:tcPr>
          <w:p>
            <w:pPr>
              <w:ind w:left="180"/>
              <w:spacing w:after="0"/>
              <w:rPr>
                <w:sz w:val="20"/>
                <w:szCs w:val="20"/>
                <w:color w:val="auto"/>
              </w:rPr>
            </w:pPr>
            <w:r>
              <w:rPr>
                <w:rFonts w:ascii="Arial" w:cs="Arial" w:eastAsia="Arial" w:hAnsi="Arial"/>
                <w:sz w:val="18"/>
                <w:szCs w:val="18"/>
                <w:color w:val="auto"/>
              </w:rPr>
              <w:t>Payroll taxes related to accelerated vesting of share-based</w:t>
            </w:r>
          </w:p>
        </w:tc>
        <w:tc>
          <w:tcPr>
            <w:tcW w:w="2660" w:type="dxa"/>
            <w:vAlign w:val="bottom"/>
            <w:tcBorders>
              <w:right w:val="single" w:sz="8" w:color="2D53A6"/>
            </w:tcBorders>
            <w:gridSpan w:val="2"/>
          </w:tcPr>
          <w:p>
            <w:pPr>
              <w:jc w:val="right"/>
              <w:ind w:right="20"/>
              <w:spacing w:after="0"/>
              <w:rPr>
                <w:sz w:val="20"/>
                <w:szCs w:val="20"/>
                <w:color w:val="auto"/>
              </w:rPr>
            </w:pPr>
            <w:r>
              <w:rPr>
                <w:rFonts w:ascii="Arial" w:cs="Arial" w:eastAsia="Arial" w:hAnsi="Arial"/>
                <w:sz w:val="18"/>
                <w:szCs w:val="18"/>
                <w:color w:val="auto"/>
              </w:rPr>
              <w:t>300</w:t>
            </w:r>
          </w:p>
        </w:tc>
        <w:tc>
          <w:tcPr>
            <w:tcW w:w="140" w:type="dxa"/>
            <w:vAlign w:val="bottom"/>
          </w:tcPr>
          <w:p>
            <w:pPr>
              <w:spacing w:after="0"/>
              <w:rPr>
                <w:sz w:val="18"/>
                <w:szCs w:val="18"/>
                <w:color w:val="auto"/>
              </w:rPr>
            </w:pPr>
          </w:p>
        </w:tc>
        <w:tc>
          <w:tcPr>
            <w:tcW w:w="1360" w:type="dxa"/>
            <w:vAlign w:val="bottom"/>
            <w:gridSpan w:val="4"/>
          </w:tcPr>
          <w:p>
            <w:pPr>
              <w:jc w:val="right"/>
              <w:ind w:right="2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30"/>
        </w:trPr>
        <w:tc>
          <w:tcPr>
            <w:tcW w:w="7100" w:type="dxa"/>
            <w:vAlign w:val="bottom"/>
            <w:tcBorders>
              <w:bottom w:val="single" w:sz="8" w:color="2D53A6"/>
              <w:right w:val="single" w:sz="8" w:color="2D53A6"/>
            </w:tcBorders>
          </w:tcPr>
          <w:p>
            <w:pPr>
              <w:ind w:left="180"/>
              <w:spacing w:after="0"/>
              <w:rPr>
                <w:sz w:val="20"/>
                <w:szCs w:val="20"/>
                <w:color w:val="auto"/>
              </w:rPr>
            </w:pPr>
            <w:r>
              <w:rPr>
                <w:rFonts w:ascii="Arial" w:cs="Arial" w:eastAsia="Arial" w:hAnsi="Arial"/>
                <w:sz w:val="18"/>
                <w:szCs w:val="18"/>
                <w:color w:val="auto"/>
              </w:rPr>
              <w:t>Tax effect of non-GAAP adjustments</w:t>
            </w:r>
          </w:p>
        </w:tc>
        <w:tc>
          <w:tcPr>
            <w:tcW w:w="2660" w:type="dxa"/>
            <w:vAlign w:val="bottom"/>
            <w:tcBorders>
              <w:bottom w:val="single" w:sz="8" w:color="2D53A6"/>
              <w:right w:val="single" w:sz="8" w:color="2D53A6"/>
            </w:tcBorders>
            <w:gridSpan w:val="2"/>
          </w:tcPr>
          <w:p>
            <w:pPr>
              <w:jc w:val="right"/>
              <w:ind w:right="20"/>
              <w:spacing w:after="0"/>
              <w:rPr>
                <w:sz w:val="20"/>
                <w:szCs w:val="20"/>
                <w:color w:val="auto"/>
              </w:rPr>
            </w:pPr>
            <w:r>
              <w:rPr>
                <w:rFonts w:ascii="Arial" w:cs="Arial" w:eastAsia="Arial" w:hAnsi="Arial"/>
                <w:sz w:val="18"/>
                <w:szCs w:val="18"/>
                <w:color w:val="auto"/>
              </w:rPr>
              <w:t>7,194</w:t>
            </w:r>
          </w:p>
        </w:tc>
        <w:tc>
          <w:tcPr>
            <w:tcW w:w="140" w:type="dxa"/>
            <w:vAlign w:val="bottom"/>
            <w:tcBorders>
              <w:bottom w:val="single" w:sz="8" w:color="2D53A6"/>
            </w:tcBorders>
          </w:tcPr>
          <w:p>
            <w:pPr>
              <w:spacing w:after="0"/>
              <w:rPr>
                <w:sz w:val="20"/>
                <w:szCs w:val="20"/>
                <w:color w:val="auto"/>
              </w:rPr>
            </w:pPr>
          </w:p>
        </w:tc>
        <w:tc>
          <w:tcPr>
            <w:tcW w:w="1360" w:type="dxa"/>
            <w:vAlign w:val="bottom"/>
            <w:tcBorders>
              <w:bottom w:val="single" w:sz="8" w:color="2D53A6"/>
            </w:tcBorders>
            <w:gridSpan w:val="4"/>
          </w:tcPr>
          <w:p>
            <w:pPr>
              <w:jc w:val="right"/>
              <w:ind w:right="2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169"/>
        </w:trPr>
        <w:tc>
          <w:tcPr>
            <w:tcW w:w="7100" w:type="dxa"/>
            <w:vAlign w:val="bottom"/>
          </w:tcPr>
          <w:p>
            <w:pPr>
              <w:spacing w:after="0" w:line="169" w:lineRule="exact"/>
              <w:rPr>
                <w:sz w:val="20"/>
                <w:szCs w:val="20"/>
                <w:color w:val="auto"/>
              </w:rPr>
            </w:pPr>
            <w:r>
              <w:rPr>
                <w:rFonts w:ascii="Arial" w:cs="Arial" w:eastAsia="Arial" w:hAnsi="Arial"/>
                <w:sz w:val="18"/>
                <w:szCs w:val="18"/>
                <w:color w:val="auto"/>
              </w:rPr>
              <w:t>Net income - non-GAAP basis</w:t>
            </w:r>
          </w:p>
        </w:tc>
        <w:tc>
          <w:tcPr>
            <w:tcW w:w="2800" w:type="dxa"/>
            <w:vAlign w:val="bottom"/>
            <w:gridSpan w:val="3"/>
          </w:tcPr>
          <w:p>
            <w:pPr>
              <w:jc w:val="right"/>
              <w:ind w:right="140"/>
              <w:spacing w:after="0" w:line="169"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155,086</w:t>
            </w:r>
          </w:p>
        </w:tc>
        <w:tc>
          <w:tcPr>
            <w:tcW w:w="1340" w:type="dxa"/>
            <w:vAlign w:val="bottom"/>
            <w:gridSpan w:val="3"/>
          </w:tcPr>
          <w:p>
            <w:pPr>
              <w:jc w:val="right"/>
              <w:spacing w:after="0" w:line="169"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7100" w:type="dxa"/>
            <w:vAlign w:val="bottom"/>
            <w:tcBorders>
              <w:bottom w:val="single" w:sz="8" w:color="2D53A6"/>
            </w:tcBorders>
          </w:tcPr>
          <w:p>
            <w:pPr>
              <w:spacing w:after="0" w:line="20" w:lineRule="exact"/>
              <w:rPr>
                <w:sz w:val="1"/>
                <w:szCs w:val="1"/>
                <w:color w:val="auto"/>
              </w:rPr>
            </w:pPr>
          </w:p>
        </w:tc>
        <w:tc>
          <w:tcPr>
            <w:tcW w:w="1980" w:type="dxa"/>
            <w:vAlign w:val="bottom"/>
            <w:tcBorders>
              <w:bottom w:val="single" w:sz="8" w:color="2D53A6"/>
            </w:tcBorders>
          </w:tcPr>
          <w:p>
            <w:pPr>
              <w:spacing w:after="0" w:line="20" w:lineRule="exact"/>
              <w:rPr>
                <w:sz w:val="1"/>
                <w:szCs w:val="1"/>
                <w:color w:val="auto"/>
              </w:rPr>
            </w:pPr>
          </w:p>
        </w:tc>
        <w:tc>
          <w:tcPr>
            <w:tcW w:w="680" w:type="dxa"/>
            <w:vAlign w:val="bottom"/>
            <w:tcBorders>
              <w:top w:val="single" w:sz="8" w:color="auto"/>
              <w:bottom w:val="single" w:sz="8" w:color="2D53A6"/>
            </w:tcBorders>
          </w:tcPr>
          <w:p>
            <w:pPr>
              <w:spacing w:after="0" w:line="20" w:lineRule="exact"/>
              <w:rPr>
                <w:sz w:val="1"/>
                <w:szCs w:val="1"/>
                <w:color w:val="auto"/>
              </w:rPr>
            </w:pPr>
          </w:p>
        </w:tc>
        <w:tc>
          <w:tcPr>
            <w:tcW w:w="140" w:type="dxa"/>
            <w:vAlign w:val="bottom"/>
            <w:tcBorders>
              <w:bottom w:val="single" w:sz="8" w:color="2D53A6"/>
            </w:tcBorders>
          </w:tcPr>
          <w:p>
            <w:pPr>
              <w:spacing w:after="0" w:line="20" w:lineRule="exact"/>
              <w:rPr>
                <w:sz w:val="1"/>
                <w:szCs w:val="1"/>
                <w:color w:val="auto"/>
              </w:rPr>
            </w:pPr>
          </w:p>
        </w:tc>
        <w:tc>
          <w:tcPr>
            <w:tcW w:w="840" w:type="dxa"/>
            <w:vAlign w:val="bottom"/>
            <w:tcBorders>
              <w:bottom w:val="single" w:sz="8" w:color="2D53A6"/>
            </w:tcBorders>
          </w:tcPr>
          <w:p>
            <w:pPr>
              <w:spacing w:after="0" w:line="20" w:lineRule="exact"/>
              <w:rPr>
                <w:sz w:val="1"/>
                <w:szCs w:val="1"/>
                <w:color w:val="auto"/>
              </w:rPr>
            </w:pPr>
          </w:p>
        </w:tc>
        <w:tc>
          <w:tcPr>
            <w:tcW w:w="100" w:type="dxa"/>
            <w:vAlign w:val="bottom"/>
            <w:tcBorders>
              <w:bottom w:val="single" w:sz="8" w:color="2D53A6"/>
            </w:tcBorders>
          </w:tcPr>
          <w:p>
            <w:pPr>
              <w:spacing w:after="0" w:line="20" w:lineRule="exact"/>
              <w:rPr>
                <w:sz w:val="1"/>
                <w:szCs w:val="1"/>
                <w:color w:val="auto"/>
              </w:rPr>
            </w:pPr>
          </w:p>
        </w:tc>
        <w:tc>
          <w:tcPr>
            <w:tcW w:w="400" w:type="dxa"/>
            <w:vAlign w:val="bottom"/>
            <w:tcBorders>
              <w:top w:val="single" w:sz="8" w:color="auto"/>
              <w:bottom w:val="single" w:sz="8" w:color="2D53A6"/>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7100" w:type="dxa"/>
            <w:vAlign w:val="bottom"/>
          </w:tcPr>
          <w:p>
            <w:pPr>
              <w:spacing w:after="0" w:line="195" w:lineRule="exact"/>
              <w:rPr>
                <w:sz w:val="20"/>
                <w:szCs w:val="20"/>
                <w:color w:val="auto"/>
              </w:rPr>
            </w:pPr>
            <w:r>
              <w:rPr>
                <w:rFonts w:ascii="Arial" w:cs="Arial" w:eastAsia="Arial" w:hAnsi="Arial"/>
                <w:sz w:val="18"/>
                <w:szCs w:val="18"/>
                <w:color w:val="auto"/>
              </w:rPr>
              <w:t>Weighted average diluted shares used in computing income (loss) per shares:</w:t>
            </w:r>
          </w:p>
        </w:tc>
        <w:tc>
          <w:tcPr>
            <w:tcW w:w="19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100" w:type="dxa"/>
            <w:vAlign w:val="bottom"/>
          </w:tcPr>
          <w:p>
            <w:pPr>
              <w:ind w:left="180"/>
              <w:spacing w:after="0" w:line="190" w:lineRule="exact"/>
              <w:rPr>
                <w:sz w:val="20"/>
                <w:szCs w:val="20"/>
                <w:color w:val="auto"/>
              </w:rPr>
            </w:pPr>
            <w:r>
              <w:rPr>
                <w:rFonts w:ascii="Arial" w:cs="Arial" w:eastAsia="Arial" w:hAnsi="Arial"/>
                <w:sz w:val="18"/>
                <w:szCs w:val="18"/>
                <w:color w:val="auto"/>
              </w:rPr>
              <w:t>GAAP-basis</w:t>
            </w:r>
          </w:p>
        </w:tc>
        <w:tc>
          <w:tcPr>
            <w:tcW w:w="19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Borders>
              <w:bottom w:val="single" w:sz="8" w:color="auto"/>
            </w:tcBorders>
            <w:gridSpan w:val="3"/>
          </w:tcPr>
          <w:p>
            <w:pPr>
              <w:jc w:val="right"/>
              <w:ind w:right="20"/>
              <w:spacing w:after="0" w:line="190" w:lineRule="exact"/>
              <w:rPr>
                <w:sz w:val="20"/>
                <w:szCs w:val="20"/>
                <w:color w:val="auto"/>
              </w:rPr>
            </w:pPr>
            <w:r>
              <w:rPr>
                <w:rFonts w:ascii="Arial" w:cs="Arial" w:eastAsia="Arial" w:hAnsi="Arial"/>
                <w:sz w:val="18"/>
                <w:szCs w:val="18"/>
                <w:color w:val="auto"/>
                <w:w w:val="87"/>
              </w:rPr>
              <w:t>48,460</w:t>
            </w:r>
          </w:p>
        </w:tc>
        <w:tc>
          <w:tcPr>
            <w:tcW w:w="0" w:type="dxa"/>
            <w:vAlign w:val="bottom"/>
          </w:tcPr>
          <w:p>
            <w:pPr>
              <w:spacing w:after="0"/>
              <w:rPr>
                <w:sz w:val="1"/>
                <w:szCs w:val="1"/>
                <w:color w:val="auto"/>
              </w:rPr>
            </w:pPr>
          </w:p>
        </w:tc>
      </w:tr>
      <w:tr>
        <w:trPr>
          <w:trHeight w:val="196"/>
        </w:trPr>
        <w:tc>
          <w:tcPr>
            <w:tcW w:w="7100" w:type="dxa"/>
            <w:vAlign w:val="bottom"/>
          </w:tcPr>
          <w:p>
            <w:pPr>
              <w:ind w:left="180"/>
              <w:spacing w:after="0" w:line="196" w:lineRule="exact"/>
              <w:rPr>
                <w:sz w:val="20"/>
                <w:szCs w:val="20"/>
                <w:color w:val="auto"/>
              </w:rPr>
            </w:pPr>
            <w:r>
              <w:rPr>
                <w:rFonts w:ascii="Arial" w:cs="Arial" w:eastAsia="Arial" w:hAnsi="Arial"/>
                <w:sz w:val="18"/>
                <w:szCs w:val="18"/>
                <w:color w:val="auto"/>
              </w:rPr>
              <w:t>Non-GAAP basis</w:t>
            </w:r>
          </w:p>
        </w:tc>
        <w:tc>
          <w:tcPr>
            <w:tcW w:w="1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48,460</w:t>
            </w:r>
          </w:p>
        </w:tc>
        <w:tc>
          <w:tcPr>
            <w:tcW w:w="0" w:type="dxa"/>
            <w:vAlign w:val="bottom"/>
          </w:tcPr>
          <w:p>
            <w:pPr>
              <w:spacing w:after="0"/>
              <w:rPr>
                <w:sz w:val="1"/>
                <w:szCs w:val="1"/>
                <w:color w:val="auto"/>
              </w:rPr>
            </w:pPr>
          </w:p>
        </w:tc>
      </w:tr>
      <w:tr>
        <w:trPr>
          <w:trHeight w:val="453"/>
        </w:trPr>
        <w:tc>
          <w:tcPr>
            <w:tcW w:w="7100" w:type="dxa"/>
            <w:vAlign w:val="bottom"/>
          </w:tcPr>
          <w:p>
            <w:pPr>
              <w:ind w:left="5540"/>
              <w:spacing w:after="0"/>
              <w:rPr>
                <w:sz w:val="20"/>
                <w:szCs w:val="20"/>
                <w:color w:val="auto"/>
              </w:rPr>
            </w:pPr>
            <w:r>
              <w:rPr>
                <w:rFonts w:ascii="Arial" w:cs="Arial" w:eastAsia="Arial" w:hAnsi="Arial"/>
                <w:sz w:val="18"/>
                <w:szCs w:val="18"/>
                <w:color w:val="auto"/>
              </w:rPr>
              <w:t>64</w:t>
            </w:r>
          </w:p>
        </w:tc>
        <w:tc>
          <w:tcPr>
            <w:tcW w:w="19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100" w:type="dxa"/>
            <w:vAlign w:val="bottom"/>
            <w:tcBorders>
              <w:bottom w:val="single" w:sz="8" w:color="auto"/>
            </w:tcBorders>
          </w:tcPr>
          <w:p>
            <w:pPr>
              <w:spacing w:after="0"/>
              <w:rPr>
                <w:sz w:val="10"/>
                <w:szCs w:val="10"/>
                <w:color w:val="auto"/>
              </w:rPr>
            </w:pPr>
          </w:p>
        </w:tc>
        <w:tc>
          <w:tcPr>
            <w:tcW w:w="19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73" w:right="339" w:bottom="1440" w:gutter="0" w:footer="0" w:header="0"/>
        </w:sectPr>
      </w:pPr>
    </w:p>
    <w:bookmarkStart w:id="70" w:name="page71"/>
    <w:bookmarkEnd w:id="7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60" w:type="dxa"/>
            <w:vAlign w:val="bottom"/>
            <w:tcBorders>
              <w:right w:val="single" w:sz="8" w:color="2D53A6"/>
            </w:tcBorders>
            <w:vMerge w:val="restart"/>
            <w:shd w:val="clear" w:color="auto" w:fill="2D53A6"/>
          </w:tcPr>
          <w:p>
            <w:pPr>
              <w:spacing w:after="0"/>
              <w:rPr>
                <w:sz w:val="20"/>
                <w:szCs w:val="20"/>
                <w:color w:val="auto"/>
              </w:rPr>
            </w:pPr>
            <w:r>
              <w:rPr>
                <w:rFonts w:ascii="Arial" w:cs="Arial" w:eastAsia="Arial" w:hAnsi="Arial"/>
                <w:sz w:val="18"/>
                <w:szCs w:val="18"/>
                <w:b w:val="1"/>
                <w:bCs w:val="1"/>
                <w:color w:val="FFFFFF"/>
              </w:rPr>
              <w:t>Gross Profit Reconciliation (in thousands)</w:t>
            </w:r>
          </w:p>
        </w:tc>
        <w:tc>
          <w:tcPr>
            <w:tcW w:w="2980" w:type="dxa"/>
            <w:vAlign w:val="bottom"/>
            <w:gridSpan w:val="2"/>
            <w:shd w:val="clear" w:color="auto" w:fill="2D53A6"/>
          </w:tcPr>
          <w:p>
            <w:pPr>
              <w:jc w:val="right"/>
              <w:ind w:right="640"/>
              <w:spacing w:after="0"/>
              <w:rPr>
                <w:sz w:val="20"/>
                <w:szCs w:val="20"/>
                <w:color w:val="auto"/>
              </w:rPr>
            </w:pPr>
            <w:r>
              <w:rPr>
                <w:rFonts w:ascii="Arial" w:cs="Arial" w:eastAsia="Arial" w:hAnsi="Arial"/>
                <w:sz w:val="18"/>
                <w:szCs w:val="18"/>
                <w:b w:val="1"/>
                <w:bCs w:val="1"/>
                <w:color w:val="FFFFFF"/>
              </w:rPr>
              <w:t>Twelve Months Ended</w:t>
            </w:r>
          </w:p>
        </w:tc>
        <w:tc>
          <w:tcPr>
            <w:tcW w:w="0" w:type="dxa"/>
            <w:vAlign w:val="bottom"/>
          </w:tcPr>
          <w:p>
            <w:pPr>
              <w:spacing w:after="0"/>
              <w:rPr>
                <w:sz w:val="1"/>
                <w:szCs w:val="1"/>
                <w:color w:val="auto"/>
              </w:rPr>
            </w:pPr>
          </w:p>
        </w:tc>
      </w:tr>
      <w:tr>
        <w:trPr>
          <w:trHeight w:val="126"/>
        </w:trPr>
        <w:tc>
          <w:tcPr>
            <w:tcW w:w="8260" w:type="dxa"/>
            <w:vAlign w:val="bottom"/>
            <w:tcBorders>
              <w:right w:val="single" w:sz="8" w:color="2D53A6"/>
            </w:tcBorders>
            <w:vMerge w:val="continue"/>
            <w:shd w:val="clear" w:color="auto" w:fill="2D53A6"/>
          </w:tcPr>
          <w:p>
            <w:pPr>
              <w:spacing w:after="0"/>
              <w:rPr>
                <w:sz w:val="10"/>
                <w:szCs w:val="10"/>
                <w:color w:val="auto"/>
              </w:rPr>
            </w:pPr>
          </w:p>
        </w:tc>
        <w:tc>
          <w:tcPr>
            <w:tcW w:w="2980" w:type="dxa"/>
            <w:vAlign w:val="bottom"/>
            <w:gridSpan w:val="2"/>
            <w:vMerge w:val="restart"/>
            <w:shd w:val="clear" w:color="auto" w:fill="2D53A6"/>
          </w:tcPr>
          <w:p>
            <w:pPr>
              <w:jc w:val="right"/>
              <w:ind w:right="760"/>
              <w:spacing w:after="0"/>
              <w:rPr>
                <w:sz w:val="20"/>
                <w:szCs w:val="20"/>
                <w:color w:val="auto"/>
              </w:rPr>
            </w:pPr>
            <w:r>
              <w:rPr>
                <w:rFonts w:ascii="Arial" w:cs="Arial" w:eastAsia="Arial" w:hAnsi="Arial"/>
                <w:sz w:val="18"/>
                <w:szCs w:val="18"/>
                <w:b w:val="1"/>
                <w:bCs w:val="1"/>
                <w:color w:val="FFFFFF"/>
              </w:rPr>
              <w:t>December 25, 2021</w:t>
            </w:r>
          </w:p>
        </w:tc>
        <w:tc>
          <w:tcPr>
            <w:tcW w:w="0" w:type="dxa"/>
            <w:vAlign w:val="bottom"/>
          </w:tcPr>
          <w:p>
            <w:pPr>
              <w:spacing w:after="0"/>
              <w:rPr>
                <w:sz w:val="1"/>
                <w:szCs w:val="1"/>
                <w:color w:val="auto"/>
              </w:rPr>
            </w:pPr>
          </w:p>
        </w:tc>
      </w:tr>
      <w:tr>
        <w:trPr>
          <w:trHeight w:val="122"/>
        </w:trPr>
        <w:tc>
          <w:tcPr>
            <w:tcW w:w="8260" w:type="dxa"/>
            <w:vAlign w:val="bottom"/>
            <w:tcBorders>
              <w:right w:val="single" w:sz="8" w:color="2D53A6"/>
            </w:tcBorders>
            <w:shd w:val="clear" w:color="auto" w:fill="2D53A6"/>
          </w:tcPr>
          <w:p>
            <w:pPr>
              <w:spacing w:after="0"/>
              <w:rPr>
                <w:sz w:val="10"/>
                <w:szCs w:val="10"/>
                <w:color w:val="auto"/>
              </w:rPr>
            </w:pPr>
          </w:p>
        </w:tc>
        <w:tc>
          <w:tcPr>
            <w:tcW w:w="2980" w:type="dxa"/>
            <w:vAlign w:val="bottom"/>
            <w:gridSpan w:val="2"/>
            <w:vMerge w:val="continue"/>
            <w:shd w:val="clear" w:color="auto" w:fill="2D53A6"/>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8260" w:type="dxa"/>
            <w:vAlign w:val="bottom"/>
            <w:tcBorders>
              <w:right w:val="single" w:sz="8" w:color="2D53A6"/>
            </w:tcBorders>
          </w:tcPr>
          <w:p>
            <w:pPr>
              <w:spacing w:after="0"/>
              <w:rPr>
                <w:sz w:val="20"/>
                <w:szCs w:val="20"/>
                <w:color w:val="auto"/>
              </w:rPr>
            </w:pPr>
            <w:r>
              <w:rPr>
                <w:rFonts w:ascii="Arial" w:cs="Arial" w:eastAsia="Arial" w:hAnsi="Arial"/>
                <w:sz w:val="18"/>
                <w:szCs w:val="18"/>
                <w:color w:val="auto"/>
              </w:rPr>
              <w:t>Net sales</w:t>
            </w:r>
          </w:p>
        </w:tc>
        <w:tc>
          <w:tcPr>
            <w:tcW w:w="2980" w:type="dxa"/>
            <w:vAlign w:val="bottom"/>
            <w:gridSpan w:val="2"/>
          </w:tcPr>
          <w:p>
            <w:pPr>
              <w:jc w:val="right"/>
              <w:spacing w:after="0"/>
              <w:rPr>
                <w:sz w:val="20"/>
                <w:szCs w:val="20"/>
                <w:color w:val="auto"/>
              </w:rPr>
            </w:pPr>
            <w:r>
              <w:rPr>
                <w:rFonts w:ascii="Arial" w:cs="Arial" w:eastAsia="Arial" w:hAnsi="Arial"/>
                <w:sz w:val="18"/>
                <w:szCs w:val="18"/>
                <w:color w:val="auto"/>
              </w:rPr>
              <w:t>$887,214</w:t>
            </w:r>
          </w:p>
        </w:tc>
        <w:tc>
          <w:tcPr>
            <w:tcW w:w="0" w:type="dxa"/>
            <w:vAlign w:val="bottom"/>
          </w:tcPr>
          <w:p>
            <w:pPr>
              <w:spacing w:after="0"/>
              <w:rPr>
                <w:sz w:val="1"/>
                <w:szCs w:val="1"/>
                <w:color w:val="auto"/>
              </w:rPr>
            </w:pPr>
          </w:p>
        </w:tc>
      </w:tr>
      <w:tr>
        <w:trPr>
          <w:trHeight w:val="403"/>
        </w:trPr>
        <w:tc>
          <w:tcPr>
            <w:tcW w:w="8260" w:type="dxa"/>
            <w:vAlign w:val="bottom"/>
            <w:tcBorders>
              <w:right w:val="single" w:sz="8" w:color="2D53A6"/>
            </w:tcBorders>
          </w:tcPr>
          <w:p>
            <w:pPr>
              <w:spacing w:after="0"/>
              <w:rPr>
                <w:sz w:val="20"/>
                <w:szCs w:val="20"/>
                <w:color w:val="auto"/>
              </w:rPr>
            </w:pPr>
            <w:r>
              <w:rPr>
                <w:rFonts w:ascii="Arial" w:cs="Arial" w:eastAsia="Arial" w:hAnsi="Arial"/>
                <w:sz w:val="18"/>
                <w:szCs w:val="18"/>
                <w:color w:val="auto"/>
              </w:rPr>
              <w:t xml:space="preserve">Gross profit - GAAP basis </w:t>
            </w:r>
            <w:r>
              <w:rPr>
                <w:rFonts w:ascii="Arial" w:cs="Arial" w:eastAsia="Arial" w:hAnsi="Arial"/>
                <w:sz w:val="29"/>
                <w:szCs w:val="29"/>
                <w:color w:val="auto"/>
                <w:vertAlign w:val="superscript"/>
              </w:rPr>
              <w:t>(1)</w:t>
            </w:r>
          </w:p>
        </w:tc>
        <w:tc>
          <w:tcPr>
            <w:tcW w:w="2980" w:type="dxa"/>
            <w:vAlign w:val="bottom"/>
            <w:gridSpan w:val="2"/>
          </w:tcPr>
          <w:p>
            <w:pPr>
              <w:jc w:val="right"/>
              <w:spacing w:after="0"/>
              <w:rPr>
                <w:sz w:val="20"/>
                <w:szCs w:val="20"/>
                <w:color w:val="auto"/>
              </w:rPr>
            </w:pPr>
            <w:r>
              <w:rPr>
                <w:rFonts w:ascii="Arial" w:cs="Arial" w:eastAsia="Arial" w:hAnsi="Arial"/>
                <w:sz w:val="18"/>
                <w:szCs w:val="18"/>
                <w:color w:val="auto"/>
              </w:rPr>
              <w:t>$386,961</w:t>
            </w:r>
          </w:p>
        </w:tc>
        <w:tc>
          <w:tcPr>
            <w:tcW w:w="0" w:type="dxa"/>
            <w:vAlign w:val="bottom"/>
          </w:tcPr>
          <w:p>
            <w:pPr>
              <w:spacing w:after="0"/>
              <w:rPr>
                <w:sz w:val="1"/>
                <w:szCs w:val="1"/>
                <w:color w:val="auto"/>
              </w:rPr>
            </w:pPr>
          </w:p>
        </w:tc>
      </w:tr>
      <w:tr>
        <w:trPr>
          <w:trHeight w:val="216"/>
        </w:trPr>
        <w:tc>
          <w:tcPr>
            <w:tcW w:w="8260" w:type="dxa"/>
            <w:vAlign w:val="bottom"/>
            <w:tcBorders>
              <w:right w:val="single" w:sz="8" w:color="2D53A6"/>
            </w:tcBorders>
          </w:tcPr>
          <w:p>
            <w:pPr>
              <w:ind w:left="180"/>
              <w:spacing w:after="0"/>
              <w:rPr>
                <w:sz w:val="20"/>
                <w:szCs w:val="20"/>
                <w:color w:val="auto"/>
              </w:rPr>
            </w:pPr>
            <w:r>
              <w:rPr>
                <w:rFonts w:ascii="Arial" w:cs="Arial" w:eastAsia="Arial" w:hAnsi="Arial"/>
                <w:sz w:val="18"/>
                <w:szCs w:val="18"/>
                <w:color w:val="auto"/>
              </w:rPr>
              <w:t>Share-based compensation</w:t>
            </w:r>
          </w:p>
        </w:tc>
        <w:tc>
          <w:tcPr>
            <w:tcW w:w="2980" w:type="dxa"/>
            <w:vAlign w:val="bottom"/>
            <w:gridSpan w:val="2"/>
          </w:tcPr>
          <w:p>
            <w:pPr>
              <w:jc w:val="right"/>
              <w:spacing w:after="0"/>
              <w:rPr>
                <w:sz w:val="20"/>
                <w:szCs w:val="20"/>
                <w:color w:val="auto"/>
              </w:rPr>
            </w:pPr>
            <w:r>
              <w:rPr>
                <w:rFonts w:ascii="Arial" w:cs="Arial" w:eastAsia="Arial" w:hAnsi="Arial"/>
                <w:sz w:val="18"/>
                <w:szCs w:val="18"/>
                <w:color w:val="auto"/>
              </w:rPr>
              <w:t>828</w:t>
            </w:r>
          </w:p>
        </w:tc>
        <w:tc>
          <w:tcPr>
            <w:tcW w:w="0" w:type="dxa"/>
            <w:vAlign w:val="bottom"/>
          </w:tcPr>
          <w:p>
            <w:pPr>
              <w:spacing w:after="0"/>
              <w:rPr>
                <w:sz w:val="1"/>
                <w:szCs w:val="1"/>
                <w:color w:val="auto"/>
              </w:rPr>
            </w:pPr>
          </w:p>
        </w:tc>
      </w:tr>
      <w:tr>
        <w:trPr>
          <w:trHeight w:val="216"/>
        </w:trPr>
        <w:tc>
          <w:tcPr>
            <w:tcW w:w="8260" w:type="dxa"/>
            <w:vAlign w:val="bottom"/>
            <w:tcBorders>
              <w:right w:val="single" w:sz="8" w:color="2D53A6"/>
            </w:tcBorders>
          </w:tcPr>
          <w:p>
            <w:pPr>
              <w:ind w:left="180"/>
              <w:spacing w:after="0"/>
              <w:rPr>
                <w:sz w:val="20"/>
                <w:szCs w:val="20"/>
                <w:color w:val="auto"/>
              </w:rPr>
            </w:pPr>
            <w:r>
              <w:rPr>
                <w:rFonts w:ascii="Arial" w:cs="Arial" w:eastAsia="Arial" w:hAnsi="Arial"/>
                <w:sz w:val="18"/>
                <w:szCs w:val="18"/>
                <w:color w:val="auto"/>
              </w:rPr>
              <w:t>Restructuring charges related to inventory adjustments in cost of sales</w:t>
            </w:r>
          </w:p>
        </w:tc>
        <w:tc>
          <w:tcPr>
            <w:tcW w:w="2980" w:type="dxa"/>
            <w:vAlign w:val="bottom"/>
            <w:gridSpan w:val="2"/>
          </w:tcPr>
          <w:p>
            <w:pPr>
              <w:jc w:val="right"/>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2D53A6"/>
              <w:right w:val="single" w:sz="8" w:color="2D53A6"/>
            </w:tcBorders>
          </w:tcPr>
          <w:p>
            <w:pPr>
              <w:ind w:left="180"/>
              <w:spacing w:after="0"/>
              <w:rPr>
                <w:sz w:val="20"/>
                <w:szCs w:val="20"/>
                <w:color w:val="auto"/>
              </w:rPr>
            </w:pPr>
            <w:r>
              <w:rPr>
                <w:rFonts w:ascii="Arial" w:cs="Arial" w:eastAsia="Arial" w:hAnsi="Arial"/>
                <w:sz w:val="18"/>
                <w:szCs w:val="18"/>
                <w:color w:val="auto"/>
              </w:rPr>
              <w:t>Manufacturing transition and severance costs</w:t>
            </w:r>
          </w:p>
        </w:tc>
        <w:tc>
          <w:tcPr>
            <w:tcW w:w="2980" w:type="dxa"/>
            <w:vAlign w:val="bottom"/>
            <w:tcBorders>
              <w:bottom w:val="single" w:sz="8" w:color="2D53A6"/>
            </w:tcBorders>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69"/>
        </w:trPr>
        <w:tc>
          <w:tcPr>
            <w:tcW w:w="8260" w:type="dxa"/>
            <w:vAlign w:val="bottom"/>
          </w:tcPr>
          <w:p>
            <w:pPr>
              <w:spacing w:after="0" w:line="169" w:lineRule="exact"/>
              <w:rPr>
                <w:sz w:val="20"/>
                <w:szCs w:val="20"/>
                <w:color w:val="auto"/>
              </w:rPr>
            </w:pPr>
            <w:r>
              <w:rPr>
                <w:rFonts w:ascii="Arial" w:cs="Arial" w:eastAsia="Arial" w:hAnsi="Arial"/>
                <w:sz w:val="18"/>
                <w:szCs w:val="18"/>
                <w:color w:val="auto"/>
              </w:rPr>
              <w:t>Gross profit - non-GAAP basis</w:t>
            </w:r>
          </w:p>
        </w:tc>
        <w:tc>
          <w:tcPr>
            <w:tcW w:w="2980" w:type="dxa"/>
            <w:vAlign w:val="bottom"/>
            <w:gridSpan w:val="2"/>
          </w:tcPr>
          <w:p>
            <w:pPr>
              <w:jc w:val="right"/>
              <w:spacing w:after="0" w:line="169"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387,224</w:t>
            </w:r>
          </w:p>
        </w:tc>
        <w:tc>
          <w:tcPr>
            <w:tcW w:w="0" w:type="dxa"/>
            <w:vAlign w:val="bottom"/>
          </w:tcPr>
          <w:p>
            <w:pPr>
              <w:spacing w:after="0"/>
              <w:rPr>
                <w:sz w:val="1"/>
                <w:szCs w:val="1"/>
                <w:color w:val="auto"/>
              </w:rPr>
            </w:pPr>
          </w:p>
        </w:tc>
      </w:tr>
      <w:tr>
        <w:trPr>
          <w:trHeight w:val="21"/>
        </w:trPr>
        <w:tc>
          <w:tcPr>
            <w:tcW w:w="8260" w:type="dxa"/>
            <w:vAlign w:val="bottom"/>
            <w:tcBorders>
              <w:bottom w:val="single" w:sz="8" w:color="2D53A6"/>
            </w:tcBorders>
          </w:tcPr>
          <w:p>
            <w:pPr>
              <w:spacing w:after="0" w:line="20" w:lineRule="exact"/>
              <w:rPr>
                <w:sz w:val="1"/>
                <w:szCs w:val="1"/>
                <w:color w:val="auto"/>
              </w:rPr>
            </w:pPr>
          </w:p>
        </w:tc>
        <w:tc>
          <w:tcPr>
            <w:tcW w:w="2300" w:type="dxa"/>
            <w:vAlign w:val="bottom"/>
            <w:tcBorders>
              <w:bottom w:val="single" w:sz="8" w:color="2D53A6"/>
            </w:tcBorders>
          </w:tcPr>
          <w:p>
            <w:pPr>
              <w:spacing w:after="0" w:line="20" w:lineRule="exact"/>
              <w:rPr>
                <w:sz w:val="1"/>
                <w:szCs w:val="1"/>
                <w:color w:val="auto"/>
              </w:rPr>
            </w:pPr>
          </w:p>
        </w:tc>
        <w:tc>
          <w:tcPr>
            <w:tcW w:w="680" w:type="dxa"/>
            <w:vAlign w:val="bottom"/>
            <w:tcBorders>
              <w:top w:val="single" w:sz="8" w:color="auto"/>
              <w:bottom w:val="single" w:sz="8" w:color="2D53A6"/>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(1) Excludes amortization of $27,508 for the twelve months ending December 25, 2021.</w:t>
      </w:r>
    </w:p>
    <w:p>
      <w:pPr>
        <w:sectPr>
          <w:pgSz w:w="11900" w:h="16838" w:orient="portrait"/>
          <w:cols w:equalWidth="0" w:num="1">
            <w:col w:w="11240"/>
          </w:cols>
          <w:pgMar w:left="320" w:top="589" w:right="339" w:bottom="1440" w:gutter="0" w:footer="0" w:header="0"/>
        </w:sect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GAAP gross profit (as a % of net sales)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Non-GAAP gross profit (as a % of 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2832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283210"/>
                    </a:xfrm>
                    <a:prstGeom prst="rect">
                      <a:avLst/>
                    </a:prstGeom>
                    <a:noFill/>
                  </pic:spPr>
                </pic:pic>
              </a:graphicData>
            </a:graphic>
          </wp:anchor>
        </w:drawing>
      </w:r>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Pretax income reconciliation (in thousands)</w:t>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43.6%</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43.6%</w:t>
      </w:r>
    </w:p>
    <w:p>
      <w:pPr>
        <w:spacing w:after="0" w:line="207" w:lineRule="exact"/>
        <w:rPr>
          <w:sz w:val="20"/>
          <w:szCs w:val="20"/>
          <w:color w:val="auto"/>
        </w:rPr>
      </w:pPr>
    </w:p>
    <w:p>
      <w:pPr>
        <w:jc w:val="center"/>
        <w:ind w:right="640"/>
        <w:spacing w:after="0"/>
        <w:rPr>
          <w:sz w:val="20"/>
          <w:szCs w:val="20"/>
          <w:color w:val="auto"/>
        </w:rPr>
      </w:pPr>
      <w:r>
        <w:rPr>
          <w:rFonts w:ascii="Arial" w:cs="Arial" w:eastAsia="Arial" w:hAnsi="Arial"/>
          <w:sz w:val="16"/>
          <w:szCs w:val="16"/>
          <w:b w:val="1"/>
          <w:bCs w:val="1"/>
          <w:color w:val="FFFFFF"/>
        </w:rPr>
        <w:t>Twelve Months Ended</w:t>
      </w:r>
    </w:p>
    <w:p>
      <w:pPr>
        <w:spacing w:after="0" w:line="50"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FFFFFF"/>
        </w:rPr>
        <w:t>December 25, 2021</w:t>
      </w:r>
    </w:p>
    <w:p>
      <w:pPr>
        <w:spacing w:after="0" w:line="9" w:lineRule="exact"/>
        <w:rPr>
          <w:sz w:val="20"/>
          <w:szCs w:val="20"/>
          <w:color w:val="auto"/>
        </w:rPr>
      </w:pPr>
    </w:p>
    <w:p>
      <w:pPr>
        <w:sectPr>
          <w:pgSz w:w="11900" w:h="16838" w:orient="portrait"/>
          <w:cols w:equalWidth="0" w:num="2">
            <w:col w:w="8180" w:space="720"/>
            <w:col w:w="2340"/>
          </w:cols>
          <w:pgMar w:left="320" w:top="589" w:right="339" w:bottom="1440" w:gutter="0" w:footer="0" w:header="0"/>
          <w:type w:val="continuous"/>
        </w:sectPr>
      </w:pPr>
    </w:p>
    <w:tbl>
      <w:tblPr>
        <w:tblLayout w:type="fixed"/>
        <w:tblInd w:w="0" w:type="dxa"/>
        <w:tblCellMar>
          <w:top w:w="0" w:type="dxa"/>
          <w:left w:w="0" w:type="dxa"/>
          <w:bottom w:w="0" w:type="dxa"/>
          <w:right w:w="0" w:type="dxa"/>
        </w:tblCellMar>
      </w:tblPr>
      <w:tr>
        <w:trPr>
          <w:trHeight w:val="195"/>
        </w:trPr>
        <w:tc>
          <w:tcPr>
            <w:tcW w:w="5380" w:type="dxa"/>
            <w:vAlign w:val="bottom"/>
          </w:tcPr>
          <w:p>
            <w:pPr>
              <w:spacing w:after="0" w:line="195" w:lineRule="exact"/>
              <w:rPr>
                <w:sz w:val="20"/>
                <w:szCs w:val="20"/>
                <w:color w:val="auto"/>
              </w:rPr>
            </w:pPr>
            <w:r>
              <w:rPr>
                <w:rFonts w:ascii="Arial" w:cs="Arial" w:eastAsia="Arial" w:hAnsi="Arial"/>
                <w:sz w:val="18"/>
                <w:szCs w:val="18"/>
                <w:color w:val="auto"/>
              </w:rPr>
              <w:t>Pretax income - GAAP basis</w:t>
            </w:r>
          </w:p>
        </w:tc>
        <w:tc>
          <w:tcPr>
            <w:tcW w:w="2880" w:type="dxa"/>
            <w:vAlign w:val="bottom"/>
            <w:tcBorders>
              <w:right w:val="single" w:sz="8" w:color="2D53A6"/>
            </w:tcBorders>
          </w:tcPr>
          <w:p>
            <w:pPr>
              <w:spacing w:after="0"/>
              <w:rPr>
                <w:sz w:val="16"/>
                <w:szCs w:val="16"/>
                <w:color w:val="auto"/>
              </w:rPr>
            </w:pPr>
          </w:p>
        </w:tc>
        <w:tc>
          <w:tcPr>
            <w:tcW w:w="2980" w:type="dxa"/>
            <w:vAlign w:val="bottom"/>
            <w:tcBorders>
              <w:top w:val="single" w:sz="8" w:color="2D53A6"/>
            </w:tcBorders>
            <w:gridSpan w:val="2"/>
          </w:tcPr>
          <w:p>
            <w:pPr>
              <w:jc w:val="right"/>
              <w:spacing w:after="0" w:line="195" w:lineRule="exact"/>
              <w:rPr>
                <w:sz w:val="20"/>
                <w:szCs w:val="20"/>
                <w:color w:val="auto"/>
              </w:rPr>
            </w:pPr>
            <w:r>
              <w:rPr>
                <w:rFonts w:ascii="Arial" w:cs="Arial" w:eastAsia="Arial" w:hAnsi="Arial"/>
                <w:sz w:val="18"/>
                <w:szCs w:val="18"/>
                <w:color w:val="auto"/>
              </w:rPr>
              <w:t>$192,344</w:t>
            </w:r>
          </w:p>
        </w:tc>
      </w:tr>
      <w:tr>
        <w:trPr>
          <w:trHeight w:val="216"/>
        </w:trPr>
        <w:tc>
          <w:tcPr>
            <w:tcW w:w="5380" w:type="dxa"/>
            <w:vAlign w:val="bottom"/>
          </w:tcPr>
          <w:p>
            <w:pPr>
              <w:ind w:left="180"/>
              <w:spacing w:after="0"/>
              <w:rPr>
                <w:sz w:val="20"/>
                <w:szCs w:val="20"/>
                <w:color w:val="auto"/>
              </w:rPr>
            </w:pPr>
            <w:r>
              <w:rPr>
                <w:rFonts w:ascii="Arial" w:cs="Arial" w:eastAsia="Arial" w:hAnsi="Arial"/>
                <w:sz w:val="18"/>
                <w:szCs w:val="18"/>
                <w:color w:val="auto"/>
              </w:rPr>
              <w:t>Share-based compensation</w:t>
            </w:r>
          </w:p>
        </w:tc>
        <w:tc>
          <w:tcPr>
            <w:tcW w:w="2880" w:type="dxa"/>
            <w:vAlign w:val="bottom"/>
            <w:tcBorders>
              <w:right w:val="single" w:sz="8" w:color="2D53A6"/>
            </w:tcBorders>
          </w:tcPr>
          <w:p>
            <w:pPr>
              <w:spacing w:after="0"/>
              <w:rPr>
                <w:sz w:val="18"/>
                <w:szCs w:val="18"/>
                <w:color w:val="auto"/>
              </w:rPr>
            </w:pPr>
          </w:p>
        </w:tc>
        <w:tc>
          <w:tcPr>
            <w:tcW w:w="2980" w:type="dxa"/>
            <w:vAlign w:val="bottom"/>
            <w:gridSpan w:val="2"/>
          </w:tcPr>
          <w:p>
            <w:pPr>
              <w:jc w:val="right"/>
              <w:spacing w:after="0"/>
              <w:rPr>
                <w:sz w:val="20"/>
                <w:szCs w:val="20"/>
                <w:color w:val="auto"/>
              </w:rPr>
            </w:pPr>
            <w:r>
              <w:rPr>
                <w:rFonts w:ascii="Arial" w:cs="Arial" w:eastAsia="Arial" w:hAnsi="Arial"/>
                <w:sz w:val="18"/>
                <w:szCs w:val="18"/>
                <w:color w:val="auto"/>
              </w:rPr>
              <w:t>13,792</w:t>
            </w:r>
          </w:p>
        </w:tc>
      </w:tr>
      <w:tr>
        <w:trPr>
          <w:trHeight w:val="216"/>
        </w:trPr>
        <w:tc>
          <w:tcPr>
            <w:tcW w:w="5380" w:type="dxa"/>
            <w:vAlign w:val="bottom"/>
          </w:tcPr>
          <w:p>
            <w:pPr>
              <w:ind w:left="180"/>
              <w:spacing w:after="0"/>
              <w:rPr>
                <w:sz w:val="20"/>
                <w:szCs w:val="20"/>
                <w:color w:val="auto"/>
              </w:rPr>
            </w:pPr>
            <w:r>
              <w:rPr>
                <w:rFonts w:ascii="Arial" w:cs="Arial" w:eastAsia="Arial" w:hAnsi="Arial"/>
                <w:sz w:val="18"/>
                <w:szCs w:val="18"/>
                <w:color w:val="auto"/>
              </w:rPr>
              <w:t>Amortization of purchased intangible assets</w:t>
            </w:r>
          </w:p>
        </w:tc>
        <w:tc>
          <w:tcPr>
            <w:tcW w:w="2880" w:type="dxa"/>
            <w:vAlign w:val="bottom"/>
            <w:tcBorders>
              <w:right w:val="single" w:sz="8" w:color="2D53A6"/>
            </w:tcBorders>
          </w:tcPr>
          <w:p>
            <w:pPr>
              <w:spacing w:after="0"/>
              <w:rPr>
                <w:sz w:val="18"/>
                <w:szCs w:val="18"/>
                <w:color w:val="auto"/>
              </w:rPr>
            </w:pPr>
          </w:p>
        </w:tc>
        <w:tc>
          <w:tcPr>
            <w:tcW w:w="2980" w:type="dxa"/>
            <w:vAlign w:val="bottom"/>
            <w:gridSpan w:val="2"/>
          </w:tcPr>
          <w:p>
            <w:pPr>
              <w:jc w:val="right"/>
              <w:spacing w:after="0"/>
              <w:rPr>
                <w:sz w:val="20"/>
                <w:szCs w:val="20"/>
                <w:color w:val="auto"/>
              </w:rPr>
            </w:pPr>
            <w:r>
              <w:rPr>
                <w:rFonts w:ascii="Arial" w:cs="Arial" w:eastAsia="Arial" w:hAnsi="Arial"/>
                <w:sz w:val="18"/>
                <w:szCs w:val="18"/>
                <w:color w:val="auto"/>
              </w:rPr>
              <w:t>35,414</w:t>
            </w:r>
          </w:p>
        </w:tc>
      </w:tr>
      <w:tr>
        <w:trPr>
          <w:trHeight w:val="216"/>
        </w:trPr>
        <w:tc>
          <w:tcPr>
            <w:tcW w:w="5380" w:type="dxa"/>
            <w:vAlign w:val="bottom"/>
          </w:tcPr>
          <w:p>
            <w:pPr>
              <w:ind w:left="180"/>
              <w:spacing w:after="0"/>
              <w:rPr>
                <w:sz w:val="20"/>
                <w:szCs w:val="20"/>
                <w:color w:val="auto"/>
              </w:rPr>
            </w:pPr>
            <w:r>
              <w:rPr>
                <w:rFonts w:ascii="Arial" w:cs="Arial" w:eastAsia="Arial" w:hAnsi="Arial"/>
                <w:sz w:val="18"/>
                <w:szCs w:val="18"/>
                <w:color w:val="auto"/>
                <w:w w:val="92"/>
              </w:rPr>
              <w:t>Restructuring charges related to inventory adjustments in cost of sales</w:t>
            </w:r>
          </w:p>
        </w:tc>
        <w:tc>
          <w:tcPr>
            <w:tcW w:w="2880" w:type="dxa"/>
            <w:vAlign w:val="bottom"/>
            <w:tcBorders>
              <w:right w:val="single" w:sz="8" w:color="2D53A6"/>
            </w:tcBorders>
          </w:tcPr>
          <w:p>
            <w:pPr>
              <w:spacing w:after="0"/>
              <w:rPr>
                <w:sz w:val="18"/>
                <w:szCs w:val="18"/>
                <w:color w:val="auto"/>
              </w:rPr>
            </w:pPr>
          </w:p>
        </w:tc>
        <w:tc>
          <w:tcPr>
            <w:tcW w:w="2980" w:type="dxa"/>
            <w:vAlign w:val="bottom"/>
            <w:gridSpan w:val="2"/>
          </w:tcPr>
          <w:p>
            <w:pPr>
              <w:jc w:val="right"/>
              <w:spacing w:after="0"/>
              <w:rPr>
                <w:sz w:val="20"/>
                <w:szCs w:val="20"/>
                <w:color w:val="auto"/>
              </w:rPr>
            </w:pPr>
            <w:r>
              <w:rPr>
                <w:rFonts w:ascii="Arial" w:cs="Arial" w:eastAsia="Arial" w:hAnsi="Arial"/>
                <w:sz w:val="18"/>
                <w:szCs w:val="18"/>
                <w:color w:val="auto"/>
              </w:rPr>
              <w:t>(558)</w:t>
            </w:r>
          </w:p>
        </w:tc>
      </w:tr>
      <w:tr>
        <w:trPr>
          <w:trHeight w:val="216"/>
        </w:trPr>
        <w:tc>
          <w:tcPr>
            <w:tcW w:w="5380" w:type="dxa"/>
            <w:vAlign w:val="bottom"/>
          </w:tcPr>
          <w:p>
            <w:pPr>
              <w:ind w:left="180"/>
              <w:spacing w:after="0"/>
              <w:rPr>
                <w:sz w:val="20"/>
                <w:szCs w:val="20"/>
                <w:color w:val="auto"/>
              </w:rPr>
            </w:pPr>
            <w:r>
              <w:rPr>
                <w:rFonts w:ascii="Arial" w:cs="Arial" w:eastAsia="Arial" w:hAnsi="Arial"/>
                <w:sz w:val="18"/>
                <w:szCs w:val="18"/>
                <w:color w:val="auto"/>
              </w:rPr>
              <w:t>Restructuring charges</w:t>
            </w:r>
          </w:p>
        </w:tc>
        <w:tc>
          <w:tcPr>
            <w:tcW w:w="2880" w:type="dxa"/>
            <w:vAlign w:val="bottom"/>
            <w:tcBorders>
              <w:right w:val="single" w:sz="8" w:color="2D53A6"/>
            </w:tcBorders>
          </w:tcPr>
          <w:p>
            <w:pPr>
              <w:spacing w:after="0"/>
              <w:rPr>
                <w:sz w:val="18"/>
                <w:szCs w:val="18"/>
                <w:color w:val="auto"/>
              </w:rPr>
            </w:pPr>
          </w:p>
        </w:tc>
        <w:tc>
          <w:tcPr>
            <w:tcW w:w="2980" w:type="dxa"/>
            <w:vAlign w:val="bottom"/>
            <w:gridSpan w:val="2"/>
          </w:tcPr>
          <w:p>
            <w:pPr>
              <w:jc w:val="right"/>
              <w:spacing w:after="0"/>
              <w:rPr>
                <w:sz w:val="20"/>
                <w:szCs w:val="20"/>
                <w:color w:val="auto"/>
              </w:rPr>
            </w:pPr>
            <w:r>
              <w:rPr>
                <w:rFonts w:ascii="Arial" w:cs="Arial" w:eastAsia="Arial" w:hAnsi="Arial"/>
                <w:sz w:val="18"/>
                <w:szCs w:val="18"/>
                <w:color w:val="auto"/>
              </w:rPr>
              <w:t>1,833</w:t>
            </w:r>
          </w:p>
        </w:tc>
      </w:tr>
      <w:tr>
        <w:trPr>
          <w:trHeight w:val="216"/>
        </w:trPr>
        <w:tc>
          <w:tcPr>
            <w:tcW w:w="5380" w:type="dxa"/>
            <w:vAlign w:val="bottom"/>
          </w:tcPr>
          <w:p>
            <w:pPr>
              <w:ind w:left="180"/>
              <w:spacing w:after="0"/>
              <w:rPr>
                <w:sz w:val="20"/>
                <w:szCs w:val="20"/>
                <w:color w:val="auto"/>
              </w:rPr>
            </w:pPr>
            <w:r>
              <w:rPr>
                <w:rFonts w:ascii="Arial" w:cs="Arial" w:eastAsia="Arial" w:hAnsi="Arial"/>
                <w:sz w:val="18"/>
                <w:szCs w:val="18"/>
                <w:color w:val="auto"/>
              </w:rPr>
              <w:t>Manufacturing transition and severance costs</w:t>
            </w:r>
          </w:p>
        </w:tc>
        <w:tc>
          <w:tcPr>
            <w:tcW w:w="2880" w:type="dxa"/>
            <w:vAlign w:val="bottom"/>
            <w:tcBorders>
              <w:right w:val="single" w:sz="8" w:color="2D53A6"/>
            </w:tcBorders>
          </w:tcPr>
          <w:p>
            <w:pPr>
              <w:spacing w:after="0"/>
              <w:rPr>
                <w:sz w:val="18"/>
                <w:szCs w:val="18"/>
                <w:color w:val="auto"/>
              </w:rPr>
            </w:pPr>
          </w:p>
        </w:tc>
        <w:tc>
          <w:tcPr>
            <w:tcW w:w="2980" w:type="dxa"/>
            <w:vAlign w:val="bottom"/>
            <w:gridSpan w:val="2"/>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5380" w:type="dxa"/>
            <w:vAlign w:val="bottom"/>
          </w:tcPr>
          <w:p>
            <w:pPr>
              <w:ind w:left="180"/>
              <w:spacing w:after="0"/>
              <w:rPr>
                <w:sz w:val="20"/>
                <w:szCs w:val="20"/>
                <w:color w:val="auto"/>
              </w:rPr>
            </w:pPr>
            <w:r>
              <w:rPr>
                <w:rFonts w:ascii="Arial" w:cs="Arial" w:eastAsia="Arial" w:hAnsi="Arial"/>
                <w:sz w:val="18"/>
                <w:szCs w:val="18"/>
                <w:color w:val="auto"/>
              </w:rPr>
              <w:t>Impairment charges</w:t>
            </w:r>
          </w:p>
        </w:tc>
        <w:tc>
          <w:tcPr>
            <w:tcW w:w="2880" w:type="dxa"/>
            <w:vAlign w:val="bottom"/>
            <w:tcBorders>
              <w:right w:val="single" w:sz="8" w:color="2D53A6"/>
            </w:tcBorders>
          </w:tcPr>
          <w:p>
            <w:pPr>
              <w:spacing w:after="0"/>
              <w:rPr>
                <w:sz w:val="18"/>
                <w:szCs w:val="18"/>
                <w:color w:val="auto"/>
              </w:rPr>
            </w:pPr>
          </w:p>
        </w:tc>
        <w:tc>
          <w:tcPr>
            <w:tcW w:w="298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5380" w:type="dxa"/>
            <w:vAlign w:val="bottom"/>
          </w:tcPr>
          <w:p>
            <w:pPr>
              <w:ind w:left="180"/>
              <w:spacing w:after="0"/>
              <w:rPr>
                <w:sz w:val="20"/>
                <w:szCs w:val="20"/>
                <w:color w:val="auto"/>
              </w:rPr>
            </w:pPr>
            <w:r>
              <w:rPr>
                <w:rFonts w:ascii="Arial" w:cs="Arial" w:eastAsia="Arial" w:hAnsi="Arial"/>
                <w:sz w:val="18"/>
                <w:szCs w:val="18"/>
                <w:color w:val="auto"/>
              </w:rPr>
              <w:t>Gain on sale of PCB Test business</w:t>
            </w:r>
          </w:p>
        </w:tc>
        <w:tc>
          <w:tcPr>
            <w:tcW w:w="2880" w:type="dxa"/>
            <w:vAlign w:val="bottom"/>
            <w:tcBorders>
              <w:right w:val="single" w:sz="8" w:color="2D53A6"/>
            </w:tcBorders>
          </w:tcPr>
          <w:p>
            <w:pPr>
              <w:spacing w:after="0"/>
              <w:rPr>
                <w:sz w:val="18"/>
                <w:szCs w:val="18"/>
                <w:color w:val="auto"/>
              </w:rPr>
            </w:pPr>
          </w:p>
        </w:tc>
        <w:tc>
          <w:tcPr>
            <w:tcW w:w="2980" w:type="dxa"/>
            <w:vAlign w:val="bottom"/>
            <w:gridSpan w:val="2"/>
          </w:tcPr>
          <w:p>
            <w:pPr>
              <w:jc w:val="right"/>
              <w:spacing w:after="0"/>
              <w:rPr>
                <w:sz w:val="20"/>
                <w:szCs w:val="20"/>
                <w:color w:val="auto"/>
              </w:rPr>
            </w:pPr>
            <w:r>
              <w:rPr>
                <w:rFonts w:ascii="Arial" w:cs="Arial" w:eastAsia="Arial" w:hAnsi="Arial"/>
                <w:sz w:val="18"/>
                <w:szCs w:val="18"/>
                <w:color w:val="auto"/>
              </w:rPr>
              <w:t>(70,815)</w:t>
            </w:r>
          </w:p>
        </w:tc>
      </w:tr>
      <w:tr>
        <w:trPr>
          <w:trHeight w:val="216"/>
        </w:trPr>
        <w:tc>
          <w:tcPr>
            <w:tcW w:w="5380" w:type="dxa"/>
            <w:vAlign w:val="bottom"/>
          </w:tcPr>
          <w:p>
            <w:pPr>
              <w:ind w:left="180"/>
              <w:spacing w:after="0"/>
              <w:rPr>
                <w:sz w:val="20"/>
                <w:szCs w:val="20"/>
                <w:color w:val="auto"/>
              </w:rPr>
            </w:pPr>
            <w:r>
              <w:rPr>
                <w:rFonts w:ascii="Arial" w:cs="Arial" w:eastAsia="Arial" w:hAnsi="Arial"/>
                <w:sz w:val="18"/>
                <w:szCs w:val="18"/>
                <w:color w:val="auto"/>
              </w:rPr>
              <w:t>PP&amp;E step-up included in SG&amp;A</w:t>
            </w:r>
          </w:p>
        </w:tc>
        <w:tc>
          <w:tcPr>
            <w:tcW w:w="2880" w:type="dxa"/>
            <w:vAlign w:val="bottom"/>
            <w:tcBorders>
              <w:right w:val="single" w:sz="8" w:color="2D53A6"/>
            </w:tcBorders>
          </w:tcPr>
          <w:p>
            <w:pPr>
              <w:spacing w:after="0"/>
              <w:rPr>
                <w:sz w:val="18"/>
                <w:szCs w:val="18"/>
                <w:color w:val="auto"/>
              </w:rPr>
            </w:pPr>
          </w:p>
        </w:tc>
        <w:tc>
          <w:tcPr>
            <w:tcW w:w="2980" w:type="dxa"/>
            <w:vAlign w:val="bottom"/>
            <w:gridSpan w:val="2"/>
          </w:tcPr>
          <w:p>
            <w:pPr>
              <w:jc w:val="right"/>
              <w:spacing w:after="0"/>
              <w:rPr>
                <w:sz w:val="20"/>
                <w:szCs w:val="20"/>
                <w:color w:val="auto"/>
              </w:rPr>
            </w:pPr>
            <w:r>
              <w:rPr>
                <w:rFonts w:ascii="Arial" w:cs="Arial" w:eastAsia="Arial" w:hAnsi="Arial"/>
                <w:sz w:val="18"/>
                <w:szCs w:val="18"/>
                <w:color w:val="auto"/>
              </w:rPr>
              <w:t>435</w:t>
            </w:r>
          </w:p>
        </w:tc>
      </w:tr>
      <w:tr>
        <w:trPr>
          <w:trHeight w:val="216"/>
        </w:trPr>
        <w:tc>
          <w:tcPr>
            <w:tcW w:w="5380" w:type="dxa"/>
            <w:vAlign w:val="bottom"/>
          </w:tcPr>
          <w:p>
            <w:pPr>
              <w:ind w:left="180"/>
              <w:spacing w:after="0"/>
              <w:rPr>
                <w:sz w:val="20"/>
                <w:szCs w:val="20"/>
                <w:color w:val="auto"/>
              </w:rPr>
            </w:pPr>
            <w:r>
              <w:rPr>
                <w:rFonts w:ascii="Arial" w:cs="Arial" w:eastAsia="Arial" w:hAnsi="Arial"/>
                <w:sz w:val="18"/>
                <w:szCs w:val="18"/>
                <w:color w:val="auto"/>
              </w:rPr>
              <w:t>Reduction of indemnification receivable</w:t>
            </w:r>
          </w:p>
        </w:tc>
        <w:tc>
          <w:tcPr>
            <w:tcW w:w="2880" w:type="dxa"/>
            <w:vAlign w:val="bottom"/>
            <w:tcBorders>
              <w:right w:val="single" w:sz="8" w:color="2D53A6"/>
            </w:tcBorders>
          </w:tcPr>
          <w:p>
            <w:pPr>
              <w:spacing w:after="0"/>
              <w:rPr>
                <w:sz w:val="18"/>
                <w:szCs w:val="18"/>
                <w:color w:val="auto"/>
              </w:rPr>
            </w:pPr>
          </w:p>
        </w:tc>
        <w:tc>
          <w:tcPr>
            <w:tcW w:w="2980" w:type="dxa"/>
            <w:vAlign w:val="bottom"/>
            <w:gridSpan w:val="2"/>
          </w:tcPr>
          <w:p>
            <w:pPr>
              <w:jc w:val="right"/>
              <w:spacing w:after="0"/>
              <w:rPr>
                <w:sz w:val="20"/>
                <w:szCs w:val="20"/>
                <w:color w:val="auto"/>
              </w:rPr>
            </w:pPr>
            <w:r>
              <w:rPr>
                <w:rFonts w:ascii="Arial" w:cs="Arial" w:eastAsia="Arial" w:hAnsi="Arial"/>
                <w:sz w:val="18"/>
                <w:szCs w:val="18"/>
                <w:color w:val="auto"/>
              </w:rPr>
              <w:t>75</w:t>
            </w:r>
          </w:p>
        </w:tc>
      </w:tr>
      <w:tr>
        <w:trPr>
          <w:trHeight w:val="230"/>
        </w:trPr>
        <w:tc>
          <w:tcPr>
            <w:tcW w:w="5380" w:type="dxa"/>
            <w:vAlign w:val="bottom"/>
            <w:tcBorders>
              <w:bottom w:val="single" w:sz="8" w:color="2D53A6"/>
            </w:tcBorders>
          </w:tcPr>
          <w:p>
            <w:pPr>
              <w:ind w:left="180"/>
              <w:spacing w:after="0"/>
              <w:rPr>
                <w:sz w:val="20"/>
                <w:szCs w:val="20"/>
                <w:color w:val="auto"/>
              </w:rPr>
            </w:pPr>
            <w:r>
              <w:rPr>
                <w:rFonts w:ascii="Arial" w:cs="Arial" w:eastAsia="Arial" w:hAnsi="Arial"/>
                <w:sz w:val="18"/>
                <w:szCs w:val="18"/>
                <w:color w:val="auto"/>
              </w:rPr>
              <w:t>Payroll taxes related to accelerated vesting of share-based</w:t>
            </w:r>
          </w:p>
        </w:tc>
        <w:tc>
          <w:tcPr>
            <w:tcW w:w="2880" w:type="dxa"/>
            <w:vAlign w:val="bottom"/>
            <w:tcBorders>
              <w:bottom w:val="single" w:sz="8" w:color="2D53A6"/>
              <w:right w:val="single" w:sz="8" w:color="2D53A6"/>
            </w:tcBorders>
          </w:tcPr>
          <w:p>
            <w:pPr>
              <w:spacing w:after="0"/>
              <w:rPr>
                <w:sz w:val="20"/>
                <w:szCs w:val="20"/>
                <w:color w:val="auto"/>
              </w:rPr>
            </w:pPr>
          </w:p>
        </w:tc>
        <w:tc>
          <w:tcPr>
            <w:tcW w:w="2980" w:type="dxa"/>
            <w:vAlign w:val="bottom"/>
            <w:tcBorders>
              <w:bottom w:val="single" w:sz="8" w:color="2D53A6"/>
            </w:tcBorders>
            <w:gridSpan w:val="2"/>
          </w:tcPr>
          <w:p>
            <w:pPr>
              <w:jc w:val="right"/>
              <w:spacing w:after="0"/>
              <w:rPr>
                <w:sz w:val="20"/>
                <w:szCs w:val="20"/>
                <w:color w:val="auto"/>
              </w:rPr>
            </w:pPr>
            <w:r>
              <w:rPr>
                <w:rFonts w:ascii="Arial" w:cs="Arial" w:eastAsia="Arial" w:hAnsi="Arial"/>
                <w:sz w:val="18"/>
                <w:szCs w:val="18"/>
                <w:color w:val="auto"/>
              </w:rPr>
              <w:t>300</w:t>
            </w:r>
          </w:p>
        </w:tc>
      </w:tr>
      <w:tr>
        <w:trPr>
          <w:trHeight w:val="169"/>
        </w:trPr>
        <w:tc>
          <w:tcPr>
            <w:tcW w:w="5380" w:type="dxa"/>
            <w:vAlign w:val="bottom"/>
          </w:tcPr>
          <w:p>
            <w:pPr>
              <w:spacing w:after="0" w:line="169" w:lineRule="exact"/>
              <w:rPr>
                <w:sz w:val="20"/>
                <w:szCs w:val="20"/>
                <w:color w:val="auto"/>
              </w:rPr>
            </w:pPr>
            <w:r>
              <w:rPr>
                <w:rFonts w:ascii="Arial" w:cs="Arial" w:eastAsia="Arial" w:hAnsi="Arial"/>
                <w:sz w:val="18"/>
                <w:szCs w:val="18"/>
                <w:color w:val="auto"/>
              </w:rPr>
              <w:t>Pretax income - non-GAAP basis</w:t>
            </w:r>
          </w:p>
        </w:tc>
        <w:tc>
          <w:tcPr>
            <w:tcW w:w="5860" w:type="dxa"/>
            <w:vAlign w:val="bottom"/>
            <w:gridSpan w:val="3"/>
          </w:tcPr>
          <w:p>
            <w:pPr>
              <w:jc w:val="right"/>
              <w:spacing w:after="0" w:line="169"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172,911</w:t>
            </w:r>
          </w:p>
        </w:tc>
      </w:tr>
      <w:tr>
        <w:trPr>
          <w:trHeight w:val="20"/>
        </w:trPr>
        <w:tc>
          <w:tcPr>
            <w:tcW w:w="5380" w:type="dxa"/>
            <w:vAlign w:val="bottom"/>
            <w:tcBorders>
              <w:bottom w:val="single" w:sz="8" w:color="2D53A6"/>
            </w:tcBorders>
          </w:tcPr>
          <w:p>
            <w:pPr>
              <w:spacing w:after="0" w:line="20" w:lineRule="exact"/>
              <w:rPr>
                <w:sz w:val="1"/>
                <w:szCs w:val="1"/>
                <w:color w:val="auto"/>
              </w:rPr>
            </w:pPr>
          </w:p>
        </w:tc>
        <w:tc>
          <w:tcPr>
            <w:tcW w:w="2880" w:type="dxa"/>
            <w:vAlign w:val="bottom"/>
            <w:tcBorders>
              <w:bottom w:val="single" w:sz="8" w:color="2D53A6"/>
            </w:tcBorders>
          </w:tcPr>
          <w:p>
            <w:pPr>
              <w:spacing w:after="0" w:line="20" w:lineRule="exact"/>
              <w:rPr>
                <w:sz w:val="1"/>
                <w:szCs w:val="1"/>
                <w:color w:val="auto"/>
              </w:rPr>
            </w:pPr>
          </w:p>
        </w:tc>
        <w:tc>
          <w:tcPr>
            <w:tcW w:w="2320" w:type="dxa"/>
            <w:vAlign w:val="bottom"/>
            <w:tcBorders>
              <w:bottom w:val="single" w:sz="8" w:color="2D53A6"/>
            </w:tcBorders>
          </w:tcPr>
          <w:p>
            <w:pPr>
              <w:spacing w:after="0" w:line="20" w:lineRule="exact"/>
              <w:rPr>
                <w:sz w:val="1"/>
                <w:szCs w:val="1"/>
                <w:color w:val="auto"/>
              </w:rPr>
            </w:pPr>
          </w:p>
        </w:tc>
        <w:tc>
          <w:tcPr>
            <w:tcW w:w="660" w:type="dxa"/>
            <w:vAlign w:val="bottom"/>
            <w:tcBorders>
              <w:top w:val="single" w:sz="8" w:color="auto"/>
              <w:bottom w:val="single" w:sz="8" w:color="2D53A6"/>
            </w:tcBorders>
          </w:tcPr>
          <w:p>
            <w:pPr>
              <w:spacing w:after="0" w:line="20" w:lineRule="exact"/>
              <w:rPr>
                <w:sz w:val="1"/>
                <w:szCs w:val="1"/>
                <w:color w:val="auto"/>
              </w:rPr>
            </w:pPr>
          </w:p>
        </w:tc>
      </w:tr>
      <w:tr>
        <w:trPr>
          <w:trHeight w:val="411"/>
        </w:trPr>
        <w:tc>
          <w:tcPr>
            <w:tcW w:w="5380" w:type="dxa"/>
            <w:vAlign w:val="bottom"/>
          </w:tcPr>
          <w:p>
            <w:pPr>
              <w:spacing w:after="0"/>
              <w:rPr>
                <w:sz w:val="20"/>
                <w:szCs w:val="20"/>
                <w:color w:val="auto"/>
              </w:rPr>
            </w:pPr>
            <w:r>
              <w:rPr>
                <w:rFonts w:ascii="Arial" w:cs="Arial" w:eastAsia="Arial" w:hAnsi="Arial"/>
                <w:sz w:val="18"/>
                <w:szCs w:val="18"/>
                <w:color w:val="auto"/>
              </w:rPr>
              <w:t>Pretax income - GAAP basis (as a % of net sales)</w:t>
            </w:r>
          </w:p>
        </w:tc>
        <w:tc>
          <w:tcPr>
            <w:tcW w:w="5860" w:type="dxa"/>
            <w:vAlign w:val="bottom"/>
            <w:gridSpan w:val="3"/>
          </w:tcPr>
          <w:p>
            <w:pPr>
              <w:jc w:val="right"/>
              <w:spacing w:after="0"/>
              <w:rPr>
                <w:sz w:val="20"/>
                <w:szCs w:val="20"/>
                <w:color w:val="auto"/>
              </w:rPr>
            </w:pPr>
            <w:r>
              <w:rPr>
                <w:rFonts w:ascii="Arial" w:cs="Arial" w:eastAsia="Arial" w:hAnsi="Arial"/>
                <w:sz w:val="18"/>
                <w:szCs w:val="18"/>
                <w:color w:val="auto"/>
              </w:rPr>
              <w:t>21.7%</w:t>
            </w: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Pretax income - non-GAAP basis (as a % of net sales)</w:t>
            </w:r>
          </w:p>
        </w:tc>
        <w:tc>
          <w:tcPr>
            <w:tcW w:w="5860" w:type="dxa"/>
            <w:vAlign w:val="bottom"/>
            <w:gridSpan w:val="3"/>
          </w:tcPr>
          <w:p>
            <w:pPr>
              <w:jc w:val="right"/>
              <w:spacing w:after="0"/>
              <w:rPr>
                <w:sz w:val="20"/>
                <w:szCs w:val="20"/>
                <w:color w:val="auto"/>
              </w:rPr>
            </w:pPr>
            <w:r>
              <w:rPr>
                <w:rFonts w:ascii="Arial" w:cs="Arial" w:eastAsia="Arial" w:hAnsi="Arial"/>
                <w:sz w:val="18"/>
                <w:szCs w:val="18"/>
                <w:color w:val="auto"/>
              </w:rPr>
              <w:t>19.5%</w:t>
            </w:r>
          </w:p>
        </w:tc>
      </w:tr>
      <w:tr>
        <w:trPr>
          <w:trHeight w:val="432"/>
        </w:trPr>
        <w:tc>
          <w:tcPr>
            <w:tcW w:w="5380" w:type="dxa"/>
            <w:vAlign w:val="bottom"/>
          </w:tcPr>
          <w:p>
            <w:pPr>
              <w:spacing w:after="0"/>
              <w:rPr>
                <w:sz w:val="24"/>
                <w:szCs w:val="24"/>
                <w:color w:val="auto"/>
              </w:rPr>
            </w:pPr>
          </w:p>
        </w:tc>
        <w:tc>
          <w:tcPr>
            <w:tcW w:w="2880" w:type="dxa"/>
            <w:vAlign w:val="bottom"/>
          </w:tcPr>
          <w:p>
            <w:pPr>
              <w:jc w:val="right"/>
              <w:ind w:right="2450"/>
              <w:spacing w:after="0"/>
              <w:rPr>
                <w:sz w:val="20"/>
                <w:szCs w:val="20"/>
                <w:color w:val="auto"/>
              </w:rPr>
            </w:pPr>
            <w:r>
              <w:rPr>
                <w:rFonts w:ascii="Arial" w:cs="Arial" w:eastAsia="Arial" w:hAnsi="Arial"/>
                <w:sz w:val="18"/>
                <w:szCs w:val="18"/>
                <w:color w:val="auto"/>
              </w:rPr>
              <w:t>65</w:t>
            </w:r>
          </w:p>
        </w:tc>
        <w:tc>
          <w:tcPr>
            <w:tcW w:w="23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15"/>
        </w:trPr>
        <w:tc>
          <w:tcPr>
            <w:tcW w:w="5380" w:type="dxa"/>
            <w:vAlign w:val="bottom"/>
            <w:tcBorders>
              <w:bottom w:val="single" w:sz="8" w:color="auto"/>
            </w:tcBorders>
          </w:tcPr>
          <w:p>
            <w:pPr>
              <w:spacing w:after="0"/>
              <w:rPr>
                <w:sz w:val="10"/>
                <w:szCs w:val="10"/>
                <w:color w:val="auto"/>
              </w:rPr>
            </w:pPr>
          </w:p>
        </w:tc>
        <w:tc>
          <w:tcPr>
            <w:tcW w:w="2880" w:type="dxa"/>
            <w:vAlign w:val="bottom"/>
            <w:tcBorders>
              <w:bottom w:val="single" w:sz="8" w:color="auto"/>
            </w:tcBorders>
          </w:tcPr>
          <w:p>
            <w:pPr>
              <w:spacing w:after="0"/>
              <w:rPr>
                <w:sz w:val="10"/>
                <w:szCs w:val="10"/>
                <w:color w:val="auto"/>
              </w:rPr>
            </w:pPr>
          </w:p>
        </w:tc>
        <w:tc>
          <w:tcPr>
            <w:tcW w:w="23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9" w:right="339" w:bottom="1440" w:gutter="0" w:footer="0" w:header="0"/>
          <w:type w:val="continuous"/>
        </w:sectPr>
      </w:pPr>
    </w:p>
    <w:bookmarkStart w:id="71" w:name="page72"/>
    <w:bookmarkEnd w:id="71"/>
    <w:p>
      <w:pPr>
        <w:spacing w:after="0"/>
        <w:rPr>
          <w:sz w:val="20"/>
          <w:szCs w:val="20"/>
          <w:color w:val="auto"/>
        </w:rPr>
      </w:pPr>
      <w:r>
        <w:rPr>
          <w:rFonts w:ascii="Arial" w:cs="Arial" w:eastAsia="Arial" w:hAnsi="Arial"/>
          <w:sz w:val="22"/>
          <w:szCs w:val="22"/>
          <w:b w:val="1"/>
          <w:bCs w:val="1"/>
          <w:color w:val="auto"/>
        </w:rPr>
        <w:t>Appendix B</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2D53A6"/>
        </w:rPr>
        <w:t>Proposed Amendment to the Cohu, Inc. Amended and Restated Certificate of Incorporation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Cohu, Inc., a corporation organized and existing under the laws of the State of Delaware (the “Corporation”), hereby certifies that:</w:t>
      </w:r>
    </w:p>
    <w:p>
      <w:pPr>
        <w:spacing w:after="0" w:line="221"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FIRST</w:t>
      </w:r>
      <w:r>
        <w:rPr>
          <w:rFonts w:ascii="Arial" w:cs="Arial" w:eastAsia="Arial" w:hAnsi="Arial"/>
          <w:sz w:val="18"/>
          <w:szCs w:val="18"/>
          <w:color w:val="auto"/>
        </w:rPr>
        <w:t>: This Certificate of Amendment amends the provisions of the Corporation’s Amended and Restated Certificate of Incorporation (the “Certificate of</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Incorporation”).</w:t>
      </w:r>
    </w:p>
    <w:p>
      <w:pPr>
        <w:spacing w:after="0" w:line="162"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b w:val="1"/>
          <w:bCs w:val="1"/>
          <w:color w:val="auto"/>
        </w:rPr>
        <w:t>SECOND</w:t>
      </w:r>
      <w:r>
        <w:rPr>
          <w:rFonts w:ascii="Arial" w:cs="Arial" w:eastAsia="Arial" w:hAnsi="Arial"/>
          <w:sz w:val="18"/>
          <w:szCs w:val="18"/>
          <w:color w:val="auto"/>
        </w:rPr>
        <w:t>: Pursuant to the Section 242 of the Delaware General Corporation Law, this Certificate of Amendment hereby further amends the provisions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Corporation’s Amended and Restated Certificate of Incorporation by deleting the first paragraph of ARTICLE FOURTH and substituting a new first paragraph to read in its entirety as follows:</w:t>
      </w:r>
    </w:p>
    <w:p>
      <w:pPr>
        <w:spacing w:after="0" w:line="176"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b w:val="1"/>
          <w:bCs w:val="1"/>
          <w:color w:val="auto"/>
        </w:rPr>
        <w:t>“The total number of shares of all classes of stock which the Corporation shall have authority to issue is 91,000,000 shares, of which 1,000,000 shares shall constitute Preferred Stock having a par value of $1.00 per share and 90,000,000 shares shall constitute Common Stock having a par value of $1.00 per share.</w:t>
      </w:r>
      <w:r>
        <w:rPr>
          <w:rFonts w:ascii="Arial" w:cs="Arial" w:eastAsia="Arial" w:hAnsi="Arial"/>
          <w:sz w:val="18"/>
          <w:szCs w:val="18"/>
          <w:color w:val="auto"/>
        </w:rPr>
        <w:t>”</w:t>
      </w:r>
    </w:p>
    <w:p>
      <w:pPr>
        <w:spacing w:after="0" w:line="176"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THIRD</w:t>
      </w:r>
      <w:r>
        <w:rPr>
          <w:rFonts w:ascii="Arial" w:cs="Arial" w:eastAsia="Arial" w:hAnsi="Arial"/>
          <w:sz w:val="18"/>
          <w:szCs w:val="18"/>
          <w:color w:val="auto"/>
        </w:rPr>
        <w:t>: This Certificate of Amendment has been duly adopted by the stockholders of the Corporation in accordance with the provisions of Section 242 of</w:t>
      </w:r>
      <w:r>
        <w:rPr>
          <w:rFonts w:ascii="Arial" w:cs="Arial" w:eastAsia="Arial" w:hAnsi="Arial"/>
          <w:sz w:val="18"/>
          <w:szCs w:val="18"/>
          <w:b w:val="1"/>
          <w:bCs w:val="1"/>
          <w:color w:val="auto"/>
        </w:rPr>
        <w:t xml:space="preserve"> </w:t>
      </w:r>
      <w:r>
        <w:rPr>
          <w:rFonts w:ascii="Arial" w:cs="Arial" w:eastAsia="Arial" w:hAnsi="Arial"/>
          <w:sz w:val="18"/>
          <w:szCs w:val="18"/>
          <w:color w:val="auto"/>
        </w:rPr>
        <w:t>the Delaware General Corporation Law.</w:t>
      </w:r>
    </w:p>
    <w:p>
      <w:pPr>
        <w:spacing w:after="0" w:line="16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71" w:right="399" w:bottom="1440" w:gutter="0" w:footer="0" w:header="0"/>
        </w:sectPr>
      </w:pPr>
    </w:p>
    <w:bookmarkStart w:id="72" w:name="page73"/>
    <w:bookmarkEnd w:id="7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243205</wp:posOffset>
            </wp:positionV>
            <wp:extent cx="6995160" cy="905256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97790</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3" w:name="page74"/>
    <w:bookmarkEnd w:id="7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243205</wp:posOffset>
            </wp:positionV>
            <wp:extent cx="6995160" cy="905256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
      <w:numFmt w:val="bullet"/>
      <w:start w:val="1"/>
    </w:lvl>
    <w:lvl w:ilvl="1">
      <w:lvlJc w:val="left"/>
      <w:lvlText w:val="(%2)"/>
      <w:numFmt w:val="decimal"/>
      <w:start w:val="1"/>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1)"/>
      <w:numFmt w:val="decimal"/>
      <w:start w:val="1"/>
    </w:lvl>
  </w:abstractNum>
  <w:abstractNum w:abstractNumId="6">
    <w:nsid w:val="79838CB2"/>
    <w:multiLevelType w:val="hybridMultilevel"/>
    <w:lvl w:ilvl="0">
      <w:lvlJc w:val="left"/>
      <w:lvlText w:val="(%1)"/>
      <w:numFmt w:val="decimal"/>
      <w:start w:val="1"/>
    </w:lvl>
  </w:abstractNum>
  <w:abstractNum w:abstractNumId="7">
    <w:nsid w:val="4353D0CD"/>
    <w:multiLevelType w:val="hybridMultilevel"/>
    <w:lvl w:ilvl="0">
      <w:lvlJc w:val="left"/>
      <w:lvlText w:val="(%1)"/>
      <w:numFmt w:val="decimal"/>
      <w:start w:val="1"/>
    </w:lvl>
  </w:abstractNum>
  <w:abstractNum w:abstractNumId="8">
    <w:nsid w:val="B03E0C6"/>
    <w:multiLevelType w:val="hybridMultilevel"/>
    <w:lvl w:ilvl="0">
      <w:lvlJc w:val="left"/>
      <w:lvlText w:val="(%1)"/>
      <w:numFmt w:val="decimal"/>
      <w:start w:val="1"/>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
      <w:numFmt w:val="bullet"/>
      <w:start w:val="1"/>
    </w:lvl>
  </w:abstractNum>
  <w:abstractNum w:abstractNumId="11">
    <w:nsid w:val="71F32454"/>
    <w:multiLevelType w:val="hybridMultilevel"/>
    <w:lvl w:ilvl="0">
      <w:lvlJc w:val="left"/>
      <w:lvlText w:val="●"/>
      <w:numFmt w:val="bullet"/>
      <w:start w:val="1"/>
    </w:lvl>
  </w:abstractNum>
  <w:abstractNum w:abstractNumId="12">
    <w:nsid w:val="2CA88611"/>
    <w:multiLevelType w:val="hybridMultilevel"/>
    <w:lvl w:ilvl="0">
      <w:lvlJc w:val="left"/>
      <w:lvlText w:val="(%1)"/>
      <w:numFmt w:val="decimal"/>
      <w:start w:val="1"/>
    </w:lvl>
  </w:abstractNum>
  <w:abstractNum w:abstractNumId="13">
    <w:nsid w:val="836C40E"/>
    <w:multiLevelType w:val="hybridMultilevel"/>
    <w:lvl w:ilvl="0">
      <w:lvlJc w:val="left"/>
      <w:lvlText w:val="●"/>
      <w:numFmt w:val="bullet"/>
      <w:start w:val="1"/>
    </w:lvl>
  </w:abstractNum>
  <w:abstractNum w:abstractNumId="14">
    <w:nsid w:val="2901D82"/>
    <w:multiLevelType w:val="hybridMultilevel"/>
    <w:lvl w:ilvl="0">
      <w:lvlJc w:val="left"/>
      <w:lvlText w:val="(%1)"/>
      <w:numFmt w:val="decimal"/>
      <w:start w:val="1"/>
    </w:lvl>
  </w:abstractNum>
  <w:abstractNum w:abstractNumId="15">
    <w:nsid w:val="3A95F874"/>
    <w:multiLevelType w:val="hybridMultilevel"/>
    <w:lvl w:ilvl="0">
      <w:lvlJc w:val="left"/>
      <w:lvlText w:val="(%1)"/>
      <w:numFmt w:val="decimal"/>
      <w:start w:val="1"/>
    </w:lvl>
  </w:abstractNum>
  <w:abstractNum w:abstractNumId="16">
    <w:nsid w:val="8138641"/>
    <w:multiLevelType w:val="hybridMultilevel"/>
    <w:lvl w:ilvl="0">
      <w:lvlJc w:val="left"/>
      <w:lvlText w:val="(%1)"/>
      <w:numFmt w:val="decimal"/>
      <w:start w:val="1"/>
    </w:lvl>
  </w:abstractNum>
  <w:abstractNum w:abstractNumId="17">
    <w:nsid w:val="1E7FF521"/>
    <w:multiLevelType w:val="hybridMultilevel"/>
    <w:lvl w:ilvl="0">
      <w:lvlJc w:val="left"/>
      <w:lvlText w:val="(%1)"/>
      <w:numFmt w:val="decimal"/>
    </w:lvl>
    <w:lvl w:ilvl="1">
      <w:lvlJc w:val="left"/>
      <w:lvlText w:val="●"/>
      <w:numFmt w:val="bullet"/>
      <w:start w:val="1"/>
    </w:lvl>
  </w:abstractNum>
  <w:abstractNum w:abstractNumId="18">
    <w:nsid w:val="7C3DBD3D"/>
    <w:multiLevelType w:val="hybridMultilevel"/>
    <w:lvl w:ilvl="0">
      <w:lvlJc w:val="left"/>
      <w:lvlText w:val="●"/>
      <w:numFmt w:val="bullet"/>
      <w:start w:val="1"/>
    </w:lvl>
  </w:abstractNum>
  <w:abstractNum w:abstractNumId="19">
    <w:nsid w:val="737B8DDC"/>
    <w:multiLevelType w:val="hybridMultilevel"/>
    <w:lvl w:ilvl="0">
      <w:lvlJc w:val="left"/>
      <w:lvlText w:val="●"/>
      <w:numFmt w:val="bullet"/>
      <w:start w:val="1"/>
    </w:lvl>
  </w:abstractNum>
  <w:abstractNum w:abstractNumId="20">
    <w:nsid w:val="6CEAF087"/>
    <w:multiLevelType w:val="hybridMultilevel"/>
    <w:lvl w:ilvl="0">
      <w:lvlJc w:val="left"/>
      <w:lvlText w:val="●"/>
      <w:numFmt w:val="bullet"/>
      <w:start w:val="1"/>
    </w:lvl>
  </w:abstractNum>
  <w:abstractNum w:abstractNumId="21">
    <w:nsid w:val="22221A70"/>
    <w:multiLevelType w:val="hybridMultilevel"/>
    <w:lvl w:ilvl="0">
      <w:lvlJc w:val="left"/>
      <w:lvlText w:val="●"/>
      <w:numFmt w:val="bullet"/>
      <w:start w:val="1"/>
    </w:lvl>
    <w:lvl w:ilvl="1">
      <w:lvlJc w:val="left"/>
      <w:lvlText w:val="-"/>
      <w:numFmt w:val="bullet"/>
      <w:start w:val="1"/>
    </w:lvl>
  </w:abstractNum>
  <w:abstractNum w:abstractNumId="22">
    <w:nsid w:val="4516DDE9"/>
    <w:multiLevelType w:val="hybridMultilevel"/>
    <w:lvl w:ilvl="0">
      <w:lvlJc w:val="left"/>
      <w:lvlText w:val="(%1)"/>
      <w:numFmt w:val="decimal"/>
      <w:start w:val="1"/>
    </w:lvl>
  </w:abstractNum>
  <w:abstractNum w:abstractNumId="23">
    <w:nsid w:val="3006C83E"/>
    <w:multiLevelType w:val="hybridMultilevel"/>
    <w:lvl w:ilvl="0">
      <w:lvlJc w:val="left"/>
      <w:lvlText w:val="●"/>
      <w:numFmt w:val="bullet"/>
      <w:start w:val="1"/>
    </w:lvl>
  </w:abstractNum>
  <w:abstractNum w:abstractNumId="24">
    <w:nsid w:val="614FD4A1"/>
    <w:multiLevelType w:val="hybridMultilevel"/>
    <w:lvl w:ilvl="0">
      <w:lvlJc w:val="left"/>
      <w:lvlText w:val="●"/>
      <w:numFmt w:val="bullet"/>
      <w:start w:val="1"/>
    </w:lvl>
    <w:lvl w:ilvl="1">
      <w:lvlJc w:val="left"/>
      <w:lvlText w:val="-"/>
      <w:numFmt w:val="bullet"/>
      <w:start w:val="1"/>
    </w:lvl>
  </w:abstractNum>
  <w:abstractNum w:abstractNumId="25">
    <w:nsid w:val="419AC241"/>
    <w:multiLevelType w:val="hybridMultilevel"/>
    <w:lvl w:ilvl="0">
      <w:lvlJc w:val="left"/>
      <w:lvlText w:val="●"/>
      <w:numFmt w:val="bullet"/>
      <w:start w:val="1"/>
    </w:lvl>
  </w:abstractNum>
  <w:abstractNum w:abstractNumId="26">
    <w:nsid w:val="5577F8E1"/>
    <w:multiLevelType w:val="hybridMultilevel"/>
    <w:lvl w:ilvl="0">
      <w:lvlJc w:val="left"/>
      <w:lvlText w:val="●"/>
      <w:numFmt w:val="bullet"/>
      <w:start w:val="1"/>
    </w:lvl>
  </w:abstractNum>
  <w:abstractNum w:abstractNumId="27">
    <w:nsid w:val="440BADFC"/>
    <w:multiLevelType w:val="hybridMultilevel"/>
    <w:lvl w:ilvl="0">
      <w:lvlJc w:val="left"/>
      <w:lvlText w:val="●"/>
      <w:numFmt w:val="bullet"/>
      <w:start w:val="1"/>
    </w:lvl>
  </w:abstractNum>
  <w:abstractNum w:abstractNumId="28">
    <w:nsid w:val="5072367"/>
    <w:multiLevelType w:val="hybridMultilevel"/>
    <w:lvl w:ilvl="0">
      <w:lvlJc w:val="left"/>
      <w:lvlText w:val="(%1)"/>
      <w:numFmt w:val="decimal"/>
      <w:start w:val="1"/>
    </w:lvl>
  </w:abstractNum>
  <w:abstractNum w:abstractNumId="29">
    <w:nsid w:val="3804823E"/>
    <w:multiLevelType w:val="hybridMultilevel"/>
    <w:lvl w:ilvl="0">
      <w:lvlJc w:val="left"/>
      <w:lvlText w:val="(%1)"/>
      <w:numFmt w:val="decimal"/>
      <w:start w:val="1"/>
    </w:lvl>
    <w:lvl w:ilvl="1">
      <w:lvlJc w:val="left"/>
      <w:lvlText w:val="■"/>
      <w:numFmt w:val="bullet"/>
      <w:start w:val="1"/>
    </w:lvl>
  </w:abstractNum>
  <w:abstractNum w:abstractNumId="30">
    <w:nsid w:val="77465F01"/>
    <w:multiLevelType w:val="hybridMultilevel"/>
    <w:lvl w:ilvl="0">
      <w:lvlJc w:val="left"/>
      <w:lvlText w:val="●"/>
      <w:numFmt w:val="bullet"/>
      <w:start w:val="1"/>
    </w:lvl>
  </w:abstractNum>
  <w:abstractNum w:abstractNumId="31">
    <w:nsid w:val="7724C67E"/>
    <w:multiLevelType w:val="hybridMultilevel"/>
    <w:lvl w:ilvl="0">
      <w:lvlJc w:val="left"/>
      <w:lvlText w:val="(%1)"/>
      <w:numFmt w:val="decimal"/>
      <w:start w:val="1"/>
    </w:lvl>
  </w:abstractNum>
  <w:abstractNum w:abstractNumId="32">
    <w:nsid w:val="5C482A97"/>
    <w:multiLevelType w:val="hybridMultilevel"/>
    <w:lvl w:ilvl="0">
      <w:lvlJc w:val="left"/>
      <w:lvlText w:val="(%1)"/>
      <w:numFmt w:val="decimal"/>
      <w:start w:val="1"/>
    </w:lvl>
  </w:abstractNum>
  <w:abstractNum w:abstractNumId="33">
    <w:nsid w:val="2463B9EA"/>
    <w:multiLevelType w:val="hybridMultilevel"/>
    <w:lvl w:ilvl="0">
      <w:lvlJc w:val="left"/>
      <w:lvlText w:val="(%1)"/>
      <w:numFmt w:val="decimal"/>
      <w:start w:val="1"/>
    </w:lvl>
  </w:abstractNum>
  <w:abstractNum w:abstractNumId="34">
    <w:nsid w:val="5E884ADC"/>
    <w:multiLevelType w:val="hybridMultilevel"/>
    <w:lvl w:ilvl="0">
      <w:lvlJc w:val="left"/>
      <w:lvlText w:val="(%1)"/>
      <w:numFmt w:val="decimal"/>
      <w:start w:val="1"/>
    </w:lvl>
  </w:abstractNum>
  <w:abstractNum w:abstractNumId="35">
    <w:nsid w:val="51EAD36B"/>
    <w:multiLevelType w:val="hybridMultilevel"/>
    <w:lvl w:ilvl="0">
      <w:lvlJc w:val="left"/>
      <w:lvlText w:val="(%1)"/>
      <w:numFmt w:val="lowerRoman"/>
      <w:start w:val="1"/>
    </w:lvl>
  </w:abstractNum>
  <w:abstractNum w:abstractNumId="36">
    <w:nsid w:val="2D517796"/>
    <w:multiLevelType w:val="hybridMultilevel"/>
    <w:lvl w:ilvl="0">
      <w:lvlJc w:val="left"/>
      <w:lvlText w:val="(%1)"/>
      <w:numFmt w:val="decimal"/>
      <w:start w:val="1"/>
    </w:lvl>
  </w:abstractNum>
  <w:abstractNum w:abstractNumId="37">
    <w:nsid w:val="580BD78F"/>
    <w:multiLevelType w:val="hybridMultilevel"/>
    <w:lvl w:ilvl="0">
      <w:lvlJc w:val="left"/>
      <w:lvlText w:val="(%1)"/>
      <w:numFmt w:val="decimal"/>
      <w:start w:val="1"/>
    </w:lvl>
  </w:abstractNum>
  <w:abstractNum w:abstractNumId="38">
    <w:nsid w:val="153EA438"/>
    <w:multiLevelType w:val="hybridMultilevel"/>
    <w:lvl w:ilvl="0">
      <w:lvlJc w:val="left"/>
      <w:lvlText w:val="(%1)"/>
      <w:numFmt w:val="decimal"/>
      <w:start w:val="1"/>
    </w:lvl>
  </w:abstractNum>
  <w:abstractNum w:abstractNumId="39">
    <w:nsid w:val="3855585C"/>
    <w:multiLevelType w:val="hybridMultilevel"/>
    <w:lvl w:ilvl="0">
      <w:lvlJc w:val="left"/>
      <w:lvlText w:val="●"/>
      <w:numFmt w:val="bullet"/>
      <w:start w:val="1"/>
    </w:lvl>
  </w:abstractNum>
  <w:abstractNum w:abstractNumId="40">
    <w:nsid w:val="70A64E2A"/>
    <w:multiLevelType w:val="hybridMultilevel"/>
    <w:lvl w:ilvl="0">
      <w:lvlJc w:val="left"/>
      <w:lvlText w:val="●"/>
      <w:numFmt w:val="bullet"/>
      <w:start w:val="1"/>
    </w:lvl>
  </w:abstractNum>
  <w:abstractNum w:abstractNumId="41">
    <w:nsid w:val="6A2342EC"/>
    <w:multiLevelType w:val="hybridMultilevel"/>
    <w:lvl w:ilvl="0">
      <w:lvlJc w:val="left"/>
      <w:lvlText w:val="●"/>
      <w:numFmt w:val="bullet"/>
      <w:start w:val="1"/>
    </w:lvl>
  </w:abstractNum>
  <w:abstractNum w:abstractNumId="42">
    <w:nsid w:val="2A487CB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2022-03-15T11:21:28Z</dcterms:created>
  <dcterms:modified xsi:type="dcterms:W3CDTF">2022-03-15T11:21:28Z</dcterms:modified>
</cp:coreProperties>
</file>