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4060" w:type="dxa"/>
            <w:vAlign w:val="bottom"/>
          </w:tcPr>
          <w:p>
            <w:pPr>
              <w:jc w:val="center"/>
              <w:ind w:right="504"/>
              <w:spacing w:after="0"/>
              <w:rPr>
                <w:sz w:val="20"/>
                <w:szCs w:val="20"/>
                <w:color w:val="auto"/>
              </w:rPr>
            </w:pPr>
            <w:r>
              <w:rPr>
                <w:rFonts w:ascii="Arial" w:cs="Arial" w:eastAsia="Arial" w:hAnsi="Arial"/>
                <w:sz w:val="16"/>
                <w:szCs w:val="16"/>
                <w:color w:val="auto"/>
                <w:w w:val="93"/>
              </w:rPr>
              <w:t>UNITED STATES</w:t>
            </w:r>
          </w:p>
        </w:tc>
        <w:tc>
          <w:tcPr>
            <w:tcW w:w="3300" w:type="dxa"/>
            <w:vAlign w:val="bottom"/>
          </w:tcPr>
          <w:p>
            <w:pPr>
              <w:spacing w:after="0"/>
              <w:rPr>
                <w:sz w:val="16"/>
                <w:szCs w:val="16"/>
                <w:color w:val="auto"/>
              </w:rPr>
            </w:pPr>
          </w:p>
        </w:tc>
      </w:tr>
      <w:tr>
        <w:trPr>
          <w:trHeight w:val="191"/>
        </w:trPr>
        <w:tc>
          <w:tcPr>
            <w:tcW w:w="3900" w:type="dxa"/>
            <w:vAlign w:val="bottom"/>
          </w:tcPr>
          <w:p>
            <w:pPr>
              <w:spacing w:after="0"/>
              <w:rPr>
                <w:sz w:val="16"/>
                <w:szCs w:val="16"/>
                <w:color w:val="auto"/>
              </w:rPr>
            </w:pPr>
          </w:p>
        </w:tc>
        <w:tc>
          <w:tcPr>
            <w:tcW w:w="4060" w:type="dxa"/>
            <w:vAlign w:val="bottom"/>
          </w:tcPr>
          <w:p>
            <w:pPr>
              <w:jc w:val="center"/>
              <w:ind w:right="504"/>
              <w:spacing w:after="0"/>
              <w:rPr>
                <w:sz w:val="20"/>
                <w:szCs w:val="20"/>
                <w:color w:val="auto"/>
              </w:rPr>
            </w:pPr>
            <w:r>
              <w:rPr>
                <w:rFonts w:ascii="Arial" w:cs="Arial" w:eastAsia="Arial" w:hAnsi="Arial"/>
                <w:sz w:val="16"/>
                <w:szCs w:val="16"/>
                <w:color w:val="auto"/>
                <w:w w:val="96"/>
              </w:rPr>
              <w:t>SECURITIES AND EXCHANGE COMMISSION</w:t>
            </w:r>
          </w:p>
        </w:tc>
        <w:tc>
          <w:tcPr>
            <w:tcW w:w="3300" w:type="dxa"/>
            <w:vAlign w:val="bottom"/>
          </w:tcPr>
          <w:p>
            <w:pPr>
              <w:spacing w:after="0"/>
              <w:rPr>
                <w:sz w:val="16"/>
                <w:szCs w:val="16"/>
                <w:color w:val="auto"/>
              </w:rPr>
            </w:pPr>
          </w:p>
        </w:tc>
      </w:tr>
      <w:tr>
        <w:trPr>
          <w:trHeight w:val="204"/>
        </w:trPr>
        <w:tc>
          <w:tcPr>
            <w:tcW w:w="3900" w:type="dxa"/>
            <w:vAlign w:val="bottom"/>
          </w:tcPr>
          <w:p>
            <w:pPr>
              <w:spacing w:after="0"/>
              <w:rPr>
                <w:sz w:val="17"/>
                <w:szCs w:val="17"/>
                <w:color w:val="auto"/>
              </w:rPr>
            </w:pPr>
          </w:p>
        </w:tc>
        <w:tc>
          <w:tcPr>
            <w:tcW w:w="4060" w:type="dxa"/>
            <w:vAlign w:val="bottom"/>
          </w:tcPr>
          <w:p>
            <w:pPr>
              <w:jc w:val="center"/>
              <w:ind w:right="504"/>
              <w:spacing w:after="0"/>
              <w:rPr>
                <w:sz w:val="20"/>
                <w:szCs w:val="20"/>
                <w:color w:val="auto"/>
              </w:rPr>
            </w:pPr>
            <w:r>
              <w:rPr>
                <w:rFonts w:ascii="Arial" w:cs="Arial" w:eastAsia="Arial" w:hAnsi="Arial"/>
                <w:sz w:val="16"/>
                <w:szCs w:val="16"/>
                <w:color w:val="auto"/>
                <w:w w:val="90"/>
              </w:rPr>
              <w:t>Washington, D.C. 20549</w:t>
            </w:r>
          </w:p>
        </w:tc>
        <w:tc>
          <w:tcPr>
            <w:tcW w:w="3300" w:type="dxa"/>
            <w:vAlign w:val="bottom"/>
          </w:tcPr>
          <w:p>
            <w:pPr>
              <w:spacing w:after="0"/>
              <w:rPr>
                <w:sz w:val="17"/>
                <w:szCs w:val="17"/>
                <w:color w:val="auto"/>
              </w:rPr>
            </w:pPr>
          </w:p>
        </w:tc>
      </w:tr>
      <w:tr>
        <w:trPr>
          <w:trHeight w:val="528"/>
        </w:trPr>
        <w:tc>
          <w:tcPr>
            <w:tcW w:w="3900" w:type="dxa"/>
            <w:vAlign w:val="bottom"/>
          </w:tcPr>
          <w:p>
            <w:pPr>
              <w:spacing w:after="0"/>
              <w:rPr>
                <w:sz w:val="24"/>
                <w:szCs w:val="24"/>
                <w:color w:val="auto"/>
              </w:rPr>
            </w:pPr>
          </w:p>
        </w:tc>
        <w:tc>
          <w:tcPr>
            <w:tcW w:w="4060" w:type="dxa"/>
            <w:vAlign w:val="bottom"/>
          </w:tcPr>
          <w:p>
            <w:pPr>
              <w:jc w:val="center"/>
              <w:ind w:right="524"/>
              <w:spacing w:after="0"/>
              <w:rPr>
                <w:sz w:val="20"/>
                <w:szCs w:val="20"/>
                <w:color w:val="auto"/>
              </w:rPr>
            </w:pPr>
            <w:r>
              <w:rPr>
                <w:rFonts w:ascii="Arial" w:cs="Arial" w:eastAsia="Arial" w:hAnsi="Arial"/>
                <w:sz w:val="29"/>
                <w:szCs w:val="29"/>
                <w:color w:val="auto"/>
                <w:w w:val="95"/>
              </w:rPr>
              <w:t>FORM 8-K</w:t>
            </w:r>
          </w:p>
        </w:tc>
        <w:tc>
          <w:tcPr>
            <w:tcW w:w="3300" w:type="dxa"/>
            <w:vAlign w:val="bottom"/>
          </w:tcPr>
          <w:p>
            <w:pPr>
              <w:spacing w:after="0"/>
              <w:rPr>
                <w:sz w:val="24"/>
                <w:szCs w:val="24"/>
                <w:color w:val="auto"/>
              </w:rPr>
            </w:pPr>
          </w:p>
        </w:tc>
      </w:tr>
      <w:tr>
        <w:trPr>
          <w:trHeight w:val="368"/>
        </w:trPr>
        <w:tc>
          <w:tcPr>
            <w:tcW w:w="3900" w:type="dxa"/>
            <w:vAlign w:val="bottom"/>
          </w:tcPr>
          <w:p>
            <w:pPr>
              <w:spacing w:after="0"/>
              <w:rPr>
                <w:sz w:val="24"/>
                <w:szCs w:val="24"/>
                <w:color w:val="auto"/>
              </w:rPr>
            </w:pPr>
          </w:p>
        </w:tc>
        <w:tc>
          <w:tcPr>
            <w:tcW w:w="4060" w:type="dxa"/>
            <w:vAlign w:val="bottom"/>
          </w:tcPr>
          <w:p>
            <w:pPr>
              <w:jc w:val="center"/>
              <w:ind w:right="504"/>
              <w:spacing w:after="0"/>
              <w:rPr>
                <w:sz w:val="20"/>
                <w:szCs w:val="20"/>
                <w:color w:val="auto"/>
              </w:rPr>
            </w:pPr>
            <w:r>
              <w:rPr>
                <w:rFonts w:ascii="Arial" w:cs="Arial" w:eastAsia="Arial" w:hAnsi="Arial"/>
                <w:sz w:val="16"/>
                <w:szCs w:val="16"/>
                <w:color w:val="auto"/>
                <w:w w:val="92"/>
              </w:rPr>
              <w:t>CURRENT REPORT</w:t>
            </w:r>
          </w:p>
        </w:tc>
        <w:tc>
          <w:tcPr>
            <w:tcW w:w="3300" w:type="dxa"/>
            <w:vAlign w:val="bottom"/>
          </w:tcPr>
          <w:p>
            <w:pPr>
              <w:spacing w:after="0"/>
              <w:rPr>
                <w:sz w:val="24"/>
                <w:szCs w:val="24"/>
                <w:color w:val="auto"/>
              </w:rPr>
            </w:pPr>
          </w:p>
        </w:tc>
      </w:tr>
      <w:tr>
        <w:trPr>
          <w:trHeight w:val="382"/>
        </w:trPr>
        <w:tc>
          <w:tcPr>
            <w:tcW w:w="7960" w:type="dxa"/>
            <w:vAlign w:val="bottom"/>
            <w:gridSpan w:val="2"/>
          </w:tcPr>
          <w:p>
            <w:pPr>
              <w:jc w:val="center"/>
              <w:ind w:left="3220"/>
              <w:spacing w:after="0"/>
              <w:rPr>
                <w:sz w:val="20"/>
                <w:szCs w:val="20"/>
                <w:color w:val="auto"/>
              </w:rPr>
            </w:pPr>
            <w:r>
              <w:rPr>
                <w:rFonts w:ascii="Arial" w:cs="Arial" w:eastAsia="Arial" w:hAnsi="Arial"/>
                <w:sz w:val="16"/>
                <w:szCs w:val="16"/>
                <w:color w:val="auto"/>
                <w:w w:val="90"/>
              </w:rPr>
              <w:t>Pursuant to Section 13 or 15(d) of the Securities Exchange Act of 1934</w:t>
            </w:r>
          </w:p>
        </w:tc>
        <w:tc>
          <w:tcPr>
            <w:tcW w:w="3300" w:type="dxa"/>
            <w:vAlign w:val="bottom"/>
          </w:tcPr>
          <w:p>
            <w:pPr>
              <w:spacing w:after="0"/>
              <w:rPr>
                <w:sz w:val="24"/>
                <w:szCs w:val="24"/>
                <w:color w:val="auto"/>
              </w:rPr>
            </w:pPr>
          </w:p>
        </w:tc>
      </w:tr>
      <w:tr>
        <w:trPr>
          <w:trHeight w:val="382"/>
        </w:trPr>
        <w:tc>
          <w:tcPr>
            <w:tcW w:w="3900" w:type="dxa"/>
            <w:vAlign w:val="bottom"/>
          </w:tcPr>
          <w:p>
            <w:pPr>
              <w:spacing w:after="0"/>
              <w:rPr>
                <w:sz w:val="20"/>
                <w:szCs w:val="20"/>
                <w:color w:val="auto"/>
              </w:rPr>
            </w:pPr>
            <w:r>
              <w:rPr>
                <w:rFonts w:ascii="Arial" w:cs="Arial" w:eastAsia="Arial" w:hAnsi="Arial"/>
                <w:sz w:val="16"/>
                <w:szCs w:val="16"/>
                <w:color w:val="auto"/>
              </w:rPr>
              <w:t>Date of Report (Date of Earliest Event Reported):</w:t>
            </w:r>
          </w:p>
        </w:tc>
        <w:tc>
          <w:tcPr>
            <w:tcW w:w="406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16"/>
                <w:szCs w:val="16"/>
                <w:color w:val="auto"/>
              </w:rPr>
              <w:t>December 14, 2021</w:t>
            </w:r>
          </w:p>
        </w:tc>
      </w:tr>
      <w:tr>
        <w:trPr>
          <w:trHeight w:val="652"/>
        </w:trPr>
        <w:tc>
          <w:tcPr>
            <w:tcW w:w="3900" w:type="dxa"/>
            <w:vAlign w:val="bottom"/>
          </w:tcPr>
          <w:p>
            <w:pPr>
              <w:spacing w:after="0"/>
              <w:rPr>
                <w:sz w:val="24"/>
                <w:szCs w:val="24"/>
                <w:color w:val="auto"/>
              </w:rPr>
            </w:pPr>
          </w:p>
        </w:tc>
        <w:tc>
          <w:tcPr>
            <w:tcW w:w="4060" w:type="dxa"/>
            <w:vAlign w:val="bottom"/>
          </w:tcPr>
          <w:p>
            <w:pPr>
              <w:jc w:val="center"/>
              <w:ind w:right="524"/>
              <w:spacing w:after="0"/>
              <w:rPr>
                <w:sz w:val="20"/>
                <w:szCs w:val="20"/>
                <w:color w:val="auto"/>
              </w:rPr>
            </w:pPr>
            <w:r>
              <w:rPr>
                <w:rFonts w:ascii="Arial" w:cs="Arial" w:eastAsia="Arial" w:hAnsi="Arial"/>
                <w:sz w:val="38"/>
                <w:szCs w:val="38"/>
                <w:color w:val="auto"/>
                <w:w w:val="92"/>
              </w:rPr>
              <w:t>Cohu, Inc.</w:t>
            </w:r>
          </w:p>
        </w:tc>
        <w:tc>
          <w:tcPr>
            <w:tcW w:w="3300" w:type="dxa"/>
            <w:vAlign w:val="bottom"/>
          </w:tcPr>
          <w:p>
            <w:pPr>
              <w:spacing w:after="0"/>
              <w:rPr>
                <w:sz w:val="24"/>
                <w:szCs w:val="24"/>
                <w:color w:val="auto"/>
              </w:rPr>
            </w:pPr>
          </w:p>
        </w:tc>
      </w:tr>
      <w:tr>
        <w:trPr>
          <w:trHeight w:val="221"/>
        </w:trPr>
        <w:tc>
          <w:tcPr>
            <w:tcW w:w="390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r>
      <w:tr>
        <w:trPr>
          <w:trHeight w:val="422"/>
        </w:trPr>
        <w:tc>
          <w:tcPr>
            <w:tcW w:w="3900" w:type="dxa"/>
            <w:vAlign w:val="bottom"/>
          </w:tcPr>
          <w:p>
            <w:pPr>
              <w:spacing w:after="0"/>
              <w:rPr>
                <w:sz w:val="24"/>
                <w:szCs w:val="24"/>
                <w:color w:val="auto"/>
              </w:rPr>
            </w:pPr>
          </w:p>
        </w:tc>
        <w:tc>
          <w:tcPr>
            <w:tcW w:w="4060" w:type="dxa"/>
            <w:vAlign w:val="bottom"/>
          </w:tcPr>
          <w:p>
            <w:pPr>
              <w:jc w:val="center"/>
              <w:ind w:right="524"/>
              <w:spacing w:after="0"/>
              <w:rPr>
                <w:sz w:val="20"/>
                <w:szCs w:val="20"/>
                <w:color w:val="auto"/>
              </w:rPr>
            </w:pPr>
            <w:r>
              <w:rPr>
                <w:rFonts w:ascii="Arial" w:cs="Arial" w:eastAsia="Arial" w:hAnsi="Arial"/>
                <w:sz w:val="16"/>
                <w:szCs w:val="16"/>
                <w:color w:val="auto"/>
                <w:w w:val="89"/>
              </w:rPr>
              <w:t>(Exact name of registrant as specified in its charter)</w:t>
            </w:r>
          </w:p>
        </w:tc>
        <w:tc>
          <w:tcPr>
            <w:tcW w:w="3300" w:type="dxa"/>
            <w:vAlign w:val="bottom"/>
          </w:tcPr>
          <w:p>
            <w:pPr>
              <w:spacing w:after="0"/>
              <w:rPr>
                <w:sz w:val="24"/>
                <w:szCs w:val="24"/>
                <w:color w:val="auto"/>
              </w:rPr>
            </w:pPr>
          </w:p>
        </w:tc>
      </w:tr>
      <w:tr>
        <w:trPr>
          <w:trHeight w:val="370"/>
        </w:trPr>
        <w:tc>
          <w:tcPr>
            <w:tcW w:w="3900" w:type="dxa"/>
            <w:vAlign w:val="bottom"/>
          </w:tcPr>
          <w:p>
            <w:pPr>
              <w:jc w:val="center"/>
              <w:ind w:left="1100"/>
              <w:spacing w:after="0"/>
              <w:rPr>
                <w:sz w:val="20"/>
                <w:szCs w:val="20"/>
                <w:color w:val="auto"/>
              </w:rPr>
            </w:pPr>
            <w:r>
              <w:rPr>
                <w:rFonts w:ascii="Arial" w:cs="Arial" w:eastAsia="Arial" w:hAnsi="Arial"/>
                <w:sz w:val="16"/>
                <w:szCs w:val="16"/>
                <w:color w:val="auto"/>
                <w:w w:val="88"/>
              </w:rPr>
              <w:t>Delaware</w:t>
            </w:r>
          </w:p>
        </w:tc>
        <w:tc>
          <w:tcPr>
            <w:tcW w:w="4060" w:type="dxa"/>
            <w:vAlign w:val="bottom"/>
          </w:tcPr>
          <w:p>
            <w:pPr>
              <w:jc w:val="center"/>
              <w:ind w:right="484"/>
              <w:spacing w:after="0"/>
              <w:rPr>
                <w:sz w:val="20"/>
                <w:szCs w:val="20"/>
                <w:color w:val="auto"/>
              </w:rPr>
            </w:pPr>
            <w:r>
              <w:rPr>
                <w:rFonts w:ascii="Arial" w:cs="Arial" w:eastAsia="Arial" w:hAnsi="Arial"/>
                <w:sz w:val="16"/>
                <w:szCs w:val="16"/>
                <w:color w:val="auto"/>
                <w:w w:val="88"/>
              </w:rPr>
              <w:t>001-04298</w:t>
            </w:r>
          </w:p>
        </w:tc>
        <w:tc>
          <w:tcPr>
            <w:tcW w:w="3300" w:type="dxa"/>
            <w:vAlign w:val="bottom"/>
          </w:tcPr>
          <w:p>
            <w:pPr>
              <w:jc w:val="right"/>
              <w:ind w:right="2080"/>
              <w:spacing w:after="0"/>
              <w:rPr>
                <w:sz w:val="20"/>
                <w:szCs w:val="20"/>
                <w:color w:val="auto"/>
              </w:rPr>
            </w:pPr>
            <w:r>
              <w:rPr>
                <w:rFonts w:ascii="Arial" w:cs="Arial" w:eastAsia="Arial" w:hAnsi="Arial"/>
                <w:sz w:val="16"/>
                <w:szCs w:val="16"/>
                <w:color w:val="auto"/>
              </w:rPr>
              <w:t>95-1934119</w:t>
            </w:r>
          </w:p>
        </w:tc>
      </w:tr>
      <w:tr>
        <w:trPr>
          <w:trHeight w:val="191"/>
        </w:trPr>
        <w:tc>
          <w:tcPr>
            <w:tcW w:w="3900" w:type="dxa"/>
            <w:vAlign w:val="bottom"/>
          </w:tcPr>
          <w:p>
            <w:pPr>
              <w:jc w:val="center"/>
              <w:ind w:left="1100"/>
              <w:spacing w:after="0"/>
              <w:rPr>
                <w:sz w:val="20"/>
                <w:szCs w:val="20"/>
                <w:color w:val="auto"/>
              </w:rPr>
            </w:pPr>
            <w:r>
              <w:rPr>
                <w:rFonts w:ascii="Arial" w:cs="Arial" w:eastAsia="Arial" w:hAnsi="Arial"/>
                <w:sz w:val="16"/>
                <w:szCs w:val="16"/>
                <w:color w:val="auto"/>
                <w:w w:val="92"/>
              </w:rPr>
              <w:t>(State or other jurisdiction</w:t>
            </w:r>
          </w:p>
        </w:tc>
        <w:tc>
          <w:tcPr>
            <w:tcW w:w="4060" w:type="dxa"/>
            <w:vAlign w:val="bottom"/>
          </w:tcPr>
          <w:p>
            <w:pPr>
              <w:jc w:val="center"/>
              <w:ind w:right="504"/>
              <w:spacing w:after="0"/>
              <w:rPr>
                <w:sz w:val="20"/>
                <w:szCs w:val="20"/>
                <w:color w:val="auto"/>
              </w:rPr>
            </w:pPr>
            <w:r>
              <w:rPr>
                <w:rFonts w:ascii="Arial" w:cs="Arial" w:eastAsia="Arial" w:hAnsi="Arial"/>
                <w:sz w:val="16"/>
                <w:szCs w:val="16"/>
                <w:color w:val="auto"/>
                <w:w w:val="92"/>
              </w:rPr>
              <w:t>(Commission</w:t>
            </w:r>
          </w:p>
        </w:tc>
        <w:tc>
          <w:tcPr>
            <w:tcW w:w="3300" w:type="dxa"/>
            <w:vAlign w:val="bottom"/>
          </w:tcPr>
          <w:p>
            <w:pPr>
              <w:jc w:val="center"/>
              <w:ind w:right="1700"/>
              <w:spacing w:after="0"/>
              <w:rPr>
                <w:sz w:val="20"/>
                <w:szCs w:val="20"/>
                <w:color w:val="auto"/>
              </w:rPr>
            </w:pPr>
            <w:r>
              <w:rPr>
                <w:rFonts w:ascii="Arial" w:cs="Arial" w:eastAsia="Arial" w:hAnsi="Arial"/>
                <w:sz w:val="16"/>
                <w:szCs w:val="16"/>
                <w:color w:val="auto"/>
                <w:w w:val="91"/>
              </w:rPr>
              <w:t>(I.R.S. Employer</w:t>
            </w:r>
          </w:p>
        </w:tc>
      </w:tr>
      <w:tr>
        <w:trPr>
          <w:trHeight w:val="204"/>
        </w:trPr>
        <w:tc>
          <w:tcPr>
            <w:tcW w:w="3900" w:type="dxa"/>
            <w:vAlign w:val="bottom"/>
          </w:tcPr>
          <w:p>
            <w:pPr>
              <w:jc w:val="center"/>
              <w:ind w:left="1100"/>
              <w:spacing w:after="0"/>
              <w:rPr>
                <w:sz w:val="20"/>
                <w:szCs w:val="20"/>
                <w:color w:val="auto"/>
              </w:rPr>
            </w:pPr>
            <w:r>
              <w:rPr>
                <w:rFonts w:ascii="Arial" w:cs="Arial" w:eastAsia="Arial" w:hAnsi="Arial"/>
                <w:sz w:val="16"/>
                <w:szCs w:val="16"/>
                <w:color w:val="auto"/>
                <w:w w:val="93"/>
              </w:rPr>
              <w:t>of incorporation)</w:t>
            </w:r>
          </w:p>
        </w:tc>
        <w:tc>
          <w:tcPr>
            <w:tcW w:w="4060" w:type="dxa"/>
            <w:vAlign w:val="bottom"/>
          </w:tcPr>
          <w:p>
            <w:pPr>
              <w:jc w:val="center"/>
              <w:ind w:right="504"/>
              <w:spacing w:after="0"/>
              <w:rPr>
                <w:sz w:val="20"/>
                <w:szCs w:val="20"/>
                <w:color w:val="auto"/>
              </w:rPr>
            </w:pPr>
            <w:r>
              <w:rPr>
                <w:rFonts w:ascii="Arial" w:cs="Arial" w:eastAsia="Arial" w:hAnsi="Arial"/>
                <w:sz w:val="16"/>
                <w:szCs w:val="16"/>
                <w:color w:val="auto"/>
                <w:w w:val="92"/>
              </w:rPr>
              <w:t>File Number)</w:t>
            </w:r>
          </w:p>
        </w:tc>
        <w:tc>
          <w:tcPr>
            <w:tcW w:w="3300" w:type="dxa"/>
            <w:vAlign w:val="bottom"/>
          </w:tcPr>
          <w:p>
            <w:pPr>
              <w:jc w:val="center"/>
              <w:ind w:right="1680"/>
              <w:spacing w:after="0"/>
              <w:rPr>
                <w:sz w:val="20"/>
                <w:szCs w:val="20"/>
                <w:color w:val="auto"/>
              </w:rPr>
            </w:pPr>
            <w:r>
              <w:rPr>
                <w:rFonts w:ascii="Arial" w:cs="Arial" w:eastAsia="Arial" w:hAnsi="Arial"/>
                <w:sz w:val="16"/>
                <w:szCs w:val="16"/>
                <w:color w:val="auto"/>
                <w:w w:val="94"/>
              </w:rPr>
              <w:t>Identification No.)</w:t>
            </w:r>
          </w:p>
        </w:tc>
      </w:tr>
      <w:tr>
        <w:trPr>
          <w:trHeight w:val="370"/>
        </w:trPr>
        <w:tc>
          <w:tcPr>
            <w:tcW w:w="3900" w:type="dxa"/>
            <w:vAlign w:val="bottom"/>
          </w:tcPr>
          <w:p>
            <w:pPr>
              <w:jc w:val="center"/>
              <w:ind w:left="1100"/>
              <w:spacing w:after="0"/>
              <w:rPr>
                <w:sz w:val="20"/>
                <w:szCs w:val="20"/>
                <w:color w:val="auto"/>
              </w:rPr>
            </w:pPr>
            <w:r>
              <w:rPr>
                <w:rFonts w:ascii="Arial" w:cs="Arial" w:eastAsia="Arial" w:hAnsi="Arial"/>
                <w:sz w:val="16"/>
                <w:szCs w:val="16"/>
                <w:color w:val="auto"/>
                <w:w w:val="91"/>
              </w:rPr>
              <w:t>12367 Crosthwaite Circle,</w:t>
            </w:r>
          </w:p>
        </w:tc>
        <w:tc>
          <w:tcPr>
            <w:tcW w:w="4060" w:type="dxa"/>
            <w:vAlign w:val="bottom"/>
          </w:tcPr>
          <w:p>
            <w:pPr>
              <w:spacing w:after="0"/>
              <w:rPr>
                <w:sz w:val="24"/>
                <w:szCs w:val="24"/>
                <w:color w:val="auto"/>
              </w:rPr>
            </w:pPr>
          </w:p>
        </w:tc>
        <w:tc>
          <w:tcPr>
            <w:tcW w:w="3300" w:type="dxa"/>
            <w:vAlign w:val="bottom"/>
          </w:tcPr>
          <w:p>
            <w:pPr>
              <w:jc w:val="right"/>
              <w:ind w:right="2260"/>
              <w:spacing w:after="0"/>
              <w:rPr>
                <w:sz w:val="20"/>
                <w:szCs w:val="20"/>
                <w:color w:val="auto"/>
              </w:rPr>
            </w:pPr>
            <w:r>
              <w:rPr>
                <w:rFonts w:ascii="Arial" w:cs="Arial" w:eastAsia="Arial" w:hAnsi="Arial"/>
                <w:sz w:val="16"/>
                <w:szCs w:val="16"/>
                <w:color w:val="auto"/>
              </w:rPr>
              <w:t>92064</w:t>
            </w:r>
          </w:p>
        </w:tc>
      </w:tr>
      <w:tr>
        <w:trPr>
          <w:trHeight w:val="191"/>
        </w:trPr>
        <w:tc>
          <w:tcPr>
            <w:tcW w:w="3900" w:type="dxa"/>
            <w:vAlign w:val="bottom"/>
          </w:tcPr>
          <w:p>
            <w:pPr>
              <w:jc w:val="center"/>
              <w:ind w:left="1100"/>
              <w:spacing w:after="0"/>
              <w:rPr>
                <w:sz w:val="20"/>
                <w:szCs w:val="20"/>
                <w:color w:val="auto"/>
              </w:rPr>
            </w:pPr>
            <w:r>
              <w:rPr>
                <w:rFonts w:ascii="Arial" w:cs="Arial" w:eastAsia="Arial" w:hAnsi="Arial"/>
                <w:sz w:val="16"/>
                <w:szCs w:val="16"/>
                <w:color w:val="auto"/>
                <w:w w:val="93"/>
              </w:rPr>
              <w:t>Poway, California</w:t>
            </w:r>
          </w:p>
        </w:tc>
        <w:tc>
          <w:tcPr>
            <w:tcW w:w="406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204"/>
        </w:trPr>
        <w:tc>
          <w:tcPr>
            <w:tcW w:w="3900" w:type="dxa"/>
            <w:vAlign w:val="bottom"/>
          </w:tcPr>
          <w:p>
            <w:pPr>
              <w:jc w:val="center"/>
              <w:ind w:left="1100"/>
              <w:spacing w:after="0"/>
              <w:rPr>
                <w:sz w:val="20"/>
                <w:szCs w:val="20"/>
                <w:color w:val="auto"/>
              </w:rPr>
            </w:pPr>
            <w:r>
              <w:rPr>
                <w:rFonts w:ascii="Arial" w:cs="Arial" w:eastAsia="Arial" w:hAnsi="Arial"/>
                <w:sz w:val="16"/>
                <w:szCs w:val="16"/>
                <w:color w:val="auto"/>
                <w:w w:val="91"/>
              </w:rPr>
              <w:t>(Address of principal executive offices)</w:t>
            </w:r>
          </w:p>
        </w:tc>
        <w:tc>
          <w:tcPr>
            <w:tcW w:w="4060" w:type="dxa"/>
            <w:vAlign w:val="bottom"/>
          </w:tcPr>
          <w:p>
            <w:pPr>
              <w:spacing w:after="0"/>
              <w:rPr>
                <w:sz w:val="17"/>
                <w:szCs w:val="17"/>
                <w:color w:val="auto"/>
              </w:rPr>
            </w:pPr>
          </w:p>
        </w:tc>
        <w:tc>
          <w:tcPr>
            <w:tcW w:w="3300" w:type="dxa"/>
            <w:vAlign w:val="bottom"/>
          </w:tcPr>
          <w:p>
            <w:pPr>
              <w:jc w:val="center"/>
              <w:ind w:right="1680"/>
              <w:spacing w:after="0"/>
              <w:rPr>
                <w:sz w:val="20"/>
                <w:szCs w:val="20"/>
                <w:color w:val="auto"/>
              </w:rPr>
            </w:pPr>
            <w:r>
              <w:rPr>
                <w:rFonts w:ascii="Arial" w:cs="Arial" w:eastAsia="Arial" w:hAnsi="Arial"/>
                <w:sz w:val="16"/>
                <w:szCs w:val="16"/>
                <w:color w:val="auto"/>
                <w:w w:val="92"/>
              </w:rPr>
              <w:t>(Zip Code)</w:t>
            </w:r>
          </w:p>
        </w:tc>
      </w:tr>
      <w:tr>
        <w:trPr>
          <w:trHeight w:val="382"/>
        </w:trPr>
        <w:tc>
          <w:tcPr>
            <w:tcW w:w="7960" w:type="dxa"/>
            <w:vAlign w:val="bottom"/>
            <w:gridSpan w:val="2"/>
          </w:tcPr>
          <w:p>
            <w:pPr>
              <w:ind w:left="1160"/>
              <w:spacing w:after="0"/>
              <w:rPr>
                <w:sz w:val="20"/>
                <w:szCs w:val="20"/>
                <w:color w:val="auto"/>
              </w:rPr>
            </w:pPr>
            <w:r>
              <w:rPr>
                <w:rFonts w:ascii="Arial" w:cs="Arial" w:eastAsia="Arial" w:hAnsi="Arial"/>
                <w:sz w:val="16"/>
                <w:szCs w:val="16"/>
                <w:color w:val="auto"/>
              </w:rPr>
              <w:t>Registrant’s telephone number, including area code:</w:t>
            </w:r>
          </w:p>
        </w:tc>
        <w:tc>
          <w:tcPr>
            <w:tcW w:w="3300" w:type="dxa"/>
            <w:vAlign w:val="bottom"/>
          </w:tcPr>
          <w:p>
            <w:pPr>
              <w:jc w:val="center"/>
              <w:ind w:right="1720"/>
              <w:spacing w:after="0"/>
              <w:rPr>
                <w:sz w:val="20"/>
                <w:szCs w:val="20"/>
                <w:color w:val="auto"/>
              </w:rPr>
            </w:pPr>
            <w:r>
              <w:rPr>
                <w:rFonts w:ascii="Arial" w:cs="Arial" w:eastAsia="Arial" w:hAnsi="Arial"/>
                <w:sz w:val="16"/>
                <w:szCs w:val="16"/>
                <w:color w:val="auto"/>
                <w:w w:val="90"/>
              </w:rPr>
              <w:t>858-848-8100</w:t>
            </w:r>
          </w:p>
        </w:tc>
      </w:tr>
      <w:tr>
        <w:trPr>
          <w:trHeight w:val="382"/>
        </w:trPr>
        <w:tc>
          <w:tcPr>
            <w:tcW w:w="3900" w:type="dxa"/>
            <w:vAlign w:val="bottom"/>
          </w:tcPr>
          <w:p>
            <w:pPr>
              <w:spacing w:after="0"/>
              <w:rPr>
                <w:sz w:val="24"/>
                <w:szCs w:val="24"/>
                <w:color w:val="auto"/>
              </w:rPr>
            </w:pPr>
          </w:p>
        </w:tc>
        <w:tc>
          <w:tcPr>
            <w:tcW w:w="4060" w:type="dxa"/>
            <w:vAlign w:val="bottom"/>
          </w:tcPr>
          <w:p>
            <w:pPr>
              <w:jc w:val="center"/>
              <w:ind w:right="504"/>
              <w:spacing w:after="0"/>
              <w:rPr>
                <w:sz w:val="20"/>
                <w:szCs w:val="20"/>
                <w:color w:val="auto"/>
              </w:rPr>
            </w:pPr>
            <w:r>
              <w:rPr>
                <w:rFonts w:ascii="Arial" w:cs="Arial" w:eastAsia="Arial" w:hAnsi="Arial"/>
                <w:sz w:val="16"/>
                <w:szCs w:val="16"/>
                <w:color w:val="auto"/>
                <w:w w:val="94"/>
              </w:rPr>
              <w:t>Not Applicable</w:t>
            </w:r>
          </w:p>
        </w:tc>
        <w:tc>
          <w:tcPr>
            <w:tcW w:w="3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64"/>
          </w:cols>
          <w:pgMar w:left="316" w:top="414" w:right="319" w:bottom="1440" w:gutter="0" w:footer="0" w:header="0"/>
        </w:sectPr>
      </w:pPr>
    </w:p>
    <w:p>
      <w:pPr>
        <w:spacing w:after="0" w:line="198" w:lineRule="exact"/>
        <w:rPr>
          <w:sz w:val="24"/>
          <w:szCs w:val="24"/>
          <w:color w:val="auto"/>
        </w:rPr>
      </w:pPr>
    </w:p>
    <w:p>
      <w:pPr>
        <w:jc w:val="center"/>
        <w:ind w:right="356"/>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p>
    <w:p>
      <w:pPr>
        <w:jc w:val="center"/>
        <w:ind w:right="356"/>
        <w:spacing w:after="0"/>
        <w:rPr>
          <w:sz w:val="20"/>
          <w:szCs w:val="20"/>
          <w:color w:val="auto"/>
        </w:rPr>
      </w:pPr>
      <w:r>
        <w:rPr>
          <w:rFonts w:ascii="Arial" w:cs="Arial" w:eastAsia="Arial" w:hAnsi="Arial"/>
          <w:sz w:val="14"/>
          <w:szCs w:val="14"/>
          <w:color w:val="auto"/>
        </w:rPr>
        <w:t>Common Stock, $1.00 par value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920"/>
        <w:spacing w:after="0"/>
        <w:rPr>
          <w:sz w:val="20"/>
          <w:szCs w:val="20"/>
          <w:color w:val="auto"/>
        </w:rPr>
      </w:pPr>
      <w:r>
        <w:rPr>
          <w:rFonts w:ascii="Arial" w:cs="Arial" w:eastAsia="Arial" w:hAnsi="Arial"/>
          <w:sz w:val="14"/>
          <w:szCs w:val="14"/>
          <w:color w:val="auto"/>
        </w:rPr>
        <w:t>Trading Symbol(s)</w:t>
      </w:r>
    </w:p>
    <w:p>
      <w:pPr>
        <w:spacing w:after="0" w:line="43"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COHU</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560"/>
        <w:spacing w:after="0"/>
        <w:rPr>
          <w:sz w:val="20"/>
          <w:szCs w:val="20"/>
          <w:color w:val="auto"/>
        </w:rPr>
      </w:pPr>
      <w:r>
        <w:rPr>
          <w:rFonts w:ascii="Arial" w:cs="Arial" w:eastAsia="Arial" w:hAnsi="Arial"/>
          <w:sz w:val="14"/>
          <w:szCs w:val="14"/>
          <w:color w:val="auto"/>
        </w:rPr>
        <w:t>Name of each exchange on which registered</w:t>
      </w:r>
    </w:p>
    <w:p>
      <w:pPr>
        <w:spacing w:after="0" w:line="43"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The NASDAQ Stock Market LLC</w:t>
      </w:r>
    </w:p>
    <w:p>
      <w:pPr>
        <w:spacing w:after="0" w:line="186" w:lineRule="exact"/>
        <w:rPr>
          <w:sz w:val="24"/>
          <w:szCs w:val="24"/>
          <w:color w:val="auto"/>
        </w:rPr>
      </w:pPr>
    </w:p>
    <w:p>
      <w:pPr>
        <w:sectPr>
          <w:pgSz w:w="11900" w:h="16838" w:orient="portrait"/>
          <w:cols w:equalWidth="0" w:num="3">
            <w:col w:w="4304" w:space="720"/>
            <w:col w:w="2140" w:space="720"/>
            <w:col w:w="3380"/>
          </w:cols>
          <w:pgMar w:left="316" w:top="414" w:right="31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 w:lineRule="exact"/>
        <w:rPr>
          <w:rFonts w:ascii="MS PGothic" w:cs="MS PGothic" w:eastAsia="MS PGothic" w:hAnsi="MS PGothic"/>
          <w:sz w:val="16"/>
          <w:szCs w:val="16"/>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 w:lineRule="exact"/>
        <w:rPr>
          <w:rFonts w:ascii="MS PGothic" w:cs="MS PGothic" w:eastAsia="MS PGothic" w:hAnsi="MS PGothic"/>
          <w:sz w:val="16"/>
          <w:szCs w:val="16"/>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224" w:hanging="224"/>
        <w:spacing w:after="0"/>
        <w:tabs>
          <w:tab w:leader="none" w:pos="2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4" w:lineRule="exact"/>
        <w:rPr>
          <w:sz w:val="24"/>
          <w:szCs w:val="24"/>
          <w:color w:val="auto"/>
        </w:rPr>
      </w:pPr>
    </w:p>
    <w:p>
      <w:pPr>
        <w:ind w:left="4" w:right="24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4" w:right="20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714819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14"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Cohu, Inc. (“Cohu”) a global leader in back-end semiconductor equipment issued a press release announcing that it is updating its mid-term financial target model.</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information furnished pursuant to this Item 7.01, including Exhibits 99.1 and 99.2 furnished herewith, will not be deemed “filed” for purposes of Section 18 of the Securities Exchange Act of 1934, as amended (the “Exchange Act”), nor will it be deemed incorporated by reference in any filing under the Securities Act of 1933, as amended, or the Exchange Act, except as expressly set forth by specific reference in such a filing.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Non-GAAP Financial Information:</w:t>
      </w:r>
    </w:p>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5"/>
          <w:szCs w:val="15"/>
          <w:color w:val="auto"/>
        </w:rPr>
        <w:t>Included within this current report are non-GAAP financial measures, including non-GAAP earnings per share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depreciation of purchase accounting adjustments to property, plant and equipment, amortization of cloud-based software implementation costs (Adjusted EBITDA only) and gain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5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Use of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Certain statements contained in this current report may be considered forward-looking statements within the meaning of the U.S. Private Securities Litigation Reform Act of 1995, including statements regarding the updated mid-term financial target model to annual revenue of $1 billion and non-GAAP EPS of $4.00, expansion in the Inspection and Metrology market, semiconductor test equipment penetration in RF front-end, greater traction in Interface products, the DI-Core platform, fiscal year 2021 forecast for record revenue and profitability, strong order demand as we enter fiscal 2022 building upon Cohu’s growth, estimated five-year revenue growth CAGR,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Actual results could differ materially from those contained in any forward-looking statement as a result of various factors, including, without limitation: the updated mid-term financial target model consists of financial goals that may never be achieved, the ongoing global COVID-19 pandemic has adversely affected, and is continuing to adversely affect, our business and results of operations; ongoing increases in material, labor, supplier, logistics and other operating costs, or supply chain delays and shortages, could cause lower gross margins or lost sales and adversely impact our business, financial position, results of operations and cash flows; increased market cyclicality can have an adverse impact on our sales and gross margins;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and automated test equipment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our business and operations could suffer in the event of cybersecurity breaches; and our stock price and volatility in our stock price and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2" w:name="page3"/>
    <w:bookmarkEnd w:id="2"/>
    <w:p>
      <w:pPr>
        <w:ind w:left="4"/>
        <w:spacing w:after="0" w:line="258" w:lineRule="auto"/>
        <w:rPr>
          <w:sz w:val="20"/>
          <w:szCs w:val="20"/>
          <w:color w:val="auto"/>
        </w:rPr>
      </w:pPr>
      <w:r>
        <w:rPr>
          <w:rFonts w:ascii="Arial" w:cs="Arial" w:eastAsia="Arial" w:hAnsi="Arial"/>
          <w:sz w:val="16"/>
          <w:szCs w:val="16"/>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exhibit listed below is being furnished with this Current Report on Form 8-K.</w:t>
      </w:r>
    </w:p>
    <w:p>
      <w:pPr>
        <w:spacing w:after="0" w:line="198" w:lineRule="exact"/>
        <w:rPr>
          <w:sz w:val="20"/>
          <w:szCs w:val="20"/>
          <w:color w:val="auto"/>
        </w:rPr>
      </w:pPr>
    </w:p>
    <w:p>
      <w:pPr>
        <w:ind w:left="4" w:right="9840" w:hanging="4"/>
        <w:spacing w:after="0" w:line="532" w:lineRule="auto"/>
        <w:tabs>
          <w:tab w:leader="none" w:pos="230" w:val="left"/>
        </w:tabs>
        <w:numPr>
          <w:ilvl w:val="0"/>
          <w:numId w:val="2"/>
        </w:numPr>
        <w:rPr>
          <w:rFonts w:ascii="Arial" w:cs="Arial" w:eastAsia="Arial" w:hAnsi="Arial"/>
          <w:sz w:val="15"/>
          <w:szCs w:val="15"/>
          <w:color w:val="auto"/>
        </w:rPr>
      </w:pPr>
      <w:r>
        <w:rPr>
          <w:rFonts w:ascii="Arial" w:cs="Arial" w:eastAsia="Arial" w:hAnsi="Arial"/>
          <w:sz w:val="15"/>
          <w:szCs w:val="15"/>
          <w:color w:val="auto"/>
        </w:rPr>
        <w:t>Exhibits Exhibit No. - 99.1</w:t>
      </w:r>
    </w:p>
    <w:p>
      <w:pPr>
        <w:ind w:left="4" w:right="7500"/>
        <w:spacing w:after="0" w:line="498" w:lineRule="auto"/>
        <w:rPr>
          <w:rFonts w:ascii="Arial" w:cs="Arial" w:eastAsia="Arial" w:hAnsi="Arial"/>
          <w:sz w:val="16"/>
          <w:szCs w:val="16"/>
          <w:color w:val="0000EE"/>
        </w:rPr>
      </w:pPr>
      <w:hyperlink w:anchor="page5">
        <w:r>
          <w:rPr>
            <w:rFonts w:ascii="Arial" w:cs="Arial" w:eastAsia="Arial" w:hAnsi="Arial"/>
            <w:sz w:val="16"/>
            <w:szCs w:val="16"/>
            <w:u w:val="single" w:color="auto"/>
            <w:color w:val="0000EE"/>
          </w:rPr>
          <w:t>Press Release, dated December 14, 2021, of Cohu, Inc</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Exhibit No. - 99.2</w:t>
      </w:r>
    </w:p>
    <w:p>
      <w:pPr>
        <w:spacing w:after="0" w:line="1" w:lineRule="exact"/>
        <w:rPr>
          <w:rFonts w:ascii="Arial" w:cs="Arial" w:eastAsia="Arial" w:hAnsi="Arial"/>
          <w:sz w:val="16"/>
          <w:szCs w:val="16"/>
          <w:color w:val="0000EE"/>
        </w:rPr>
      </w:pPr>
    </w:p>
    <w:p>
      <w:pPr>
        <w:ind w:left="4" w:right="7660"/>
        <w:spacing w:after="0" w:line="498" w:lineRule="auto"/>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December 14, 2021 Cohu, Inc. Investor Presentation</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Exhibit No. - 104</w:t>
      </w:r>
    </w:p>
    <w:p>
      <w:pPr>
        <w:spacing w:after="0" w:line="1" w:lineRule="exact"/>
        <w:rPr>
          <w:rFonts w:ascii="Arial" w:cs="Arial" w:eastAsia="Arial" w:hAnsi="Arial"/>
          <w:sz w:val="16"/>
          <w:szCs w:val="16"/>
          <w:u w:val="single" w:color="auto"/>
          <w:color w:val="0000EE"/>
        </w:rPr>
      </w:pPr>
    </w:p>
    <w:p>
      <w:pPr>
        <w:ind w:left="4"/>
        <w:spacing w:after="0"/>
        <w:rPr>
          <w:rFonts w:ascii="Arial" w:cs="Arial" w:eastAsia="Arial" w:hAnsi="Arial"/>
          <w:sz w:val="16"/>
          <w:szCs w:val="16"/>
          <w:u w:val="single" w:color="auto"/>
          <w:color w:val="0000EE"/>
        </w:rPr>
      </w:pPr>
      <w:r>
        <w:rPr>
          <w:rFonts w:ascii="Arial" w:cs="Arial" w:eastAsia="Arial" w:hAnsi="Arial"/>
          <w:sz w:val="16"/>
          <w:szCs w:val="16"/>
          <w:color w:val="auto"/>
        </w:rPr>
        <w:t>Cover Page Interactive Data File (embedded within the Inline XBRL document)</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04"/>
          </w:cols>
          <w:pgMar w:left="316" w:top="533" w:right="57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4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Cohu, Inc.</w:t>
      </w:r>
    </w:p>
    <w:p>
      <w:pPr>
        <w:sectPr>
          <w:pgSz w:w="11900" w:h="16838" w:orient="portrait"/>
          <w:cols w:equalWidth="0" w:num="1">
            <w:col w:w="10820"/>
          </w:cols>
          <w:pgMar w:left="320" w:top="529" w:right="75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December 14, 2021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Jeffrey D. Jones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Name: Jeffrey D. Jones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Title: Chief Financial Officer</w:t>
      </w:r>
    </w:p>
    <w:p>
      <w:pPr>
        <w:sectPr>
          <w:pgSz w:w="11900" w:h="16838" w:orient="portrait"/>
          <w:cols w:equalWidth="0" w:num="3">
            <w:col w:w="4680" w:space="720"/>
            <w:col w:w="240" w:space="100"/>
            <w:col w:w="5080"/>
          </w:cols>
          <w:pgMar w:left="320" w:top="529" w:right="75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136525</wp:posOffset>
            </wp:positionV>
            <wp:extent cx="2800350" cy="1229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00350" cy="122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COHU, INC.</w:t>
      </w:r>
    </w:p>
    <w:p>
      <w:pPr>
        <w:spacing w:after="0" w:line="21"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12367 CROSTHWAITE CIRCLE</w:t>
      </w:r>
    </w:p>
    <w:p>
      <w:pPr>
        <w:spacing w:after="0" w:line="18"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POWAY, CA 92064</w:t>
      </w:r>
    </w:p>
    <w:p>
      <w:pPr>
        <w:spacing w:after="0" w:line="18"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FAX (858) 848-8185</w:t>
      </w:r>
    </w:p>
    <w:p>
      <w:pPr>
        <w:spacing w:after="0" w:line="18"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PHONE (858) 858-8100</w:t>
      </w:r>
    </w:p>
    <w:p>
      <w:pPr>
        <w:spacing w:after="0" w:line="18"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www.cohu.com</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Cohu Updates Mid-Term Financial Target Model</w:t>
      </w:r>
    </w:p>
    <w:p>
      <w:pPr>
        <w:spacing w:after="0" w:line="202" w:lineRule="exact"/>
        <w:rPr>
          <w:sz w:val="20"/>
          <w:szCs w:val="20"/>
          <w:color w:val="auto"/>
        </w:rPr>
      </w:pPr>
    </w:p>
    <w:p>
      <w:pPr>
        <w:jc w:val="both"/>
        <w:ind w:right="140"/>
        <w:spacing w:after="0" w:line="323" w:lineRule="auto"/>
        <w:rPr>
          <w:sz w:val="20"/>
          <w:szCs w:val="20"/>
          <w:color w:val="auto"/>
        </w:rPr>
      </w:pPr>
      <w:r>
        <w:rPr>
          <w:rFonts w:ascii="Arial" w:cs="Arial" w:eastAsia="Arial" w:hAnsi="Arial"/>
          <w:sz w:val="14"/>
          <w:szCs w:val="14"/>
          <w:color w:val="auto"/>
        </w:rPr>
        <w:t>POWAY, Calif., December 14, 2021 -- Cohu, Inc. (NASDAQ: COHU), a global leader in back-end semiconductor equipment and services, today announced that it is updating its mid-term financial target model</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to annual revenue of $1 billion and non-GAAP EPS of $4.00 to better reflect its projected revenue and margin growth, mainly driven by:</w:t>
      </w:r>
    </w:p>
    <w:p>
      <w:pPr>
        <w:spacing w:after="0" w:line="1" w:lineRule="exact"/>
        <w:rPr>
          <w:sz w:val="20"/>
          <w:szCs w:val="20"/>
          <w:color w:val="auto"/>
        </w:rPr>
      </w:pPr>
    </w:p>
    <w:p>
      <w:pPr>
        <w:ind w:left="640" w:right="340" w:hanging="286"/>
        <w:spacing w:after="0" w:line="309" w:lineRule="auto"/>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Expansion in the Inspection and Metrology market where Cohu’s revenue has grown from $35 million in 2020 to estimated $70 million in 2021. This technology addresses the emergence of advanced packages with multiple dies that require significantly greater quality verification prior to integration.</w:t>
      </w:r>
    </w:p>
    <w:p>
      <w:pPr>
        <w:spacing w:after="0" w:line="129" w:lineRule="exact"/>
        <w:rPr>
          <w:rFonts w:ascii="Arial" w:cs="Arial" w:eastAsia="Arial" w:hAnsi="Arial"/>
          <w:sz w:val="15"/>
          <w:szCs w:val="15"/>
          <w:color w:val="auto"/>
        </w:rPr>
      </w:pPr>
    </w:p>
    <w:p>
      <w:pPr>
        <w:ind w:left="640" w:right="80" w:hanging="286"/>
        <w:spacing w:after="0" w:line="275"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Semiconductor test equipment penetration in RF front-end, benefiting from increasing test intensity of higher frequency and bandwidth communications devices, and design-wins for display driver and power management IC test.</w:t>
      </w:r>
    </w:p>
    <w:p>
      <w:pPr>
        <w:spacing w:after="0" w:line="151" w:lineRule="exact"/>
        <w:rPr>
          <w:rFonts w:ascii="Arial" w:cs="Arial" w:eastAsia="Arial" w:hAnsi="Arial"/>
          <w:sz w:val="16"/>
          <w:szCs w:val="16"/>
          <w:color w:val="auto"/>
        </w:rPr>
      </w:pPr>
    </w:p>
    <w:p>
      <w:pPr>
        <w:ind w:left="640" w:right="220" w:hanging="286"/>
        <w:spacing w:after="0" w:line="275"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Greater traction in Interface products with final test contactors and recently introduced wafer-level chipscale (WLCSP) probe cards for front-end wafer test aligned with accelerating adoption of system-in-package and investments by leading semiconductor IDM and foundry customers.</w:t>
      </w:r>
    </w:p>
    <w:p>
      <w:pPr>
        <w:spacing w:after="0" w:line="151" w:lineRule="exact"/>
        <w:rPr>
          <w:rFonts w:ascii="Arial" w:cs="Arial" w:eastAsia="Arial" w:hAnsi="Arial"/>
          <w:sz w:val="16"/>
          <w:szCs w:val="16"/>
          <w:color w:val="auto"/>
        </w:rPr>
      </w:pPr>
    </w:p>
    <w:p>
      <w:pPr>
        <w:ind w:left="640" w:right="160" w:hanging="286"/>
        <w:spacing w:after="0" w:line="26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of the DI-Core platform, Cohu’s foray into software data analytics to improve customer’s test cell productivity in support of Industry 4.0-factory automation objectives. DI-Core leverages Cohu’s proprietary equipment data and artificial intelligence to deliver value, adding to Cohu’s consumable-like recurring revenue stream.</w:t>
      </w:r>
    </w:p>
    <w:p>
      <w:pPr>
        <w:spacing w:after="0" w:line="16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Luis Müller, Cohu President and CEO, commented, “Fiscal year 2021 is forecasted to be strong for Cohu, delivering record revenue and profitability. Order demand remains strong as we enter fiscal 2022 building upon Cohu’s growth in Inspection and Metrology, expanding opportunities in RF, power management and display driver IC test, WLCSP probe and accelerating deployment of DI-Core software services.”</w:t>
      </w:r>
    </w:p>
    <w:p>
      <w:pPr>
        <w:spacing w:after="0" w:line="162" w:lineRule="exact"/>
        <w:rPr>
          <w:sz w:val="20"/>
          <w:szCs w:val="20"/>
          <w:color w:val="auto"/>
        </w:rPr>
      </w:pPr>
    </w:p>
    <w:p>
      <w:pPr>
        <w:ind w:right="280"/>
        <w:spacing w:after="0" w:line="349" w:lineRule="auto"/>
        <w:rPr>
          <w:sz w:val="20"/>
          <w:szCs w:val="20"/>
          <w:color w:val="auto"/>
        </w:rPr>
      </w:pPr>
      <w:r>
        <w:rPr>
          <w:rFonts w:ascii="Arial" w:cs="Arial" w:eastAsia="Arial" w:hAnsi="Arial"/>
          <w:sz w:val="14"/>
          <w:szCs w:val="14"/>
          <w:color w:val="auto"/>
        </w:rPr>
        <w:t>Müller continued, “We have executed well on the growth strategy shared at our last Analyst Day event approximately one year ago. With 2021 nearly complete, it's time to increase Cohu’s target financial model to better reflect the opportunities ahead and continue building on our estimated last five-year revenue CAGR of approximately 26%.”</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 “Mid-term” means 3-5 year goals</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Cohu:</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Cohu (NASDAQ: COHU) is a global leader in back-end semiconductor equipment and services, delivering leading-edge solutions for the manufacturing of semiconductors.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information can be found at </w:t>
      </w:r>
      <w:r>
        <w:rPr>
          <w:rFonts w:ascii="Arial" w:cs="Arial" w:eastAsia="Arial" w:hAnsi="Arial"/>
          <w:sz w:val="16"/>
          <w:szCs w:val="16"/>
          <w:u w:val="single" w:color="auto"/>
          <w:color w:val="auto"/>
        </w:rPr>
        <w:t>www.Cohu.com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Use of Non-GAAP Financial Information:</w:t>
      </w:r>
    </w:p>
    <w:p>
      <w:pPr>
        <w:spacing w:after="0" w:line="202"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Included within this press release and accompanying materials are non-GAAP financial measures, including non-GAAP earnings per share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depreciation of purchase accounting adjustments to property, plant and equipment, amortization of cloud-based software implementation costs (Adjusted EBITDA only) and gain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5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Use of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the updated mid-term financial target model to annual revenue of $1 billion and non-GAAP EPS of $4.00, expansion in the Inspection and Metrology market, semiconductor test equipment penetration in RF front-end, greater traction in Interface products, the DI-Core platform, fiscal year 2021 forecast for record revenue and profitability, strong order demand as we enter fiscal 2022 building upon Cohu’s growth, estimated five-year revenue growth CAGR,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5"/>
          <w:szCs w:val="15"/>
          <w:color w:val="auto"/>
        </w:rPr>
        <w:t>Actual results could differ materially from those contained in any forward-looking statement as a result of various factors, including, without limitation: the updated mid-term financial target model consists of financial goals that may never be achieved, the ongoing global COVID-19 pandemic has adversely affected, and is continuing to adversely affect, our business and results of operations; ongoing increases in material, labor, supplier, logistics and other operating costs, or supply chain delays and shortages, could cause lower gross margins or lost sales and adversely impact our business, financial position, results of operations and cash flows; increased market cyclicality can have an adverse impact on our sales and gross margins;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and automated test equipment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our business and operations could suffer in the event of cybersecurity breaches; and our stock price and volatility in our stock price and earnings.</w:t>
      </w:r>
    </w:p>
    <w:p>
      <w:pPr>
        <w:spacing w:after="0" w:line="159"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Cohu,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Jeffrey D. Jones, 858-848-8106</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ectPr>
          <w:pgSz w:w="11900" w:h="16838" w:orient="portrait"/>
          <w:cols w:equalWidth="0" w:num="1">
            <w:col w:w="11240"/>
          </w:cols>
          <w:pgMar w:left="320" w:top="533" w:right="339" w:bottom="1440" w:gutter="0" w:footer="0" w:header="0"/>
        </w:sectPr>
      </w:pPr>
    </w:p>
    <w:bookmarkStart w:id="7" w:name="page8"/>
    <w:bookmarkEnd w:id="7"/>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4401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385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4596130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225425</wp:posOffset>
            </wp:positionV>
            <wp:extent cx="7203440" cy="4051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03440" cy="4051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2021-12-14T15:09:10Z</dcterms:created>
  <dcterms:modified xsi:type="dcterms:W3CDTF">2021-12-14T15:09:10Z</dcterms:modified>
</cp:coreProperties>
</file>