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color w:val="auto"/>
        </w:rPr>
        <w:t>UNITED STATES</w:t>
      </w:r>
    </w:p>
    <w:p>
      <w:pPr>
        <w:jc w:val="center"/>
        <w:ind w:right="-17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2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July 29, 2021</w:t>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3040" w:type="dxa"/>
            <w:vAlign w:val="bottom"/>
            <w:gridSpan w:val="2"/>
          </w:tcPr>
          <w:p>
            <w:pPr>
              <w:jc w:val="center"/>
              <w:ind w:right="730"/>
              <w:spacing w:after="0"/>
              <w:rPr>
                <w:sz w:val="20"/>
                <w:szCs w:val="20"/>
                <w:color w:val="auto"/>
              </w:rPr>
            </w:pPr>
            <w:r>
              <w:rPr>
                <w:rFonts w:ascii="Arial" w:cs="Arial" w:eastAsia="Arial" w:hAnsi="Arial"/>
                <w:sz w:val="18"/>
                <w:szCs w:val="18"/>
                <w:color w:val="auto"/>
                <w:w w:val="92"/>
              </w:rPr>
              <w:t>Delaware</w:t>
            </w:r>
          </w:p>
        </w:tc>
        <w:tc>
          <w:tcPr>
            <w:tcW w:w="2740" w:type="dxa"/>
            <w:vAlign w:val="bottom"/>
            <w:gridSpan w:val="3"/>
          </w:tcPr>
          <w:p>
            <w:pPr>
              <w:jc w:val="right"/>
              <w:ind w:right="940"/>
              <w:spacing w:after="0"/>
              <w:rPr>
                <w:sz w:val="20"/>
                <w:szCs w:val="20"/>
                <w:color w:val="auto"/>
              </w:rPr>
            </w:pPr>
            <w:r>
              <w:rPr>
                <w:rFonts w:ascii="Arial" w:cs="Arial" w:eastAsia="Arial" w:hAnsi="Arial"/>
                <w:sz w:val="18"/>
                <w:szCs w:val="18"/>
                <w:color w:val="auto"/>
              </w:rPr>
              <w:t>001-04298</w:t>
            </w:r>
          </w:p>
        </w:tc>
        <w:tc>
          <w:tcPr>
            <w:tcW w:w="2800" w:type="dxa"/>
            <w:vAlign w:val="bottom"/>
          </w:tcPr>
          <w:p>
            <w:pPr>
              <w:jc w:val="center"/>
              <w:ind w:left="390"/>
              <w:spacing w:after="0"/>
              <w:rPr>
                <w:sz w:val="20"/>
                <w:szCs w:val="20"/>
                <w:color w:val="auto"/>
              </w:rPr>
            </w:pPr>
            <w:r>
              <w:rPr>
                <w:rFonts w:ascii="Arial" w:cs="Arial" w:eastAsia="Arial" w:hAnsi="Arial"/>
                <w:sz w:val="18"/>
                <w:szCs w:val="18"/>
                <w:color w:val="auto"/>
                <w:w w:val="91"/>
              </w:rPr>
              <w:t>95-1934119</w:t>
            </w:r>
          </w:p>
        </w:tc>
      </w:tr>
      <w:tr>
        <w:trPr>
          <w:trHeight w:val="216"/>
        </w:trPr>
        <w:tc>
          <w:tcPr>
            <w:tcW w:w="4580" w:type="dxa"/>
            <w:vAlign w:val="bottom"/>
            <w:gridSpan w:val="3"/>
          </w:tcPr>
          <w:p>
            <w:pPr>
              <w:jc w:val="right"/>
              <w:ind w:right="890"/>
              <w:spacing w:after="0"/>
              <w:rPr>
                <w:sz w:val="20"/>
                <w:szCs w:val="20"/>
                <w:color w:val="auto"/>
              </w:rPr>
            </w:pPr>
            <w:r>
              <w:rPr>
                <w:rFonts w:ascii="Arial" w:cs="Arial" w:eastAsia="Arial" w:hAnsi="Arial"/>
                <w:sz w:val="18"/>
                <w:szCs w:val="18"/>
                <w:color w:val="auto"/>
              </w:rPr>
              <w:t>_____________________</w:t>
            </w:r>
          </w:p>
        </w:tc>
        <w:tc>
          <w:tcPr>
            <w:tcW w:w="2740" w:type="dxa"/>
            <w:vAlign w:val="bottom"/>
            <w:gridSpan w:val="3"/>
          </w:tcPr>
          <w:p>
            <w:pPr>
              <w:jc w:val="right"/>
              <w:ind w:right="760"/>
              <w:spacing w:after="0"/>
              <w:rPr>
                <w:sz w:val="20"/>
                <w:szCs w:val="20"/>
                <w:color w:val="auto"/>
              </w:rPr>
            </w:pPr>
            <w:r>
              <w:rPr>
                <w:rFonts w:ascii="Arial" w:cs="Arial" w:eastAsia="Arial" w:hAnsi="Arial"/>
                <w:sz w:val="18"/>
                <w:szCs w:val="18"/>
                <w:color w:val="auto"/>
              </w:rPr>
              <w:t>_____________</w:t>
            </w:r>
          </w:p>
        </w:tc>
        <w:tc>
          <w:tcPr>
            <w:tcW w:w="2800" w:type="dxa"/>
            <w:vAlign w:val="bottom"/>
          </w:tcPr>
          <w:p>
            <w:pPr>
              <w:jc w:val="center"/>
              <w:ind w:left="370"/>
              <w:spacing w:after="0"/>
              <w:rPr>
                <w:sz w:val="20"/>
                <w:szCs w:val="20"/>
                <w:color w:val="auto"/>
              </w:rPr>
            </w:pPr>
            <w:r>
              <w:rPr>
                <w:rFonts w:ascii="Arial" w:cs="Arial" w:eastAsia="Arial" w:hAnsi="Arial"/>
                <w:sz w:val="18"/>
                <w:szCs w:val="18"/>
                <w:color w:val="auto"/>
                <w:w w:val="89"/>
              </w:rPr>
              <w:t>______________</w:t>
            </w:r>
          </w:p>
        </w:tc>
      </w:tr>
      <w:tr>
        <w:trPr>
          <w:trHeight w:val="216"/>
        </w:trPr>
        <w:tc>
          <w:tcPr>
            <w:tcW w:w="1540" w:type="dxa"/>
            <w:vAlign w:val="bottom"/>
          </w:tcPr>
          <w:p>
            <w:pPr>
              <w:spacing w:after="0"/>
              <w:rPr>
                <w:sz w:val="18"/>
                <w:szCs w:val="18"/>
                <w:color w:val="auto"/>
              </w:rPr>
            </w:pPr>
          </w:p>
        </w:tc>
        <w:tc>
          <w:tcPr>
            <w:tcW w:w="3040" w:type="dxa"/>
            <w:vAlign w:val="bottom"/>
            <w:gridSpan w:val="2"/>
          </w:tcPr>
          <w:p>
            <w:pPr>
              <w:jc w:val="center"/>
              <w:ind w:right="730"/>
              <w:spacing w:after="0"/>
              <w:rPr>
                <w:sz w:val="20"/>
                <w:szCs w:val="20"/>
                <w:color w:val="auto"/>
              </w:rPr>
            </w:pPr>
            <w:r>
              <w:rPr>
                <w:rFonts w:ascii="Arial" w:cs="Arial" w:eastAsia="Arial" w:hAnsi="Arial"/>
                <w:sz w:val="18"/>
                <w:szCs w:val="18"/>
                <w:color w:val="auto"/>
                <w:w w:val="92"/>
              </w:rPr>
              <w:t>(State or other jurisdiction</w:t>
            </w:r>
          </w:p>
        </w:tc>
        <w:tc>
          <w:tcPr>
            <w:tcW w:w="60" w:type="dxa"/>
            <w:vAlign w:val="bottom"/>
          </w:tcPr>
          <w:p>
            <w:pPr>
              <w:spacing w:after="0"/>
              <w:rPr>
                <w:sz w:val="18"/>
                <w:szCs w:val="18"/>
                <w:color w:val="auto"/>
              </w:rPr>
            </w:pPr>
          </w:p>
        </w:tc>
        <w:tc>
          <w:tcPr>
            <w:tcW w:w="2680" w:type="dxa"/>
            <w:vAlign w:val="bottom"/>
            <w:gridSpan w:val="2"/>
          </w:tcPr>
          <w:p>
            <w:pPr>
              <w:ind w:left="860"/>
              <w:spacing w:after="0"/>
              <w:rPr>
                <w:sz w:val="20"/>
                <w:szCs w:val="20"/>
                <w:color w:val="auto"/>
              </w:rPr>
            </w:pPr>
            <w:r>
              <w:rPr>
                <w:rFonts w:ascii="Arial" w:cs="Arial" w:eastAsia="Arial" w:hAnsi="Arial"/>
                <w:sz w:val="18"/>
                <w:szCs w:val="18"/>
                <w:color w:val="auto"/>
              </w:rPr>
              <w:t>(Commission</w:t>
            </w:r>
          </w:p>
        </w:tc>
        <w:tc>
          <w:tcPr>
            <w:tcW w:w="2800" w:type="dxa"/>
            <w:vAlign w:val="bottom"/>
          </w:tcPr>
          <w:p>
            <w:pPr>
              <w:jc w:val="center"/>
              <w:ind w:left="390"/>
              <w:spacing w:after="0"/>
              <w:rPr>
                <w:sz w:val="20"/>
                <w:szCs w:val="20"/>
                <w:color w:val="auto"/>
              </w:rPr>
            </w:pPr>
            <w:r>
              <w:rPr>
                <w:rFonts w:ascii="Arial" w:cs="Arial" w:eastAsia="Arial" w:hAnsi="Arial"/>
                <w:sz w:val="18"/>
                <w:szCs w:val="18"/>
                <w:color w:val="auto"/>
                <w:w w:val="93"/>
              </w:rPr>
              <w:t>(I.R.S. Employer</w:t>
            </w:r>
          </w:p>
        </w:tc>
      </w:tr>
      <w:tr>
        <w:trPr>
          <w:trHeight w:val="230"/>
        </w:trPr>
        <w:tc>
          <w:tcPr>
            <w:tcW w:w="1540" w:type="dxa"/>
            <w:vAlign w:val="bottom"/>
          </w:tcPr>
          <w:p>
            <w:pPr>
              <w:spacing w:after="0"/>
              <w:rPr>
                <w:sz w:val="20"/>
                <w:szCs w:val="20"/>
                <w:color w:val="auto"/>
              </w:rPr>
            </w:pPr>
          </w:p>
        </w:tc>
        <w:tc>
          <w:tcPr>
            <w:tcW w:w="3040" w:type="dxa"/>
            <w:vAlign w:val="bottom"/>
            <w:gridSpan w:val="2"/>
          </w:tcPr>
          <w:p>
            <w:pPr>
              <w:jc w:val="center"/>
              <w:ind w:right="730"/>
              <w:spacing w:after="0"/>
              <w:rPr>
                <w:sz w:val="20"/>
                <w:szCs w:val="20"/>
                <w:color w:val="auto"/>
              </w:rPr>
            </w:pPr>
            <w:r>
              <w:rPr>
                <w:rFonts w:ascii="Arial" w:cs="Arial" w:eastAsia="Arial" w:hAnsi="Arial"/>
                <w:sz w:val="18"/>
                <w:szCs w:val="18"/>
                <w:color w:val="auto"/>
                <w:w w:val="93"/>
              </w:rPr>
              <w:t>of incorporation)</w:t>
            </w:r>
          </w:p>
        </w:tc>
        <w:tc>
          <w:tcPr>
            <w:tcW w:w="60" w:type="dxa"/>
            <w:vAlign w:val="bottom"/>
          </w:tcPr>
          <w:p>
            <w:pPr>
              <w:spacing w:after="0"/>
              <w:rPr>
                <w:sz w:val="20"/>
                <w:szCs w:val="20"/>
                <w:color w:val="auto"/>
              </w:rPr>
            </w:pPr>
          </w:p>
        </w:tc>
        <w:tc>
          <w:tcPr>
            <w:tcW w:w="2680" w:type="dxa"/>
            <w:vAlign w:val="bottom"/>
            <w:gridSpan w:val="2"/>
          </w:tcPr>
          <w:p>
            <w:pPr>
              <w:ind w:left="860"/>
              <w:spacing w:after="0"/>
              <w:rPr>
                <w:sz w:val="20"/>
                <w:szCs w:val="20"/>
                <w:color w:val="auto"/>
              </w:rPr>
            </w:pPr>
            <w:r>
              <w:rPr>
                <w:rFonts w:ascii="Arial" w:cs="Arial" w:eastAsia="Arial" w:hAnsi="Arial"/>
                <w:sz w:val="18"/>
                <w:szCs w:val="18"/>
                <w:color w:val="auto"/>
              </w:rPr>
              <w:t>File Number)</w:t>
            </w:r>
          </w:p>
        </w:tc>
        <w:tc>
          <w:tcPr>
            <w:tcW w:w="2800" w:type="dxa"/>
            <w:vAlign w:val="bottom"/>
          </w:tcPr>
          <w:p>
            <w:pPr>
              <w:jc w:val="center"/>
              <w:ind w:left="3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58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12367 Crosthwaite Circle, Poway, California</w:t>
            </w: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0" w:type="dxa"/>
            <w:vAlign w:val="bottom"/>
          </w:tcPr>
          <w:p>
            <w:pPr>
              <w:jc w:val="center"/>
              <w:ind w:left="390"/>
              <w:spacing w:after="0"/>
              <w:rPr>
                <w:sz w:val="20"/>
                <w:szCs w:val="20"/>
                <w:color w:val="auto"/>
              </w:rPr>
            </w:pPr>
            <w:r>
              <w:rPr>
                <w:rFonts w:ascii="Arial" w:cs="Arial" w:eastAsia="Arial" w:hAnsi="Arial"/>
                <w:sz w:val="18"/>
                <w:szCs w:val="18"/>
                <w:color w:val="auto"/>
                <w:w w:val="87"/>
              </w:rPr>
              <w:t>92064</w:t>
            </w:r>
          </w:p>
        </w:tc>
      </w:tr>
      <w:tr>
        <w:trPr>
          <w:trHeight w:val="216"/>
        </w:trPr>
        <w:tc>
          <w:tcPr>
            <w:tcW w:w="4580" w:type="dxa"/>
            <w:vAlign w:val="bottom"/>
            <w:gridSpan w:val="3"/>
          </w:tcPr>
          <w:p>
            <w:pPr>
              <w:jc w:val="right"/>
              <w:ind w:right="350"/>
              <w:spacing w:after="0"/>
              <w:rPr>
                <w:sz w:val="20"/>
                <w:szCs w:val="20"/>
                <w:color w:val="auto"/>
              </w:rPr>
            </w:pPr>
            <w:r>
              <w:rPr>
                <w:rFonts w:ascii="Arial" w:cs="Arial" w:eastAsia="Arial" w:hAnsi="Arial"/>
                <w:sz w:val="18"/>
                <w:szCs w:val="18"/>
                <w:color w:val="auto"/>
              </w:rPr>
              <w:t>_________________________________</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0" w:type="dxa"/>
            <w:vAlign w:val="bottom"/>
          </w:tcPr>
          <w:p>
            <w:pPr>
              <w:jc w:val="center"/>
              <w:ind w:left="390"/>
              <w:spacing w:after="0"/>
              <w:rPr>
                <w:sz w:val="20"/>
                <w:szCs w:val="20"/>
                <w:color w:val="auto"/>
              </w:rPr>
            </w:pPr>
            <w:r>
              <w:rPr>
                <w:rFonts w:ascii="Arial" w:cs="Arial" w:eastAsia="Arial" w:hAnsi="Arial"/>
                <w:sz w:val="18"/>
                <w:szCs w:val="18"/>
                <w:color w:val="auto"/>
                <w:w w:val="90"/>
              </w:rPr>
              <w:t>___________</w:t>
            </w:r>
          </w:p>
        </w:tc>
      </w:tr>
      <w:tr>
        <w:trPr>
          <w:trHeight w:val="230"/>
        </w:trPr>
        <w:tc>
          <w:tcPr>
            <w:tcW w:w="458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(Address of principal executive offices)</w:t>
            </w: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0" w:type="dxa"/>
            <w:vAlign w:val="bottom"/>
          </w:tcPr>
          <w:p>
            <w:pPr>
              <w:jc w:val="center"/>
              <w:ind w:left="390"/>
              <w:spacing w:after="0"/>
              <w:rPr>
                <w:sz w:val="20"/>
                <w:szCs w:val="20"/>
                <w:color w:val="auto"/>
              </w:rPr>
            </w:pPr>
            <w:r>
              <w:rPr>
                <w:rFonts w:ascii="Arial" w:cs="Arial" w:eastAsia="Arial" w:hAnsi="Arial"/>
                <w:sz w:val="18"/>
                <w:szCs w:val="18"/>
                <w:color w:val="auto"/>
                <w:w w:val="94"/>
              </w:rPr>
              <w:t>(Zip Code)</w:t>
            </w:r>
          </w:p>
        </w:tc>
      </w:tr>
      <w:tr>
        <w:trPr>
          <w:trHeight w:val="432"/>
        </w:trPr>
        <w:tc>
          <w:tcPr>
            <w:tcW w:w="4580" w:type="dxa"/>
            <w:vAlign w:val="bottom"/>
            <w:gridSpan w:val="3"/>
          </w:tcPr>
          <w:p>
            <w:pPr>
              <w:jc w:val="center"/>
              <w:ind w:left="630"/>
              <w:spacing w:after="0"/>
              <w:rPr>
                <w:sz w:val="20"/>
                <w:szCs w:val="20"/>
                <w:color w:val="auto"/>
              </w:rPr>
            </w:pPr>
            <w:r>
              <w:rPr>
                <w:rFonts w:ascii="Arial" w:cs="Arial" w:eastAsia="Arial" w:hAnsi="Arial"/>
                <w:sz w:val="18"/>
                <w:szCs w:val="18"/>
                <w:color w:val="auto"/>
                <w:w w:val="89"/>
              </w:rPr>
              <w:t>Registrant’s telephone number, including area code:</w:t>
            </w: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0" w:type="dxa"/>
            <w:vAlign w:val="bottom"/>
          </w:tcPr>
          <w:p>
            <w:pPr>
              <w:jc w:val="center"/>
              <w:ind w:left="370"/>
              <w:spacing w:after="0"/>
              <w:rPr>
                <w:sz w:val="20"/>
                <w:szCs w:val="20"/>
                <w:color w:val="auto"/>
              </w:rPr>
            </w:pPr>
            <w:r>
              <w:rPr>
                <w:rFonts w:ascii="Arial" w:cs="Arial" w:eastAsia="Arial" w:hAnsi="Arial"/>
                <w:sz w:val="18"/>
                <w:szCs w:val="18"/>
                <w:color w:val="auto"/>
                <w:w w:val="90"/>
              </w:rPr>
              <w:t>858-848-8100</w:t>
            </w:r>
          </w:p>
        </w:tc>
      </w:tr>
      <w:tr>
        <w:trPr>
          <w:trHeight w:val="418"/>
        </w:trPr>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gridSpan w:val="2"/>
          </w:tcPr>
          <w:p>
            <w:pPr>
              <w:jc w:val="center"/>
              <w:ind w:right="700"/>
              <w:spacing w:after="0"/>
              <w:rPr>
                <w:sz w:val="20"/>
                <w:szCs w:val="20"/>
                <w:color w:val="auto"/>
              </w:rPr>
            </w:pPr>
            <w:r>
              <w:rPr>
                <w:rFonts w:ascii="Arial" w:cs="Arial" w:eastAsia="Arial" w:hAnsi="Arial"/>
                <w:sz w:val="18"/>
                <w:szCs w:val="18"/>
                <w:color w:val="auto"/>
                <w:w w:val="94"/>
              </w:rPr>
              <w:t>Not Applicable</w:t>
            </w:r>
          </w:p>
        </w:tc>
        <w:tc>
          <w:tcPr>
            <w:tcW w:w="2800" w:type="dxa"/>
            <w:vAlign w:val="bottom"/>
          </w:tcPr>
          <w:p>
            <w:pPr>
              <w:spacing w:after="0"/>
              <w:rPr>
                <w:sz w:val="24"/>
                <w:szCs w:val="24"/>
                <w:color w:val="auto"/>
              </w:rPr>
            </w:pPr>
          </w:p>
        </w:tc>
      </w:tr>
      <w:tr>
        <w:trPr>
          <w:trHeight w:val="216"/>
        </w:trPr>
        <w:tc>
          <w:tcPr>
            <w:tcW w:w="10120" w:type="dxa"/>
            <w:vAlign w:val="bottom"/>
            <w:gridSpan w:val="7"/>
          </w:tcPr>
          <w:p>
            <w:pPr>
              <w:jc w:val="center"/>
              <w:ind w:left="1050"/>
              <w:spacing w:after="0"/>
              <w:rPr>
                <w:sz w:val="20"/>
                <w:szCs w:val="20"/>
                <w:color w:val="auto"/>
              </w:rPr>
            </w:pPr>
            <w:r>
              <w:rPr>
                <w:rFonts w:ascii="Arial" w:cs="Arial" w:eastAsia="Arial" w:hAnsi="Arial"/>
                <w:sz w:val="18"/>
                <w:szCs w:val="18"/>
                <w:color w:val="auto"/>
                <w:w w:val="89"/>
              </w:rPr>
              <w:t>______________________________________________</w:t>
            </w:r>
          </w:p>
        </w:tc>
      </w:tr>
      <w:tr>
        <w:trPr>
          <w:trHeight w:val="230"/>
        </w:trPr>
        <w:tc>
          <w:tcPr>
            <w:tcW w:w="1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20" w:type="dxa"/>
            <w:vAlign w:val="bottom"/>
            <w:gridSpan w:val="5"/>
          </w:tcPr>
          <w:p>
            <w:pPr>
              <w:jc w:val="center"/>
              <w:ind w:right="1670"/>
              <w:spacing w:after="0"/>
              <w:rPr>
                <w:sz w:val="20"/>
                <w:szCs w:val="20"/>
                <w:color w:val="auto"/>
              </w:rPr>
            </w:pPr>
            <w:r>
              <w:rPr>
                <w:rFonts w:ascii="Arial" w:cs="Arial" w:eastAsia="Arial" w:hAnsi="Arial"/>
                <w:sz w:val="18"/>
                <w:szCs w:val="18"/>
                <w:color w:val="auto"/>
                <w:w w:val="89"/>
              </w:rPr>
              <w:t>Former name or former address, if changed since last report</w:t>
            </w: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91"/>
        </w:trPr>
        <w:tc>
          <w:tcPr>
            <w:tcW w:w="15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680" w:type="dxa"/>
            <w:vAlign w:val="bottom"/>
          </w:tcPr>
          <w:p>
            <w:pPr>
              <w:spacing w:after="0"/>
              <w:rPr>
                <w:sz w:val="24"/>
                <w:szCs w:val="24"/>
                <w:color w:val="auto"/>
              </w:rPr>
            </w:pPr>
          </w:p>
        </w:tc>
        <w:tc>
          <w:tcPr>
            <w:tcW w:w="2740" w:type="dxa"/>
            <w:vAlign w:val="bottom"/>
            <w:gridSpan w:val="3"/>
          </w:tcPr>
          <w:p>
            <w:pPr>
              <w:jc w:val="center"/>
              <w:ind w:right="1260"/>
              <w:spacing w:after="0"/>
              <w:rPr>
                <w:sz w:val="20"/>
                <w:szCs w:val="20"/>
                <w:color w:val="auto"/>
              </w:rPr>
            </w:pPr>
            <w:r>
              <w:rPr>
                <w:rFonts w:ascii="Arial" w:cs="Arial" w:eastAsia="Arial" w:hAnsi="Arial"/>
                <w:sz w:val="18"/>
                <w:szCs w:val="18"/>
                <w:color w:val="auto"/>
                <w:w w:val="92"/>
              </w:rPr>
              <w:t>Trading Symbol(s)</w:t>
            </w: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Name of exchange on which registered</w:t>
            </w:r>
          </w:p>
        </w:tc>
      </w:tr>
      <w:tr>
        <w:trPr>
          <w:trHeight w:val="20"/>
        </w:trPr>
        <w:tc>
          <w:tcPr>
            <w:tcW w:w="1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37"/>
        </w:trPr>
        <w:tc>
          <w:tcPr>
            <w:tcW w:w="4580" w:type="dxa"/>
            <w:vAlign w:val="bottom"/>
            <w:gridSpan w:val="3"/>
          </w:tcPr>
          <w:p>
            <w:pPr>
              <w:jc w:val="center"/>
              <w:ind w:right="50"/>
              <w:spacing w:after="0"/>
              <w:rPr>
                <w:sz w:val="20"/>
                <w:szCs w:val="20"/>
                <w:color w:val="auto"/>
              </w:rPr>
            </w:pPr>
            <w:r>
              <w:rPr>
                <w:rFonts w:ascii="Arial" w:cs="Arial" w:eastAsia="Arial" w:hAnsi="Arial"/>
                <w:sz w:val="18"/>
                <w:szCs w:val="18"/>
                <w:color w:val="auto"/>
                <w:w w:val="90"/>
              </w:rPr>
              <w:t>Common Stock, $1.00 par value</w:t>
            </w:r>
          </w:p>
        </w:tc>
        <w:tc>
          <w:tcPr>
            <w:tcW w:w="60" w:type="dxa"/>
            <w:vAlign w:val="bottom"/>
          </w:tcPr>
          <w:p>
            <w:pPr>
              <w:spacing w:after="0"/>
              <w:rPr>
                <w:sz w:val="20"/>
                <w:szCs w:val="20"/>
                <w:color w:val="auto"/>
              </w:rPr>
            </w:pPr>
          </w:p>
        </w:tc>
        <w:tc>
          <w:tcPr>
            <w:tcW w:w="2680" w:type="dxa"/>
            <w:vAlign w:val="bottom"/>
            <w:gridSpan w:val="2"/>
          </w:tcPr>
          <w:p>
            <w:pPr>
              <w:jc w:val="center"/>
              <w:ind w:right="1340"/>
              <w:spacing w:after="0"/>
              <w:rPr>
                <w:sz w:val="20"/>
                <w:szCs w:val="20"/>
                <w:color w:val="auto"/>
              </w:rPr>
            </w:pPr>
            <w:r>
              <w:rPr>
                <w:rFonts w:ascii="Arial" w:cs="Arial" w:eastAsia="Arial" w:hAnsi="Arial"/>
                <w:sz w:val="18"/>
                <w:szCs w:val="18"/>
                <w:color w:val="auto"/>
                <w:w w:val="94"/>
              </w:rPr>
              <w:t>COHU</w:t>
            </w:r>
          </w:p>
        </w:tc>
        <w:tc>
          <w:tcPr>
            <w:tcW w:w="28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On July 29, 2021, Cohu, Inc. (the “Company”) issued a press release regarding its financial results for the second quarter ended June 26, 2021. The Company’s press release is attached as Exhibit 99.1 to this Current Report on Form 8-K and incorporated by reference herein.</w:t>
      </w:r>
    </w:p>
    <w:p>
      <w:pPr>
        <w:spacing w:after="0" w:line="146"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Included within this current report and accompanying materials are non-GAAP financial measures, including non-GAAP Gross Margin/Profit, Income and Income (adjusted earnings) per share, Operating Income, Operating Expense, effective tax rate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asset impairment charges, gain on sale of business, gain on sale of facility, employer payroll taxes related to accelerated vesting share-based awards , depreciation of purchase accounting adjustments to property, plant and equipment, amortization of cloud-based software implementation costs (Adjusted EBITDA only) and loss on extinguishment of debt (Adjusted EBITDA only). Reconciliations of GAAP to non-GAAP amounts for the periods presented herein are provided in schedules accompanying this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8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statements contained in this current report and accompanying materials may be considered forward-looking statements within the meaning of the U.S. Private Securities Litigation Reform Act of 1995, including statements regarding being on track for record full year revenue and profitability, benefiting from strong 5G mobility, automotive and improving consumer and industrial semiconductor demand, new customers and design wins, new Neon customers, DI-Core software platform, improving contactor operational efficiencies/lead-times/margins, estimated test cell utilization, any other comments on Cohu’s FY 2021 outlook or growth, second half or fourth quarter 2021 outlook, target financial model for FY’21, % of incremental revenue expected to fall to operating income, debt deleveraging priority, estimated system versus recurring sales, sales impact of supply chain disruptions, Cohu’s third quarter 2021 sales forecast, guidance, sales mix, non-GAAP operating expenses, gross margin, operating income, adjusted EBITDA, effective tax rate, free cash flow, cap ex, cash and shares outstanding, estimated minimum cash needed, estimated EBITDA breakeven point, any future Term Loan B principal reduction, non-cash charges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 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ind w:right="20"/>
        <w:spacing w:after="0" w:line="284" w:lineRule="auto"/>
        <w:rPr>
          <w:sz w:val="20"/>
          <w:szCs w:val="20"/>
          <w:color w:val="auto"/>
        </w:rPr>
      </w:pPr>
      <w:r>
        <w:rPr>
          <w:rFonts w:ascii="Arial" w:cs="Arial" w:eastAsia="Arial" w:hAnsi="Arial"/>
          <w:sz w:val="16"/>
          <w:szCs w:val="16"/>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and results of operations; ongoing increases in material, labor, supplier, logistics and other operating costs, or supply chain delays, could cause lower gross margins or lost sales and adversely impact our business, financial position, results of operations and cash flows; potential post-closing PCB Test sale purchase price adjustment based on final closing accounts mechanism; we are making investments in new products and product enhancements, which may adversely affect our operating results and these investments may not be commercially successful; we are exposed to the risks of operating a global business; we have manufacturing operations in Asia, and any failure to effectively manage multiple manufacturing sites and to secure raw materials meeting our quality, cost and other requirements, or failures by our suppliers to perform, could harm our sales, service levels and reputation; failure of critical suppliers to deliver sufficient quantities of parts in a timely and cost-effective manner could adversely impact our operations; the semiconductor industry is seasonal, volatile and unpredictable; the semiconductor equipment industry is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a majority of our revenues are generated from exports to foreign countries, primarily in Asia, that are subject to economic and political instability and we compete against a number of Asia-based test contactor, test handler and automated test equipment suppliers; the incurrence of substantial indebtedness in connection with our financing of the Xcerra acquisition may have an adverse impact on Cohu’s liquidity, limit Cohu’s flexibility in responding to other business opportunities and increase Cohu’s vulnerability to adverse economic and industry conditions; our Credit Agreement contains various representations and negative covenants that limit, subject to certain exceptions and baskets, our ability and/or our subsidiaries’ ability to enter into financing and other transactions relating to our assets; because of high debt levels we may not be able to service our debt obligations in accordance with their terms; dilution of earnings per share due to our March 2021 follow-on equity offering; we are exposed to other risks associated with other acquisitions, investments and divestitures; we expect to continue to evaluate and pursue divestitures of non-core assets; our financial and operating results may vary and fall below analysts’ estimates, or credit rating agencies may change their ratings on Cohu, any of which may cause the price of our common stock to decline or make it difficult to obtain other financing; potential goodwill impairments if our business underperforms; global economic and political conditions, including trade tariffs and export restrictions, and other regulatory requirements, have impacted our business and may continue to have an adverse impact on our business and financial condition; and our business and operations could suffer in the event of cybersecurity breaches.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(d) Exhibits</w:t>
            </w:r>
          </w:p>
        </w:tc>
        <w:tc>
          <w:tcPr>
            <w:tcW w:w="536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432"/>
        </w:trPr>
        <w:tc>
          <w:tcPr>
            <w:tcW w:w="1480" w:type="dxa"/>
            <w:vAlign w:val="bottom"/>
          </w:tcPr>
          <w:p>
            <w:pPr>
              <w:spacing w:after="0"/>
              <w:rPr>
                <w:sz w:val="20"/>
                <w:szCs w:val="20"/>
                <w:color w:val="auto"/>
              </w:rPr>
            </w:pPr>
            <w:r>
              <w:rPr>
                <w:rFonts w:ascii="Arial" w:cs="Arial" w:eastAsia="Arial" w:hAnsi="Arial"/>
                <w:sz w:val="18"/>
                <w:szCs w:val="18"/>
                <w:color w:val="auto"/>
              </w:rPr>
              <w:t>Exhibit No</w:t>
            </w:r>
          </w:p>
        </w:tc>
        <w:tc>
          <w:tcPr>
            <w:tcW w:w="97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48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r>
      <w:tr>
        <w:trPr>
          <w:trHeight w:val="169"/>
        </w:trPr>
        <w:tc>
          <w:tcPr>
            <w:tcW w:w="1480" w:type="dxa"/>
            <w:vAlign w:val="bottom"/>
          </w:tcPr>
          <w:p>
            <w:pPr>
              <w:spacing w:after="0" w:line="169" w:lineRule="exact"/>
              <w:rPr>
                <w:sz w:val="20"/>
                <w:szCs w:val="20"/>
                <w:color w:val="auto"/>
              </w:rPr>
            </w:pPr>
            <w:r>
              <w:rPr>
                <w:rFonts w:ascii="Arial" w:cs="Arial" w:eastAsia="Arial" w:hAnsi="Arial"/>
                <w:sz w:val="18"/>
                <w:szCs w:val="18"/>
                <w:color w:val="auto"/>
              </w:rPr>
              <w:t>99.1</w:t>
            </w:r>
          </w:p>
        </w:tc>
        <w:tc>
          <w:tcPr>
            <w:tcW w:w="5360" w:type="dxa"/>
            <w:vAlign w:val="bottom"/>
            <w:tcBorders>
              <w:bottom w:val="single" w:sz="8" w:color="0000EE"/>
            </w:tcBorders>
          </w:tcPr>
          <w:p>
            <w:pPr>
              <w:spacing w:after="0" w:line="169"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Second Quarter 2021 Earnings Release, dated July 29, 2021, of Cohu, Inc.</w:t>
              </w:r>
            </w:hyperlink>
          </w:p>
        </w:tc>
        <w:tc>
          <w:tcPr>
            <w:tcW w:w="4400" w:type="dxa"/>
            <w:vAlign w:val="bottom"/>
          </w:tcPr>
          <w:p>
            <w:pPr>
              <w:spacing w:after="0"/>
              <w:rPr>
                <w:sz w:val="14"/>
                <w:szCs w:val="14"/>
                <w:color w:val="auto"/>
              </w:rPr>
            </w:pPr>
          </w:p>
        </w:tc>
      </w:tr>
      <w:tr>
        <w:trPr>
          <w:trHeight w:val="237"/>
        </w:trPr>
        <w:tc>
          <w:tcPr>
            <w:tcW w:w="1480" w:type="dxa"/>
            <w:vAlign w:val="bottom"/>
          </w:tcPr>
          <w:p>
            <w:pPr>
              <w:spacing w:after="0"/>
              <w:rPr>
                <w:sz w:val="20"/>
                <w:szCs w:val="20"/>
                <w:color w:val="auto"/>
              </w:rPr>
            </w:pPr>
            <w:r>
              <w:rPr>
                <w:rFonts w:ascii="Arial" w:cs="Arial" w:eastAsia="Arial" w:hAnsi="Arial"/>
                <w:sz w:val="18"/>
                <w:szCs w:val="18"/>
                <w:color w:val="auto"/>
              </w:rPr>
              <w:t>104</w:t>
            </w:r>
          </w:p>
        </w:tc>
        <w:tc>
          <w:tcPr>
            <w:tcW w:w="97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4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440" w:val="left"/>
          <w:tab w:leader="none" w:pos="6460" w:val="left"/>
        </w:tabs>
        <w:rPr>
          <w:sz w:val="20"/>
          <w:szCs w:val="20"/>
          <w:color w:val="auto"/>
        </w:rPr>
      </w:pPr>
      <w:r>
        <w:rPr>
          <w:rFonts w:ascii="Arial" w:cs="Arial" w:eastAsia="Arial" w:hAnsi="Arial"/>
          <w:sz w:val="18"/>
          <w:szCs w:val="18"/>
          <w:color w:val="auto"/>
        </w:rPr>
        <w:t>July 29, 2021</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/s/ Jeffrey D. Jones</w:t>
      </w:r>
    </w:p>
    <w:p>
      <w:pPr>
        <w:spacing w:after="0" w:line="239"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-130175</wp:posOffset>
            </wp:positionV>
            <wp:extent cx="4345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Title: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10020" w:type="dxa"/>
            <w:vAlign w:val="bottom"/>
          </w:tcPr>
          <w:p>
            <w:pPr>
              <w:ind w:left="3920"/>
              <w:spacing w:after="0"/>
              <w:rPr>
                <w:sz w:val="20"/>
                <w:szCs w:val="20"/>
                <w:color w:val="auto"/>
              </w:rPr>
            </w:pPr>
            <w:r>
              <w:rPr>
                <w:rFonts w:ascii="Arial" w:cs="Arial" w:eastAsia="Arial" w:hAnsi="Arial"/>
                <w:sz w:val="18"/>
                <w:szCs w:val="18"/>
                <w:color w:val="auto"/>
              </w:rPr>
              <w:t>Exhibit Index</w:t>
            </w:r>
          </w:p>
        </w:tc>
      </w:tr>
      <w:tr>
        <w:trPr>
          <w:trHeight w:val="891"/>
        </w:trPr>
        <w:tc>
          <w:tcPr>
            <w:tcW w:w="12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020" w:type="dxa"/>
            <w:vAlign w:val="bottom"/>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220" w:type="dxa"/>
            <w:vAlign w:val="bottom"/>
            <w:tcBorders>
              <w:bottom w:val="single" w:sz="8" w:color="auto"/>
            </w:tcBorders>
          </w:tcPr>
          <w:p>
            <w:pPr>
              <w:spacing w:after="0"/>
              <w:rPr>
                <w:sz w:val="18"/>
                <w:szCs w:val="18"/>
                <w:color w:val="auto"/>
              </w:rPr>
            </w:pPr>
          </w:p>
        </w:tc>
        <w:tc>
          <w:tcPr>
            <w:tcW w:w="10020" w:type="dxa"/>
            <w:vAlign w:val="bottom"/>
            <w:tcBorders>
              <w:bottom w:val="single" w:sz="8" w:color="auto"/>
            </w:tcBorders>
          </w:tcPr>
          <w:p>
            <w:pPr>
              <w:spacing w:after="0"/>
              <w:rPr>
                <w:sz w:val="18"/>
                <w:szCs w:val="18"/>
                <w:color w:val="auto"/>
              </w:rPr>
            </w:pPr>
          </w:p>
        </w:tc>
      </w:tr>
      <w:tr>
        <w:trPr>
          <w:trHeight w:val="195"/>
        </w:trPr>
        <w:tc>
          <w:tcPr>
            <w:tcW w:w="122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10020" w:type="dxa"/>
            <w:vAlign w:val="bottom"/>
          </w:tcPr>
          <w:p>
            <w:pPr>
              <w:ind w:left="320"/>
              <w:spacing w:after="0" w:line="195" w:lineRule="exact"/>
              <w:rPr>
                <w:sz w:val="20"/>
                <w:szCs w:val="20"/>
                <w:color w:val="auto"/>
              </w:rPr>
            </w:pPr>
            <w:r>
              <w:rPr>
                <w:rFonts w:ascii="Arial" w:cs="Arial" w:eastAsia="Arial" w:hAnsi="Arial"/>
                <w:sz w:val="18"/>
                <w:szCs w:val="18"/>
                <w:color w:val="auto"/>
              </w:rPr>
              <w:t>Second Quarter 2021 Earnings Release, dated July 29, 2021, of Cohu, Inc.</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104</w:t>
            </w:r>
          </w:p>
        </w:tc>
        <w:tc>
          <w:tcPr>
            <w:tcW w:w="10020" w:type="dxa"/>
            <w:vAlign w:val="bottom"/>
          </w:tcPr>
          <w:p>
            <w:pPr>
              <w:ind w:left="32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80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154305</wp:posOffset>
            </wp:positionV>
            <wp:extent cx="3188970" cy="1688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8897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12367 CROSTHWAITE</w:t>
      </w:r>
    </w:p>
    <w:p>
      <w:pPr>
        <w:spacing w:after="0" w:line="9"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CIRCLE</w:t>
      </w:r>
    </w:p>
    <w:p>
      <w:pPr>
        <w:spacing w:after="0" w:line="9"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FAX (858) 848-8185</w:t>
      </w:r>
    </w:p>
    <w:p>
      <w:pPr>
        <w:spacing w:after="0" w:line="9"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PHONE (858) 858-8100</w:t>
      </w:r>
    </w:p>
    <w:p>
      <w:pPr>
        <w:spacing w:after="0" w:line="9"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www.cohu.com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Second Quarter 2021 Results</w:t>
      </w:r>
    </w:p>
    <w:p>
      <w:pPr>
        <w:spacing w:after="0" w:line="229" w:lineRule="exact"/>
        <w:rPr>
          <w:sz w:val="20"/>
          <w:szCs w:val="20"/>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Record second quarter revenue $244.8 million, up 70% year-over-year</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Gross margin of 42.8%; non-GAAP gross margin of 42.7%</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Completed sale of PCB Test business and, after quarter-end, prepaid $100 million of term loan B</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Introduced DI-Core data analytics platform</w:t>
      </w:r>
    </w:p>
    <w:p>
      <w:pPr>
        <w:spacing w:after="0" w:line="225"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POWAY, Calif., July 29, 2021 -- Cohu, Inc. (NASDAQ: COHU), a global leader in back-end semiconductor equipment and services, today reported fiscal 2021 second quarter net sales of $244.8 million and GAAP income of $95.1 million or $1.92 per share. On June 24, 2021 Cohu completed the divestment of its Printed Circuit Board Test (“PCB Test”) business which resulted in a gain of $75.8 million. Net sales for the first six months of 2021 were $470.3 million and GAAP income was $122.7 million or $2.58 per share.</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The divestment of the PCB Test business did not qualify for presentation as discontinued operations and its results are included in continuing operations for all periods presented.</w:t>
      </w:r>
    </w:p>
    <w:p>
      <w:pPr>
        <w:spacing w:after="0" w:line="206"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Cohu also reported non-GAAP results, with second quarter 2021 income of $44.2 million or $0.89 per share and income of $84.8 million or $1.79 per share for the first six months of 2021.</w:t>
      </w:r>
      <w:r>
        <w:rPr>
          <w:rFonts w:ascii="Arial" w:cs="Arial" w:eastAsia="Arial" w:hAnsi="Arial"/>
          <w:sz w:val="29"/>
          <w:szCs w:val="29"/>
          <w:color w:val="auto"/>
          <w:vertAlign w:val="superscript"/>
        </w:rPr>
        <w:t>(1)</w:t>
      </w:r>
    </w:p>
    <w:tbl>
      <w:tblPr>
        <w:tblLayout w:type="fixed"/>
        <w:tblInd w:w="130" w:type="dxa"/>
        <w:tblCellMar>
          <w:top w:w="0" w:type="dxa"/>
          <w:left w:w="0" w:type="dxa"/>
          <w:bottom w:w="0" w:type="dxa"/>
          <w:right w:w="0" w:type="dxa"/>
        </w:tblCellMar>
      </w:tblPr>
      <w:tr>
        <w:trPr>
          <w:trHeight w:val="423"/>
        </w:trPr>
        <w:tc>
          <w:tcPr>
            <w:tcW w:w="382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b w:val="1"/>
                <w:bCs w:val="1"/>
                <w:color w:val="auto"/>
              </w:rPr>
              <w:t xml:space="preserve">GAAP Results </w:t>
            </w:r>
            <w:r>
              <w:rPr>
                <w:rFonts w:ascii="Arial" w:cs="Arial" w:eastAsia="Arial" w:hAnsi="Arial"/>
                <w:sz w:val="29"/>
                <w:szCs w:val="29"/>
                <w:b w:val="1"/>
                <w:bCs w:val="1"/>
                <w:color w:val="auto"/>
                <w:vertAlign w:val="superscript"/>
              </w:rPr>
              <w:t>(1)</w:t>
            </w: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vMerge w:val="restart"/>
          </w:tcPr>
          <w:p>
            <w:pPr>
              <w:jc w:val="center"/>
              <w:ind w:right="90"/>
              <w:spacing w:after="0"/>
              <w:rPr>
                <w:sz w:val="20"/>
                <w:szCs w:val="20"/>
                <w:color w:val="auto"/>
              </w:rPr>
            </w:pPr>
            <w:r>
              <w:rPr>
                <w:rFonts w:ascii="Arial" w:cs="Arial" w:eastAsia="Arial" w:hAnsi="Arial"/>
                <w:sz w:val="18"/>
                <w:szCs w:val="18"/>
                <w:b w:val="1"/>
                <w:bCs w:val="1"/>
                <w:color w:val="auto"/>
                <w:w w:val="99"/>
              </w:rPr>
              <w:t>Q2 FY</w:t>
            </w: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vMerge w:val="restart"/>
          </w:tcPr>
          <w:p>
            <w:pPr>
              <w:jc w:val="center"/>
              <w:ind w:right="110"/>
              <w:spacing w:after="0"/>
              <w:rPr>
                <w:sz w:val="20"/>
                <w:szCs w:val="20"/>
                <w:color w:val="auto"/>
              </w:rPr>
            </w:pPr>
            <w:r>
              <w:rPr>
                <w:rFonts w:ascii="Arial" w:cs="Arial" w:eastAsia="Arial" w:hAnsi="Arial"/>
                <w:sz w:val="18"/>
                <w:szCs w:val="18"/>
                <w:b w:val="1"/>
                <w:bCs w:val="1"/>
                <w:color w:val="auto"/>
                <w:w w:val="99"/>
              </w:rPr>
              <w:t>Q1 FY</w:t>
            </w: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vMerge w:val="restart"/>
          </w:tcPr>
          <w:p>
            <w:pPr>
              <w:jc w:val="center"/>
              <w:ind w:right="110"/>
              <w:spacing w:after="0"/>
              <w:rPr>
                <w:sz w:val="20"/>
                <w:szCs w:val="20"/>
                <w:color w:val="auto"/>
              </w:rPr>
            </w:pPr>
            <w:r>
              <w:rPr>
                <w:rFonts w:ascii="Arial" w:cs="Arial" w:eastAsia="Arial" w:hAnsi="Arial"/>
                <w:sz w:val="18"/>
                <w:szCs w:val="18"/>
                <w:b w:val="1"/>
                <w:bCs w:val="1"/>
                <w:color w:val="auto"/>
                <w:w w:val="99"/>
              </w:rPr>
              <w:t>Q2 FY</w:t>
            </w: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center"/>
              <w:ind w:right="50"/>
              <w:spacing w:after="0"/>
              <w:rPr>
                <w:sz w:val="20"/>
                <w:szCs w:val="20"/>
                <w:color w:val="auto"/>
              </w:rPr>
            </w:pPr>
            <w:r>
              <w:rPr>
                <w:rFonts w:ascii="Arial" w:cs="Arial" w:eastAsia="Arial" w:hAnsi="Arial"/>
                <w:sz w:val="18"/>
                <w:szCs w:val="18"/>
                <w:b w:val="1"/>
                <w:bCs w:val="1"/>
                <w:color w:val="auto"/>
                <w:w w:val="91"/>
              </w:rPr>
              <w:t>6 Months</w:t>
            </w: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right w:val="single" w:sz="8" w:color="auto"/>
            </w:tcBorders>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3"/>
              </w:rPr>
              <w:t>6 Months</w:t>
            </w:r>
          </w:p>
        </w:tc>
        <w:tc>
          <w:tcPr>
            <w:tcW w:w="0" w:type="dxa"/>
            <w:vAlign w:val="bottom"/>
          </w:tcPr>
          <w:p>
            <w:pPr>
              <w:spacing w:after="0"/>
              <w:rPr>
                <w:sz w:val="1"/>
                <w:szCs w:val="1"/>
                <w:color w:val="auto"/>
              </w:rPr>
            </w:pPr>
          </w:p>
        </w:tc>
      </w:tr>
      <w:tr>
        <w:trPr>
          <w:trHeight w:val="212"/>
        </w:trPr>
        <w:tc>
          <w:tcPr>
            <w:tcW w:w="3820" w:type="dxa"/>
            <w:vAlign w:val="bottom"/>
            <w:tcBorders>
              <w:left w:val="single" w:sz="8" w:color="auto"/>
            </w:tcBorders>
          </w:tcPr>
          <w:p>
            <w:pPr>
              <w:ind w:left="240"/>
              <w:spacing w:after="0"/>
              <w:rPr>
                <w:sz w:val="20"/>
                <w:szCs w:val="20"/>
                <w:color w:val="auto"/>
              </w:rPr>
            </w:pPr>
            <w:r>
              <w:rPr>
                <w:rFonts w:ascii="Arial" w:cs="Arial" w:eastAsia="Arial" w:hAnsi="Arial"/>
                <w:sz w:val="18"/>
                <w:szCs w:val="18"/>
                <w:i w:val="1"/>
                <w:iCs w:val="1"/>
                <w:color w:val="auto"/>
              </w:rPr>
              <w:t>(in millions, except per share amounts)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Net sales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2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tcBorders>
          </w:tcPr>
          <w:p>
            <w:pPr>
              <w:ind w:left="440"/>
              <w:spacing w:after="0"/>
              <w:rPr>
                <w:sz w:val="20"/>
                <w:szCs w:val="20"/>
                <w:color w:val="auto"/>
              </w:rPr>
            </w:pPr>
            <w:r>
              <w:rPr>
                <w:rFonts w:ascii="Arial" w:cs="Arial" w:eastAsia="Arial" w:hAnsi="Arial"/>
                <w:sz w:val="18"/>
                <w:szCs w:val="18"/>
                <w:color w:val="auto"/>
              </w:rPr>
              <w:t>Income (loss)</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27.6</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w:t>
            </w: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Income (loss) per share</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382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 xml:space="preserve">Non-GAAP Results </w:t>
            </w:r>
            <w:r>
              <w:rPr>
                <w:rFonts w:ascii="Arial" w:cs="Arial" w:eastAsia="Arial" w:hAnsi="Arial"/>
                <w:sz w:val="29"/>
                <w:szCs w:val="29"/>
                <w:b w:val="1"/>
                <w:bCs w:val="1"/>
                <w:color w:val="auto"/>
                <w:vertAlign w:val="superscript"/>
              </w:rPr>
              <w:t>(1)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Q2 FY</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Q1 FY</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Q2 FY</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1"/>
              </w:rPr>
              <w:t>6 Months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right w:val="single" w:sz="8" w:color="auto"/>
            </w:tcBorders>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3"/>
              </w:rPr>
              <w:t>6 Months</w:t>
            </w:r>
          </w:p>
        </w:tc>
        <w:tc>
          <w:tcPr>
            <w:tcW w:w="0" w:type="dxa"/>
            <w:vAlign w:val="bottom"/>
          </w:tcPr>
          <w:p>
            <w:pPr>
              <w:spacing w:after="0"/>
              <w:rPr>
                <w:sz w:val="1"/>
                <w:szCs w:val="1"/>
                <w:color w:val="auto"/>
              </w:rPr>
            </w:pPr>
          </w:p>
        </w:tc>
      </w:tr>
      <w:tr>
        <w:trPr>
          <w:trHeight w:val="212"/>
        </w:trPr>
        <w:tc>
          <w:tcPr>
            <w:tcW w:w="3820" w:type="dxa"/>
            <w:vAlign w:val="bottom"/>
            <w:tcBorders>
              <w:left w:val="single" w:sz="8" w:color="auto"/>
            </w:tcBorders>
          </w:tcPr>
          <w:p>
            <w:pPr>
              <w:ind w:left="240"/>
              <w:spacing w:after="0"/>
              <w:rPr>
                <w:sz w:val="20"/>
                <w:szCs w:val="20"/>
                <w:color w:val="auto"/>
              </w:rPr>
            </w:pPr>
            <w:r>
              <w:rPr>
                <w:rFonts w:ascii="Arial" w:cs="Arial" w:eastAsia="Arial" w:hAnsi="Arial"/>
                <w:sz w:val="18"/>
                <w:szCs w:val="18"/>
                <w:i w:val="1"/>
                <w:iCs w:val="1"/>
                <w:color w:val="auto"/>
              </w:rPr>
              <w:t>(in millions, except per share amounts)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Income</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Borders>
              <w:left w:val="single" w:sz="8" w:color="auto"/>
            </w:tcBorders>
          </w:tcPr>
          <w:p>
            <w:pPr>
              <w:ind w:left="440"/>
              <w:spacing w:after="0"/>
              <w:rPr>
                <w:sz w:val="20"/>
                <w:szCs w:val="20"/>
                <w:color w:val="auto"/>
              </w:rPr>
            </w:pPr>
            <w:r>
              <w:rPr>
                <w:rFonts w:ascii="Arial" w:cs="Arial" w:eastAsia="Arial" w:hAnsi="Arial"/>
                <w:sz w:val="18"/>
                <w:szCs w:val="18"/>
                <w:color w:val="auto"/>
              </w:rPr>
              <w:t>Income per share</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0.17</w:t>
            </w: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2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8"/>
          <w:szCs w:val="18"/>
          <w:color w:val="auto"/>
        </w:rPr>
        <w:t>(1) All amounts presented are from continuing operations.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cash and investments at the end of second quarter 2021 were $434.1 million. Utilizing a portion of the gross proceeds from the divestment of the PCB Test business, the Company prepaid $100 million of its term loan B debt facility on June 30, 2021.</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“Year-to-date results and our forecast put Cohu on track for record full year revenue and profitability, benefiting from strong 5G mobility, automotive and improving consumer and industrial semiconductor demand,” said Cohu President and CEO Luis Müller. “In the second quarter, we completed the sale of Cohu’s PCB Test business, which was non-core to our growth strategy and enabled an accelerated $100 million prepayment of our term loan B debt facility. We continued to capture new customers with the Neon inspection system, had a design-win for a complete RF test cell solution, and introduced the DI-Core platform, our foray into software data analytics to improve customers’ test cell productivity.”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Cohu expects third quarter 2021 sales to be between $220 million and $235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will host a live conference call and webcast with slides to discuss second quarter 2021 results at 5:30 a.m. Pacific Time/8:30 a.m. Eastern Time on July 29, 2021. Interested investors and analysts are invited to dial into the conference call by using 1-866-434-5330 (domestic) or +1-213-660-0873 (international) and entering the pass code 5582321. Webcast access will be available on the Investor Information section of the Company’s website at www.cohu.com.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Cohu (NASDAQ: COHU) is a global leader in back-end semiconductor equipment and services, delivering leading-edge solutions for the manufacturing of semiconductors. Additional information can be found at www.cohu.com.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Included within this press release and accompanying materials are non-GAAP financial measures, including non-GAAP Gross Margin/Profit, Income and Income (adjusted earnings) per share, Operating Income, Operating Expense, effective tax rate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asset impairment charges, gain on sale of business, gain on sale of facility, employer payroll taxes related to accelerated vesting share-based awards , depreciation of purchase accounting adjustments to property, plant and equipment, amortization of cloud-based software implementation costs (Adjusted EBITDA </w:t>
      </w:r>
      <w:r>
        <w:rPr>
          <w:rFonts w:ascii="Arial" w:cs="Arial" w:eastAsia="Arial" w:hAnsi="Arial"/>
          <w:sz w:val="17"/>
          <w:szCs w:val="17"/>
          <w:u w:val="single" w:color="auto"/>
          <w:color w:val="auto"/>
        </w:rPr>
        <w:t>only</w:t>
      </w:r>
      <w:r>
        <w:rPr>
          <w:rFonts w:ascii="Arial" w:cs="Arial" w:eastAsia="Arial" w:hAnsi="Arial"/>
          <w:sz w:val="17"/>
          <w:szCs w:val="17"/>
          <w:color w:val="auto"/>
        </w:rPr>
        <w:t xml:space="preserve">) and loss on extinguishment of debt (Adjusted EBITDA </w:t>
      </w:r>
      <w:r>
        <w:rPr>
          <w:rFonts w:ascii="Arial" w:cs="Arial" w:eastAsia="Arial" w:hAnsi="Arial"/>
          <w:sz w:val="17"/>
          <w:szCs w:val="17"/>
          <w:u w:val="single" w:color="auto"/>
          <w:color w:val="auto"/>
        </w:rPr>
        <w:t>only</w:t>
      </w:r>
      <w:r>
        <w:rPr>
          <w:rFonts w:ascii="Arial" w:cs="Arial" w:eastAsia="Arial" w:hAnsi="Arial"/>
          <w:sz w:val="17"/>
          <w:szCs w:val="17"/>
          <w:color w:val="auto"/>
        </w:rPr>
        <w:t>). Reconciliations of GAAP to non-GAAP amounts for the periods presented herein are provided in schedules accompanying this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8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Certain statements contained in this release and accompanying materials may be considered forward-looking statements within the meaning of the U.S. Private Securities Litigation Reform Act of 1995, including statements regarding being on track for record full year revenue and profitability, benefiting from strong 5G mobility, automotive and improving consumer and industrial semiconductor demand, new customers and design wins, new Neon customers, DI-Core software platform, improving contactor operational efficiencies/lead-times/margins, estimated test cell utilization, any other comments on Cohu’s FY 2021 outlook or growth, second half or fourth quarter 2021 outlook, target financial model for FY’21, % of incremental revenue expected to fall to operating income, debt deleveraging priority, estimated system versus recurring sales, sales impact of supply chain disruptions, Cohu’s third quarter 2021 sales forecast, guidance, sales mix, non-GAAP operating expenses, gross margin, operating income, adjusted EBITDA, effective tax rate, free cash flow, cap ex, cash and shares outstanding, estimated minimum cash needed, estimated EBITDA breakeven point, any future Term Loan B principal reduction, non-cash charges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 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and results of operations; ongoing increases in material, labor, supplier, logistics and other operating costs, or supply chain delays, could cause lower gross margins or lost sales and adversely impact our business, financial position, results of operations and cash flows; potential post-closing PCB Test sale purchase price adjustment based on final closing accounts mechanism; we are making investments in new products and product enhancements, which may adversely affect our operating results and these investments may not be commercially successful; we are exposed to the risks of operating a global business; we have manufacturing operations in Asia, and any failure to effectively manage multiple manufacturing sites and to secure raw materials meeting our quality, cost and other requirements, or failures by our suppliers to perform, could harm our sales, service levels and reputation; failure of critical suppliers to deliver sufficient quantities of parts in a timely and cost-effective manner could adversely impact our operations; the semiconductor industry is seasonal, volatile and unpredictable; the semiconductor equipment industry is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a majority of our revenues are generated from exports to foreign countries, primarily in Asia, that are subject to economic and political instability and we compete against a number of Asia-based test contactor, test handler and automated test equipment suppliers; the incurrence of substantial indebtedness in connection with our financing of the Xcerra acquisition may have an adverse impact on Cohu’s liquidity, limit Cohu’s flexibility in responding to other business opportunities and increase Cohu’s vulnerability to adverse economic and industry conditions; our Credit Agreement contains various representations and negative covenants that limit, subject to certain exceptions and baskets, our ability and/or our subsidiaries’ ability to enter into financing and other transactions relating to our assets; because of high debt levels we may not be able to service our debt obligations in accordance with their terms; dilution of earnings per share due to our March 2021 follow-on equity offering; we are exposed to other risks associated with other acquisitions, investments and divestitures; we expect to continue to evaluate and pursue divestitures of non-core assets; our financial and operating results may vary and fall below analysts’ estimates, or credit rating agencies may change their ratings on Cohu, any of which may cause the price of our common stock to decline or make it difficult to obtain other financing; potential goodwill impairments if our business underperforms; global economic and political conditions, including trade tariffs and export restrictions, and other regulatory requirements, have impacted our business and may continue to have an adverse impact on our business and financial condition; and our business and operations could suffer in the event of cybersecurity breaches.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press releases and other information of interest to investors, please visit Cohu’s website at www.cohu.com.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ind w:left="220"/>
              <w:spacing w:after="0"/>
              <w:rPr>
                <w:sz w:val="20"/>
                <w:szCs w:val="20"/>
                <w:color w:val="auto"/>
              </w:rPr>
            </w:pPr>
            <w:r>
              <w:rPr>
                <w:rFonts w:ascii="Arial" w:cs="Arial" w:eastAsia="Arial" w:hAnsi="Arial"/>
                <w:sz w:val="18"/>
                <w:szCs w:val="18"/>
                <w:color w:val="auto"/>
              </w:rPr>
              <w:t xml:space="preserve">Three Months Ended </w:t>
            </w:r>
            <w:r>
              <w:rPr>
                <w:rFonts w:ascii="Arial" w:cs="Arial" w:eastAsia="Arial" w:hAnsi="Arial"/>
                <w:sz w:val="29"/>
                <w:szCs w:val="29"/>
                <w:color w:val="auto"/>
                <w:vertAlign w:val="superscript"/>
              </w:rPr>
              <w:t>(1)</w:t>
            </w:r>
          </w:p>
        </w:tc>
        <w:tc>
          <w:tcPr>
            <w:tcW w:w="180" w:type="dxa"/>
            <w:vAlign w:val="bottom"/>
          </w:tcPr>
          <w:p>
            <w:pPr>
              <w:spacing w:after="0"/>
              <w:rPr>
                <w:sz w:val="24"/>
                <w:szCs w:val="24"/>
                <w:color w:val="auto"/>
              </w:rPr>
            </w:pPr>
          </w:p>
        </w:tc>
        <w:tc>
          <w:tcPr>
            <w:tcW w:w="2520" w:type="dxa"/>
            <w:vAlign w:val="bottom"/>
            <w:gridSpan w:val="5"/>
          </w:tcPr>
          <w:p>
            <w:pPr>
              <w:jc w:val="right"/>
              <w:ind w:right="640"/>
              <w:spacing w:after="0"/>
              <w:rPr>
                <w:sz w:val="20"/>
                <w:szCs w:val="20"/>
                <w:color w:val="auto"/>
              </w:rPr>
            </w:pPr>
            <w:r>
              <w:rPr>
                <w:rFonts w:ascii="Arial" w:cs="Arial" w:eastAsia="Arial" w:hAnsi="Arial"/>
                <w:sz w:val="18"/>
                <w:szCs w:val="18"/>
                <w:color w:val="auto"/>
              </w:rPr>
              <w:t xml:space="preserve">Six Months Ended </w:t>
            </w:r>
            <w:r>
              <w:rPr>
                <w:rFonts w:ascii="Arial" w:cs="Arial" w:eastAsia="Arial" w:hAnsi="Arial"/>
                <w:sz w:val="29"/>
                <w:szCs w:val="29"/>
                <w:color w:val="auto"/>
                <w:vertAlign w:val="superscript"/>
              </w:rPr>
              <w:t>(1)</w:t>
            </w:r>
          </w:p>
        </w:tc>
      </w:tr>
      <w:tr>
        <w:trPr>
          <w:trHeight w:val="216"/>
        </w:trPr>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26,</w:t>
            </w: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June 27,</w:t>
            </w: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26,</w:t>
            </w:r>
          </w:p>
        </w:tc>
        <w:tc>
          <w:tcPr>
            <w:tcW w:w="2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June 27,</w:t>
            </w:r>
          </w:p>
        </w:tc>
      </w:tr>
      <w:tr>
        <w:trPr>
          <w:trHeight w:val="234"/>
        </w:trPr>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10"/>
        </w:trPr>
        <w:tc>
          <w:tcPr>
            <w:tcW w:w="5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244,803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470,291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283,005</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Cost and expenses: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(excluding amortization)</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140,146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83,127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263,429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165,964</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23,423</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20,424</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46,575</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42,892</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32,834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30,976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65,458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64,328</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9,045</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9,527</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18,289</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19,065</w:t>
            </w:r>
          </w:p>
        </w:tc>
      </w:tr>
      <w:tr>
        <w:trPr>
          <w:trHeight w:val="216"/>
        </w:trPr>
        <w:tc>
          <w:tcPr>
            <w:tcW w:w="55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Gain on sale of PCB Test business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(75,779)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(75,664)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617</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1,957</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988</w:t>
            </w:r>
          </w:p>
        </w:tc>
      </w:tr>
      <w:tr>
        <w:trPr>
          <w:trHeight w:val="216"/>
        </w:trPr>
        <w:tc>
          <w:tcPr>
            <w:tcW w:w="55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Impairment charges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3,949</w:t>
            </w:r>
          </w:p>
        </w:tc>
      </w:tr>
      <w:tr>
        <w:trPr>
          <w:trHeight w:val="216"/>
        </w:trPr>
        <w:tc>
          <w:tcPr>
            <w:tcW w:w="556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Gain on sale of facilities </w:t>
            </w:r>
            <w:r>
              <w:rPr>
                <w:rFonts w:ascii="Arial" w:cs="Arial" w:eastAsia="Arial" w:hAnsi="Arial"/>
                <w:sz w:val="25"/>
                <w:szCs w:val="25"/>
                <w:color w:val="auto"/>
                <w:vertAlign w:val="superscript"/>
              </w:rPr>
              <w:t>(4)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0"/>
        </w:trPr>
        <w:tc>
          <w:tcPr>
            <w:tcW w:w="5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130,286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144,612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320,044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297,159</w:t>
            </w:r>
          </w:p>
        </w:tc>
      </w:tr>
      <w:tr>
        <w:trPr>
          <w:trHeight w:val="20"/>
        </w:trPr>
        <w:tc>
          <w:tcPr>
            <w:tcW w:w="5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5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114,517</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(528)</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150,247</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(14,154)</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(1,831)</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(3,456)</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(4,406)</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(7,883)</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Foreign transaction loss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(287)</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(1,044)</w:t>
            </w:r>
          </w:p>
        </w:tc>
      </w:tr>
      <w:tr>
        <w:trPr>
          <w:trHeight w:val="216"/>
        </w:trPr>
        <w:tc>
          <w:tcPr>
            <w:tcW w:w="55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Loss on extinguishment of debt </w:t>
            </w:r>
            <w:r>
              <w:rPr>
                <w:rFonts w:ascii="Arial" w:cs="Arial" w:eastAsia="Arial" w:hAnsi="Arial"/>
                <w:sz w:val="25"/>
                <w:szCs w:val="25"/>
                <w:color w:val="auto"/>
                <w:vertAlign w:val="superscript"/>
              </w:rPr>
              <w:t>(5)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(1,761)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5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56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112,755</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(4,603)</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143,937</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(22,913)</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17,659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21,234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w:t>
            </w:r>
          </w:p>
        </w:tc>
      </w:tr>
      <w:tr>
        <w:trPr>
          <w:trHeight w:val="20"/>
        </w:trPr>
        <w:tc>
          <w:tcPr>
            <w:tcW w:w="5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95,096</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(4,740)</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122,703</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(22,058)</w:t>
            </w:r>
          </w:p>
        </w:tc>
      </w:tr>
      <w:tr>
        <w:trPr>
          <w:trHeight w:val="216"/>
        </w:trPr>
        <w:tc>
          <w:tcPr>
            <w:tcW w:w="5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line="216" w:lineRule="exact"/>
              <w:rPr>
                <w:sz w:val="20"/>
                <w:szCs w:val="20"/>
                <w:color w:val="auto"/>
              </w:rPr>
            </w:pPr>
            <w:r>
              <w:rPr>
                <w:rFonts w:ascii="Arial" w:cs="Arial" w:eastAsia="Arial" w:hAnsi="Arial"/>
                <w:sz w:val="16"/>
                <w:szCs w:val="16"/>
                <w:color w:val="auto"/>
              </w:rPr>
              <w:t xml:space="preserve">Discontinued operations: </w:t>
            </w:r>
            <w:r>
              <w:rPr>
                <w:rFonts w:ascii="Arial" w:cs="Arial" w:eastAsia="Arial" w:hAnsi="Arial"/>
                <w:sz w:val="25"/>
                <w:szCs w:val="25"/>
                <w:color w:val="auto"/>
                <w:vertAlign w:val="superscript"/>
              </w:rPr>
              <w:t>(6)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before taxes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0"/>
        </w:trPr>
        <w:tc>
          <w:tcPr>
            <w:tcW w:w="5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r>
      <w:tr>
        <w:trPr>
          <w:trHeight w:val="20"/>
        </w:trPr>
        <w:tc>
          <w:tcPr>
            <w:tcW w:w="5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Net income (loss)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95,096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(4,740)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122,703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(22,016)</w:t>
            </w:r>
          </w:p>
        </w:tc>
      </w:tr>
      <w:tr>
        <w:trPr>
          <w:trHeight w:val="20"/>
        </w:trPr>
        <w:tc>
          <w:tcPr>
            <w:tcW w:w="5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Income (loss) per share: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0.00</w:t>
            </w:r>
          </w:p>
        </w:tc>
      </w:tr>
      <w:tr>
        <w:trPr>
          <w:trHeight w:val="20"/>
        </w:trPr>
        <w:tc>
          <w:tcPr>
            <w:tcW w:w="55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56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r>
      <w:tr>
        <w:trPr>
          <w:trHeight w:val="20"/>
        </w:trPr>
        <w:tc>
          <w:tcPr>
            <w:tcW w:w="5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(0.53)</w:t>
            </w: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r>
      <w:tr>
        <w:trPr>
          <w:trHeight w:val="20"/>
        </w:trPr>
        <w:tc>
          <w:tcPr>
            <w:tcW w:w="5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(0.53)</w:t>
            </w:r>
          </w:p>
        </w:tc>
      </w:tr>
      <w:tr>
        <w:trPr>
          <w:trHeight w:val="197"/>
        </w:trPr>
        <w:tc>
          <w:tcPr>
            <w:tcW w:w="55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5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Weighted average shares used in computing income (loss) per share: </w:t>
            </w:r>
            <w:r>
              <w:rPr>
                <w:rFonts w:ascii="Arial" w:cs="Arial" w:eastAsia="Arial" w:hAnsi="Arial"/>
                <w:sz w:val="25"/>
                <w:szCs w:val="25"/>
                <w:color w:val="auto"/>
                <w:vertAlign w:val="superscript"/>
              </w:rPr>
              <w:t>(7)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48,555</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41,844</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46,155</w:t>
            </w:r>
          </w:p>
        </w:tc>
        <w:tc>
          <w:tcPr>
            <w:tcW w:w="2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41,673</w:t>
            </w:r>
          </w:p>
        </w:tc>
      </w:tr>
      <w:tr>
        <w:trPr>
          <w:trHeight w:val="20"/>
        </w:trPr>
        <w:tc>
          <w:tcPr>
            <w:tcW w:w="5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55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rPr>
              <w:t>49,474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41,844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rPr>
              <w:t>47,478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41,673</w:t>
            </w: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42" w:lineRule="exact"/>
        <w:rPr>
          <w:sz w:val="20"/>
          <w:szCs w:val="20"/>
          <w:color w:val="auto"/>
        </w:rPr>
      </w:pPr>
    </w:p>
    <w:p>
      <w:pPr>
        <w:ind w:left="420" w:hanging="331"/>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three- and six-month periods ended June 26, 2021 and June 27, 2020 were both comprised of 13 weeks and 26 weeks, respectively.</w:t>
      </w:r>
    </w:p>
    <w:p>
      <w:pPr>
        <w:spacing w:after="0" w:line="34" w:lineRule="exact"/>
        <w:rPr>
          <w:rFonts w:ascii="Arial" w:cs="Arial" w:eastAsia="Arial" w:hAnsi="Arial"/>
          <w:sz w:val="17"/>
          <w:szCs w:val="17"/>
          <w:color w:val="auto"/>
        </w:rPr>
      </w:pPr>
    </w:p>
    <w:p>
      <w:pPr>
        <w:ind w:left="420" w:right="20" w:hanging="331"/>
        <w:spacing w:after="0" w:line="265"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June 24, 2021 the Company completed the divestment of its PCB Test business. The divestment of this business did not qualify for presentation as discontinued operations and the results of the PCB Test business are included in continuing operations for all periods presented. During the three-month period ended March 27, 2021 the Company incurred approximately $0.1 million of costs related to the sale of this business and were previously included in SG&amp;A. With the completion of the sale in the current quarter these amounts have been reclassified gain on sale of PCB Test business to conform with current presentation for the six-month period ended June 26, 2021.</w:t>
      </w:r>
    </w:p>
    <w:p>
      <w:pPr>
        <w:ind w:left="420" w:right="140" w:hanging="331"/>
        <w:spacing w:after="0" w:line="265"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Included in our results for the six-month period ended June 27, 2020 are impairment charges recorded to write certain of our in-process research and development assets (“IPR&amp;D”) obtained as part of our acquisition of Xcerra down to current estimated fair values.</w:t>
      </w:r>
    </w:p>
    <w:p>
      <w:pPr>
        <w:jc w:val="both"/>
        <w:ind w:left="420" w:right="140" w:hanging="331"/>
        <w:spacing w:after="0" w:line="250"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2020 we completed the sale of our facility in Penang, Malaysia which generated a gain. The gain was previously included in SG&amp;A and was reclassified to gain on sale of facility during the quarter ended September 26, 2020. The facility was sold as part of the previously announced Xcerra integration program.</w:t>
      </w:r>
    </w:p>
    <w:p>
      <w:pPr>
        <w:spacing w:after="0" w:line="1" w:lineRule="exact"/>
        <w:rPr>
          <w:rFonts w:ascii="Arial" w:cs="Arial" w:eastAsia="Arial" w:hAnsi="Arial"/>
          <w:sz w:val="18"/>
          <w:szCs w:val="18"/>
          <w:color w:val="auto"/>
        </w:rPr>
      </w:pPr>
    </w:p>
    <w:p>
      <w:pPr>
        <w:ind w:left="420" w:right="180" w:hanging="331"/>
        <w:spacing w:after="0" w:line="250"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Repayments of outstanding term loan B resulted in a loss from the extinguishment of debt. Loss on extinguishment of debt is the net result after any cash gain is offset by the required reduction in our capitalized debt issuance costs and original issuance discounts.</w:t>
      </w:r>
    </w:p>
    <w:p>
      <w:pPr>
        <w:ind w:left="420" w:right="200" w:hanging="331"/>
        <w:spacing w:after="0" w:line="265"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October 1, 2018, the Company made the decision to sell the fixtures business acquired from Xcerra, and, as a result, the operating results of this business have been presented as discontinued operations. In February 2020, we completed the sale of this business.</w:t>
      </w:r>
    </w:p>
    <w:p>
      <w:pPr>
        <w:ind w:left="420" w:right="140" w:hanging="331"/>
        <w:spacing w:after="0" w:line="271"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the three- and six-month periods ended June 27, 2020, potentially dilutive securities were excluded from the per share computations due to their antidilutive effect. The Company has utilized the "control number" concept in the computation of diluted earnings per share to determine whether a potential common stock instrument is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-2766060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26,</w:t>
            </w: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December 26,</w:t>
            </w:r>
          </w:p>
        </w:tc>
      </w:tr>
      <w:tr>
        <w:trPr>
          <w:trHeight w:val="234"/>
        </w:trPr>
        <w:tc>
          <w:tcPr>
            <w:tcW w:w="7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investments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434,089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170,027</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216,008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151,919</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155,850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142,500</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20,650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20,600</w:t>
            </w:r>
          </w:p>
        </w:tc>
        <w:tc>
          <w:tcPr>
            <w:tcW w:w="120" w:type="dxa"/>
            <w:vAlign w:val="bottom"/>
          </w:tcPr>
          <w:p>
            <w:pPr>
              <w:spacing w:after="0"/>
              <w:rPr>
                <w:sz w:val="18"/>
                <w:szCs w:val="18"/>
                <w:color w:val="auto"/>
              </w:rPr>
            </w:pPr>
          </w:p>
        </w:tc>
      </w:tr>
      <w:tr>
        <w:trPr>
          <w:trHeight w:val="20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826,597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485,046</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Property, plant &amp; equipment, net</w:t>
            </w: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65,021</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66,916</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226,577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252,304</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203,417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233,685</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26,850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29,203</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23,270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23,192</w:t>
            </w:r>
          </w:p>
        </w:tc>
        <w:tc>
          <w:tcPr>
            <w:tcW w:w="120" w:type="dxa"/>
            <w:vAlign w:val="bottom"/>
          </w:tcPr>
          <w:p>
            <w:pPr>
              <w:spacing w:after="0"/>
              <w:rPr>
                <w:sz w:val="18"/>
                <w:szCs w:val="18"/>
                <w:color w:val="auto"/>
              </w:rPr>
            </w:pPr>
          </w:p>
        </w:tc>
      </w:tr>
      <w:tr>
        <w:trPr>
          <w:trHeight w:val="250"/>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1,371,732</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1,090,346</w:t>
            </w:r>
          </w:p>
        </w:tc>
      </w:tr>
      <w:tr>
        <w:trPr>
          <w:trHeight w:val="196"/>
        </w:trPr>
        <w:tc>
          <w:tcPr>
            <w:tcW w:w="78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5,314</w:t>
            </w:r>
          </w:p>
        </w:tc>
      </w:tr>
      <w:tr>
        <w:trPr>
          <w:trHeight w:val="216"/>
        </w:trPr>
        <w:tc>
          <w:tcPr>
            <w:tcW w:w="786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Current installments of long-term debt </w:t>
            </w:r>
            <w:r>
              <w:rPr>
                <w:rFonts w:ascii="Arial" w:cs="Arial" w:eastAsia="Arial" w:hAnsi="Arial"/>
                <w:sz w:val="25"/>
                <w:szCs w:val="25"/>
                <w:color w:val="auto"/>
                <w:vertAlign w:val="superscript"/>
              </w:rPr>
              <w:t>(1)</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102,474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3,075</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profit</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17,480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8,671</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198,198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157,393</w:t>
            </w:r>
          </w:p>
        </w:tc>
        <w:tc>
          <w:tcPr>
            <w:tcW w:w="120" w:type="dxa"/>
            <w:vAlign w:val="bottom"/>
          </w:tcPr>
          <w:p>
            <w:pPr>
              <w:spacing w:after="0"/>
              <w:rPr>
                <w:sz w:val="18"/>
                <w:szCs w:val="18"/>
                <w:color w:val="auto"/>
              </w:rPr>
            </w:pPr>
          </w:p>
        </w:tc>
      </w:tr>
      <w:tr>
        <w:trPr>
          <w:trHeight w:val="20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321,312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174,453</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111,744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311,551</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23,813</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25,787</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64,632</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66,267</w:t>
            </w: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Cohu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850,231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512,288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ind w:left="340"/>
              <w:spacing w:after="0"/>
              <w:rPr>
                <w:sz w:val="20"/>
                <w:szCs w:val="20"/>
                <w:color w:val="auto"/>
              </w:rPr>
            </w:pPr>
            <w:r>
              <w:rPr>
                <w:rFonts w:ascii="Arial" w:cs="Arial" w:eastAsia="Arial" w:hAnsi="Arial"/>
                <w:sz w:val="18"/>
                <w:szCs w:val="18"/>
                <w:color w:val="auto"/>
              </w:rPr>
              <w:t>Total liabilities &amp; stockholders’ equity</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1,371,732</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1,090,346</w:t>
            </w:r>
          </w:p>
        </w:tc>
      </w:tr>
      <w:tr>
        <w:trPr>
          <w:trHeight w:val="20"/>
        </w:trPr>
        <w:tc>
          <w:tcPr>
            <w:tcW w:w="7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00" w:right="80" w:hanging="317"/>
        <w:spacing w:after="0" w:line="263"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Utilizing a portion of the gross proceeds from the divestment of the PCB Test business, on June 30, 2021, the Company prepaid $100 million of its term loan B debt facility. As a result of this prepayment occurring during the third fiscal quarter of 2021, $100 million has been classified as current installments of long-term debt as of June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ind w:left="80"/>
              <w:spacing w:after="0"/>
              <w:rPr>
                <w:sz w:val="20"/>
                <w:szCs w:val="20"/>
                <w:color w:val="auto"/>
              </w:rPr>
            </w:pPr>
            <w:r>
              <w:rPr>
                <w:rFonts w:ascii="Arial" w:cs="Arial" w:eastAsia="Arial" w:hAnsi="Arial"/>
                <w:sz w:val="18"/>
                <w:szCs w:val="18"/>
                <w:color w:val="auto"/>
                <w:w w:val="99"/>
              </w:rPr>
              <w:t>Three Months Ended</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June 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March 27,</w:t>
            </w:r>
          </w:p>
        </w:tc>
        <w:tc>
          <w:tcPr>
            <w:tcW w:w="28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June 27,</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 GAAP basis (a)</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114,517</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35,730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Non-GAAP adjustments: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included in (b):</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Cost of sales (COS)</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262</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(R&amp;D)</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Selling, general and administrative (SG&amp;A)</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2,552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2,480</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3,523</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 (c)</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9,045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9,244</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9,527</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 related to inventory adjustments in COS (d)</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Restructuring charges (d)</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1,340</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Manufacturing and sales transition costs included in (e):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SG&amp;A</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Gain on sale of PCB Test business (f)</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(75,779)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facility (f)</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PP&amp;E step-up included in SG&amp;A (g)</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2"/>
        </w:trPr>
        <w:tc>
          <w:tcPr>
            <w:tcW w:w="62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Payroll taxes related to accelerated vesting of share-based awards included in</w:t>
            </w:r>
          </w:p>
        </w:tc>
        <w:tc>
          <w:tcPr>
            <w:tcW w:w="26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SG&amp;A (h)</w:t>
            </w:r>
          </w:p>
        </w:tc>
        <w:tc>
          <w:tcPr>
            <w:tcW w:w="2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Income from operations - non-GAAP basis (i)</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51,788</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50,797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13,351</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Income (loss) from continuing operations - GAAP basis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95,096</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27,607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Non-GAAP adjustments (as scheduled above)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15,067</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13,879</w:t>
            </w: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Tax effect of non-GAAP adjustments (j)</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11,853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(2,045)</w:t>
            </w:r>
          </w:p>
        </w:tc>
        <w:tc>
          <w:tcPr>
            <w:tcW w:w="2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 non-GAAP basis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44,220</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40,629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197"/>
        </w:trPr>
        <w:tc>
          <w:tcPr>
            <w:tcW w:w="6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GAAP income (loss) from continuing operations per share - diluted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from continuing operations per share - diluted (k)</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0.89</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Impairment charges and the gains from the sale of the PCB Test business and the facility in Penang Malaysia have been excluded as these amounts are infrequent and are unrelated to the operational performance of Cohu. Employer payroll taxes related to accelerated severance stock-based compensation are dependent on the Company's stock price and the timing and size of the vesting of their restricted stock, over which management has limited to no control, and as such management does not believe it correlates to the company's operation of the business. Impairment charges and gain on sale of facility have been excluded as these amounts are infrequent and are unrelated to the operational performance of Cohu. Acquisition costs, fair value adjustment to contingent consideration and adjustments for inventory and PP&amp;E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393" w:lineRule="exact"/>
        <w:rPr>
          <w:sz w:val="20"/>
          <w:szCs w:val="20"/>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46.8%, 15.8% and (0.4)% of net sales, respectively.</w:t>
      </w:r>
    </w:p>
    <w:p>
      <w:pPr>
        <w:spacing w:after="0" w:line="23"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Xcerra and the Company’s German operations.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manufacturing and sales transition and severance costs.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gains generated from the sale of the PCB Test business and the facility in Penang Malaysia.</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accelerated depreciation from the property, plant &amp; equipment step-up related to the acquisition of Xcerra.</w:t>
      </w:r>
    </w:p>
    <w:p>
      <w:pPr>
        <w:spacing w:after="0" w:line="9" w:lineRule="exact"/>
        <w:rPr>
          <w:rFonts w:ascii="Arial" w:cs="Arial" w:eastAsia="Arial" w:hAnsi="Arial"/>
          <w:sz w:val="18"/>
          <w:szCs w:val="18"/>
          <w:color w:val="auto"/>
        </w:rPr>
      </w:pPr>
    </w:p>
    <w:p>
      <w:pPr>
        <w:ind w:left="420" w:right="640" w:hanging="331"/>
        <w:spacing w:after="0" w:line="250"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impact of employer payroll taxes associated with the acceleration of Pascal Rondé share-based awards under the terms of his separation agreement.</w:t>
      </w: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21.2%, 22.5% and 9.3% of net sales, respectively.</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periods presented were computed using the number of GAAP diluted shares outstanding except the three months ended June 27, 2020 which was</w:t>
      </w:r>
    </w:p>
    <w:p>
      <w:pPr>
        <w:sectPr>
          <w:pgSz w:w="11900" w:h="16838" w:orient="portrait"/>
          <w:cols w:equalWidth="0" w:num="1">
            <w:col w:w="11240"/>
          </w:cols>
          <w:pgMar w:left="320" w:top="580" w:right="339" w:bottom="0" w:gutter="0" w:footer="0" w:header="0"/>
        </w:sectPr>
      </w:pPr>
    </w:p>
    <w:bookmarkStart w:id="12" w:name="page13"/>
    <w:bookmarkEnd w:id="12"/>
    <w:p>
      <w:pPr>
        <w:spacing w:after="0" w:line="308" w:lineRule="auto"/>
        <w:rPr>
          <w:sz w:val="20"/>
          <w:szCs w:val="20"/>
          <w:color w:val="auto"/>
        </w:rPr>
      </w:pPr>
      <w:r>
        <w:rPr>
          <w:rFonts w:ascii="Arial" w:cs="Arial" w:eastAsia="Arial" w:hAnsi="Arial"/>
          <w:sz w:val="17"/>
          <w:szCs w:val="17"/>
          <w:color w:val="auto"/>
        </w:rPr>
        <w:t>computed using 42,283 shares outstanding as the effect of dilutive securities was excluded from GAAP diluted common shares due to the reported net loss under GAAP, but are included for non-GAAP diluted common shares since the Company has 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325120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40" w:top="125" w:right="359" w:bottom="1440" w:gutter="0" w:footer="0" w:header="0"/>
        </w:sectPr>
      </w:pPr>
    </w:p>
    <w:bookmarkStart w:id="13" w:name="page14"/>
    <w:bookmarkEnd w:id="13"/>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1100"/>
              <w:spacing w:after="0"/>
              <w:rPr>
                <w:sz w:val="20"/>
                <w:szCs w:val="20"/>
                <w:color w:val="auto"/>
              </w:rPr>
            </w:pPr>
            <w:r>
              <w:rPr>
                <w:rFonts w:ascii="Arial" w:cs="Arial" w:eastAsia="Arial" w:hAnsi="Arial"/>
                <w:sz w:val="18"/>
                <w:szCs w:val="18"/>
                <w:color w:val="auto"/>
              </w:rPr>
              <w:t>Six Months Ended</w:t>
            </w:r>
          </w:p>
        </w:tc>
      </w:tr>
      <w:tr>
        <w:trPr>
          <w:trHeight w:val="216"/>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June 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June 27,</w:t>
            </w:r>
          </w:p>
        </w:tc>
      </w:tr>
      <w:tr>
        <w:trPr>
          <w:trHeight w:val="230"/>
        </w:trPr>
        <w:tc>
          <w:tcPr>
            <w:tcW w:w="7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9"/>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 GAAP basis (a)</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150,247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(14,154)</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Non-GAAP adjustments: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included in (b):</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ind w:left="500"/>
              <w:spacing w:after="0"/>
              <w:rPr>
                <w:sz w:val="20"/>
                <w:szCs w:val="20"/>
                <w:color w:val="auto"/>
              </w:rPr>
            </w:pPr>
            <w:r>
              <w:rPr>
                <w:rFonts w:ascii="Arial" w:cs="Arial" w:eastAsia="Arial" w:hAnsi="Arial"/>
                <w:sz w:val="18"/>
                <w:szCs w:val="18"/>
                <w:color w:val="auto"/>
              </w:rPr>
              <w:t>Cost of sales (COS)</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423</w:t>
            </w:r>
          </w:p>
        </w:tc>
      </w:tr>
      <w:tr>
        <w:trPr>
          <w:trHeight w:val="216"/>
        </w:trPr>
        <w:tc>
          <w:tcPr>
            <w:tcW w:w="7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Research and development (R&amp;D)</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1,661</w:t>
            </w:r>
          </w:p>
        </w:tc>
      </w:tr>
      <w:tr>
        <w:trPr>
          <w:trHeight w:val="216"/>
        </w:trPr>
        <w:tc>
          <w:tcPr>
            <w:tcW w:w="7840" w:type="dxa"/>
            <w:vAlign w:val="bottom"/>
          </w:tcPr>
          <w:p>
            <w:pPr>
              <w:ind w:left="500"/>
              <w:spacing w:after="0"/>
              <w:rPr>
                <w:sz w:val="20"/>
                <w:szCs w:val="20"/>
                <w:color w:val="auto"/>
              </w:rPr>
            </w:pPr>
            <w:r>
              <w:rPr>
                <w:rFonts w:ascii="Arial" w:cs="Arial" w:eastAsia="Arial" w:hAnsi="Arial"/>
                <w:sz w:val="18"/>
                <w:szCs w:val="18"/>
                <w:color w:val="auto"/>
              </w:rPr>
              <w:t>Selling, general and administrative (SG&amp;A)</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5,032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4,930</w:t>
            </w:r>
          </w:p>
        </w:tc>
      </w:tr>
      <w:tr>
        <w:trPr>
          <w:trHeight w:val="20"/>
        </w:trPr>
        <w:tc>
          <w:tcPr>
            <w:tcW w:w="7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7,014</w:t>
            </w: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(c)</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18,289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19,065</w:t>
            </w: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 related to inventory adjustments in COS (d)</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1,675</w:t>
            </w: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Restructuring charges (d)</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1,957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988</w:t>
            </w: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Manufacturing and sales transition costs included in (e):</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ind w:left="500"/>
              <w:spacing w:after="0"/>
              <w:rPr>
                <w:sz w:val="20"/>
                <w:szCs w:val="20"/>
                <w:color w:val="auto"/>
              </w:rPr>
            </w:pPr>
            <w:r>
              <w:rPr>
                <w:rFonts w:ascii="Arial" w:cs="Arial" w:eastAsia="Arial" w:hAnsi="Arial"/>
                <w:sz w:val="18"/>
                <w:szCs w:val="18"/>
                <w:color w:val="auto"/>
              </w:rPr>
              <w:t>SG&amp;A</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r>
      <w:tr>
        <w:trPr>
          <w:trHeight w:val="20"/>
        </w:trPr>
        <w:tc>
          <w:tcPr>
            <w:tcW w:w="7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Impairment charges (f)</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3,949</w:t>
            </w:r>
          </w:p>
        </w:tc>
      </w:tr>
      <w:tr>
        <w:trPr>
          <w:trHeight w:val="216"/>
        </w:trPr>
        <w:tc>
          <w:tcPr>
            <w:tcW w:w="7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Gain on sale of PCB Test business (g)</w:t>
            </w:r>
          </w:p>
        </w:tc>
        <w:tc>
          <w:tcPr>
            <w:tcW w:w="2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(75,664)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facility (g)</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PP&amp;E step-up included in SG&amp;A (h)</w:t>
            </w:r>
          </w:p>
        </w:tc>
        <w:tc>
          <w:tcPr>
            <w:tcW w:w="2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486</w:t>
            </w: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Payroll taxes related to accelerated vesting of share-based awards included in SG&amp;A (i)</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5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non-GAAP basis (j)</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102,585</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19,135</w:t>
            </w:r>
          </w:p>
        </w:tc>
      </w:tr>
      <w:tr>
        <w:trPr>
          <w:trHeight w:val="196"/>
        </w:trPr>
        <w:tc>
          <w:tcPr>
            <w:tcW w:w="78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 GAAP basis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122,703</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(22,058)</w:t>
            </w: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Non-GAAP adjustments (as scheduled above)</w:t>
            </w:r>
          </w:p>
        </w:tc>
        <w:tc>
          <w:tcPr>
            <w:tcW w:w="28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(47,662)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33,289</w:t>
            </w: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effect of non-GAAP adjustments (k)</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(3,971)</w:t>
            </w:r>
          </w:p>
        </w:tc>
      </w:tr>
      <w:tr>
        <w:trPr>
          <w:trHeight w:val="20"/>
        </w:trPr>
        <w:tc>
          <w:tcPr>
            <w:tcW w:w="78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8"/>
                <w:szCs w:val="18"/>
                <w:color w:val="auto"/>
              </w:rPr>
              <w:t>Income from continuing operations - non-GAAP basis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84,849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7,260</w:t>
            </w:r>
          </w:p>
        </w:tc>
      </w:tr>
      <w:tr>
        <w:trPr>
          <w:trHeight w:val="20"/>
        </w:trPr>
        <w:tc>
          <w:tcPr>
            <w:tcW w:w="7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GAAP income (loss) per share from continuing operations - diluted</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(0.53)</w:t>
            </w:r>
          </w:p>
        </w:tc>
      </w:tr>
      <w:tr>
        <w:trPr>
          <w:trHeight w:val="216"/>
        </w:trPr>
        <w:tc>
          <w:tcPr>
            <w:tcW w:w="7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Non-GAAP income per share - diluted (l)</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Impairment charges and gains from the sale of the PCB Test business and the facility in Penang Malaysia have been excluded as these amounts are infrequent and are unrelated to the operational performance of Cohu. Employer payroll taxes related to accelerated severance stock-based compensation are dependent on the Company's stock price and the timing and size of the vesting of their restricted stock, over which management has limited to no control, and as such management does not believe it correlates to the company's operation of the business. Impairment charges and gain on sale of facility have been excluded as these amounts are infrequent and are unrelated to the operational performance of Cohu. Acquisition costs, fair value adjustment to contingent consideration and adjustments for inventory and PP&amp;E step-up costs have been excluded by management as they are unrelated to the core operating activities of the Company and the frequency and variability in the nature of the charges can vary significantly from period to period.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393" w:lineRule="exact"/>
        <w:rPr>
          <w:sz w:val="20"/>
          <w:szCs w:val="20"/>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31.9% and (5.0)% of net sales, respectively.</w:t>
      </w:r>
    </w:p>
    <w:p>
      <w:pPr>
        <w:spacing w:after="0" w:line="23"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Xcerra and the Company’s German operations.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manufacturing and sales transition and severance costs.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impairment charges recorded to adjust IPR&amp;D assets obtained in the acquisition of Xcerra to current fair value.</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gains generated from the sale of the PCB Test business and the facility in Penang Malaysia.</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property, plant &amp; equipment step-up depreciation accelerated related to the acquisition of Xcerra.</w:t>
      </w:r>
    </w:p>
    <w:p>
      <w:pPr>
        <w:spacing w:after="0" w:line="9" w:lineRule="exact"/>
        <w:rPr>
          <w:rFonts w:ascii="Arial" w:cs="Arial" w:eastAsia="Arial" w:hAnsi="Arial"/>
          <w:sz w:val="18"/>
          <w:szCs w:val="18"/>
          <w:color w:val="auto"/>
        </w:rPr>
      </w:pPr>
    </w:p>
    <w:p>
      <w:pPr>
        <w:ind w:left="420" w:right="640" w:hanging="331"/>
        <w:spacing w:after="0" w:line="260"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impact of employer payroll taxes associated with the acceleration of Pascal Rondé share-based awards under the terms of his separation agreement.</w:t>
      </w:r>
    </w:p>
    <w:p>
      <w:pPr>
        <w:sectPr>
          <w:pgSz w:w="11900" w:h="16880" w:orient="portrait"/>
          <w:cols w:equalWidth="0" w:num="1">
            <w:col w:w="11240"/>
          </w:cols>
          <w:pgMar w:left="320" w:top="580" w:right="339" w:bottom="0" w:gutter="0" w:footer="0" w:header="0"/>
        </w:sectPr>
      </w:pPr>
    </w:p>
    <w:bookmarkStart w:id="14" w:name="page15"/>
    <w:bookmarkEnd w:id="14"/>
    <w:p>
      <w:pPr>
        <w:ind w:left="331" w:hanging="331"/>
        <w:spacing w:after="0"/>
        <w:tabs>
          <w:tab w:leader="none" w:pos="331" w:val="left"/>
        </w:tabs>
        <w:numPr>
          <w:ilvl w:val="0"/>
          <w:numId w:val="7"/>
        </w:numPr>
        <w:rPr>
          <w:rFonts w:ascii="Arial" w:cs="Arial" w:eastAsia="Arial" w:hAnsi="Arial"/>
          <w:sz w:val="18"/>
          <w:szCs w:val="18"/>
          <w:color w:val="auto"/>
        </w:rPr>
      </w:pPr>
      <w:r>
        <w:rPr>
          <w:rFonts w:ascii="Arial" w:cs="Arial" w:eastAsia="Arial" w:hAnsi="Arial"/>
          <w:sz w:val="18"/>
          <w:szCs w:val="18"/>
          <w:color w:val="auto"/>
        </w:rPr>
        <w:t>21.8% and 6.8% of net sales, respectively.</w:t>
      </w:r>
    </w:p>
    <w:p>
      <w:pPr>
        <w:spacing w:after="0" w:line="23" w:lineRule="exact"/>
        <w:rPr>
          <w:rFonts w:ascii="Arial" w:cs="Arial" w:eastAsia="Arial" w:hAnsi="Arial"/>
          <w:sz w:val="18"/>
          <w:szCs w:val="18"/>
          <w:color w:val="auto"/>
        </w:rPr>
      </w:pPr>
    </w:p>
    <w:p>
      <w:pPr>
        <w:ind w:left="331" w:hanging="331"/>
        <w:spacing w:after="0"/>
        <w:tabs>
          <w:tab w:leader="none" w:pos="331"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9" w:lineRule="exact"/>
        <w:rPr>
          <w:rFonts w:ascii="Arial" w:cs="Arial" w:eastAsia="Arial" w:hAnsi="Arial"/>
          <w:sz w:val="18"/>
          <w:szCs w:val="18"/>
          <w:color w:val="auto"/>
        </w:rPr>
      </w:pPr>
    </w:p>
    <w:p>
      <w:pPr>
        <w:ind w:left="331" w:hanging="331"/>
        <w:spacing w:after="0" w:line="277" w:lineRule="auto"/>
        <w:tabs>
          <w:tab w:leader="none" w:pos="33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six-months ended June 27, 2020 was computed using 42,355 shares outstanding, respectively, as the effect of dilutive securities was excluded from GAAP diluted common shares due to the reported net loss under GAAP, but are included for non-GAAP diluted common shares since the Company has non-GAAP net income. All other periods were calculated utilizing the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341630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51"/>
          </w:cols>
          <w:pgMar w:left="409" w:top="125" w:right="639" w:bottom="1440" w:gutter="0" w:footer="0" w:header="0"/>
        </w:sectPr>
      </w:pPr>
    </w:p>
    <w:bookmarkStart w:id="15" w:name="page16"/>
    <w:bookmarkEnd w:id="15"/>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June 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March 27,</w:t>
            </w:r>
          </w:p>
        </w:tc>
        <w:tc>
          <w:tcPr>
            <w:tcW w:w="26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color w:val="auto"/>
                <w:w w:val="86"/>
              </w:rPr>
              <w:t>June 27,</w:t>
            </w:r>
          </w:p>
        </w:tc>
      </w:tr>
      <w:tr>
        <w:trPr>
          <w:trHeight w:val="230"/>
        </w:trPr>
        <w:tc>
          <w:tcPr>
            <w:tcW w:w="6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r>
      <w:tr>
        <w:trPr>
          <w:trHeight w:val="209"/>
        </w:trPr>
        <w:tc>
          <w:tcPr>
            <w:tcW w:w="6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Gross profit - GAAP basis (excluding amortization) </w:t>
            </w:r>
            <w:r>
              <w:rPr>
                <w:rFonts w:ascii="Arial" w:cs="Arial" w:eastAsia="Arial" w:hAnsi="Arial"/>
                <w:sz w:val="25"/>
                <w:szCs w:val="25"/>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104,657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102,205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60,957</w:t>
            </w:r>
          </w:p>
        </w:tc>
      </w:tr>
      <w:tr>
        <w:trPr>
          <w:trHeight w:val="216"/>
        </w:trPr>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to cost of sales (as scheduled above)</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662</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r>
      <w:tr>
        <w:trPr>
          <w:trHeight w:val="20"/>
        </w:trPr>
        <w:tc>
          <w:tcPr>
            <w:tcW w:w="6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6100" w:type="dxa"/>
            <w:vAlign w:val="bottom"/>
          </w:tcPr>
          <w:p>
            <w:pPr>
              <w:ind w:left="180"/>
              <w:spacing w:after="0"/>
              <w:rPr>
                <w:sz w:val="20"/>
                <w:szCs w:val="20"/>
                <w:color w:val="auto"/>
              </w:rPr>
            </w:pPr>
            <w:r>
              <w:rPr>
                <w:rFonts w:ascii="Arial" w:cs="Arial" w:eastAsia="Arial" w:hAnsi="Arial"/>
                <w:sz w:val="18"/>
                <w:szCs w:val="18"/>
                <w:color w:val="auto"/>
              </w:rPr>
              <w:t>Gross profit - Non-GAAP basis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104,585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102,867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61,240</w:t>
            </w:r>
          </w:p>
        </w:tc>
      </w:tr>
      <w:tr>
        <w:trPr>
          <w:trHeight w:val="20"/>
        </w:trPr>
        <w:tc>
          <w:tcPr>
            <w:tcW w:w="6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6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09"/>
        </w:trPr>
        <w:tc>
          <w:tcPr>
            <w:tcW w:w="610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gross profit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w:t>
            </w:r>
          </w:p>
        </w:tc>
      </w:tr>
      <w:tr>
        <w:trPr>
          <w:trHeight w:val="216"/>
        </w:trPr>
        <w:tc>
          <w:tcPr>
            <w:tcW w:w="6100" w:type="dxa"/>
            <w:vAlign w:val="bottom"/>
          </w:tcPr>
          <w:p>
            <w:pPr>
              <w:ind w:left="340"/>
              <w:spacing w:after="0"/>
              <w:rPr>
                <w:sz w:val="20"/>
                <w:szCs w:val="20"/>
                <w:color w:val="auto"/>
              </w:rPr>
            </w:pPr>
            <w:r>
              <w:rPr>
                <w:rFonts w:ascii="Arial" w:cs="Arial" w:eastAsia="Arial" w:hAnsi="Arial"/>
                <w:sz w:val="18"/>
                <w:szCs w:val="18"/>
                <w:color w:val="auto"/>
              </w:rPr>
              <w:t>Non-GAAP gross profit</w:t>
            </w:r>
          </w:p>
        </w:tc>
        <w:tc>
          <w:tcPr>
            <w:tcW w:w="2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r>
      <w:tr>
        <w:trPr>
          <w:trHeight w:val="216"/>
        </w:trPr>
        <w:tc>
          <w:tcPr>
            <w:tcW w:w="6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 GAAP Basis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95,096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27,607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(4,740)</w:t>
            </w:r>
          </w:p>
        </w:tc>
      </w:tr>
      <w:tr>
        <w:trPr>
          <w:trHeight w:val="216"/>
        </w:trPr>
        <w:tc>
          <w:tcPr>
            <w:tcW w:w="6100" w:type="dxa"/>
            <w:vAlign w:val="bottom"/>
          </w:tcPr>
          <w:p>
            <w:pPr>
              <w:ind w:left="34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17,659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3,575</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r>
      <w:tr>
        <w:trPr>
          <w:trHeight w:val="216"/>
        </w:trPr>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2,575</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3,456</w:t>
            </w:r>
          </w:p>
        </w:tc>
      </w:tr>
      <w:tr>
        <w:trPr>
          <w:trHeight w:val="216"/>
        </w:trPr>
        <w:tc>
          <w:tcPr>
            <w:tcW w:w="61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r>
      <w:tr>
        <w:trPr>
          <w:trHeight w:val="216"/>
        </w:trPr>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9,244</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9,527</w:t>
            </w:r>
          </w:p>
        </w:tc>
      </w:tr>
      <w:tr>
        <w:trPr>
          <w:trHeight w:val="216"/>
        </w:trPr>
        <w:tc>
          <w:tcPr>
            <w:tcW w:w="610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3,385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3,323</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3,557</w:t>
            </w:r>
          </w:p>
        </w:tc>
      </w:tr>
      <w:tr>
        <w:trPr>
          <w:trHeight w:val="216"/>
        </w:trPr>
        <w:tc>
          <w:tcPr>
            <w:tcW w:w="610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Amortization of cloud-based software implementation costs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r>
      <w:tr>
        <w:trPr>
          <w:trHeight w:val="216"/>
        </w:trPr>
        <w:tc>
          <w:tcPr>
            <w:tcW w:w="610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1,761</w:t>
            </w: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non-GAAP adjustments (as scheduled above)</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5,678</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4,109</w:t>
            </w:r>
          </w:p>
        </w:tc>
      </w:tr>
      <w:tr>
        <w:trPr>
          <w:trHeight w:val="20"/>
        </w:trPr>
        <w:tc>
          <w:tcPr>
            <w:tcW w:w="6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610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55,381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54,083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16,333</w:t>
            </w:r>
          </w:p>
        </w:tc>
      </w:tr>
      <w:tr>
        <w:trPr>
          <w:trHeight w:val="20"/>
        </w:trPr>
        <w:tc>
          <w:tcPr>
            <w:tcW w:w="6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6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10"/>
        </w:trPr>
        <w:tc>
          <w:tcPr>
            <w:tcW w:w="610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 - GAAP Basis</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6100" w:type="dxa"/>
            <w:vAlign w:val="bottom"/>
          </w:tcPr>
          <w:p>
            <w:pPr>
              <w:ind w:left="34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r>
      <w:tr>
        <w:trPr>
          <w:trHeight w:val="216"/>
        </w:trPr>
        <w:tc>
          <w:tcPr>
            <w:tcW w:w="6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 - GAAP basis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65,919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66,360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61,485</w:t>
            </w:r>
          </w:p>
        </w:tc>
      </w:tr>
      <w:tr>
        <w:trPr>
          <w:trHeight w:val="216"/>
        </w:trPr>
        <w:tc>
          <w:tcPr>
            <w:tcW w:w="6100" w:type="dxa"/>
            <w:vAlign w:val="bottom"/>
          </w:tcPr>
          <w:p>
            <w:pPr>
              <w:ind w:left="340"/>
              <w:spacing w:after="0"/>
              <w:rPr>
                <w:sz w:val="20"/>
                <w:szCs w:val="20"/>
                <w:color w:val="auto"/>
              </w:rPr>
            </w:pPr>
            <w:r>
              <w:rPr>
                <w:rFonts w:ascii="Arial" w:cs="Arial" w:eastAsia="Arial" w:hAnsi="Arial"/>
                <w:sz w:val="18"/>
                <w:szCs w:val="18"/>
                <w:color w:val="auto"/>
              </w:rPr>
              <w:t>Non-GAAP adjustments to operating expenses (as scheduled above)</w:t>
            </w:r>
          </w:p>
        </w:tc>
        <w:tc>
          <w:tcPr>
            <w:tcW w:w="2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(13,122)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(14,290)</w:t>
            </w:r>
          </w:p>
        </w:tc>
        <w:tc>
          <w:tcPr>
            <w:tcW w:w="2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(13,596)</w:t>
            </w:r>
          </w:p>
        </w:tc>
      </w:tr>
      <w:tr>
        <w:trPr>
          <w:trHeight w:val="20"/>
        </w:trPr>
        <w:tc>
          <w:tcPr>
            <w:tcW w:w="6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9"/>
        </w:trPr>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Expenses - Non-GAAP basis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52,797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52,070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47,889</w:t>
            </w:r>
          </w:p>
        </w:tc>
      </w:tr>
      <w:tr>
        <w:trPr>
          <w:trHeight w:val="35"/>
        </w:trPr>
        <w:tc>
          <w:tcPr>
            <w:tcW w:w="6100" w:type="dxa"/>
            <w:vAlign w:val="bottom"/>
            <w:tcBorders>
              <w:top w:val="single" w:sz="8" w:color="CCEEFF"/>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CCEEFF"/>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(1)Excludes amortization of $7,043, $7,101 and $7,256 for the three months ending June 26, 2021, March 27, 2021 and June 27, 2020,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(2)Represents amortization of capitalized implementation costs related to cloud-based software arrangements that are included within SG&amp;A.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5"/>
          </w:tcPr>
          <w:p>
            <w:pPr>
              <w:jc w:val="right"/>
              <w:ind w:right="1120"/>
              <w:spacing w:after="0"/>
              <w:rPr>
                <w:sz w:val="20"/>
                <w:szCs w:val="20"/>
                <w:color w:val="auto"/>
              </w:rPr>
            </w:pPr>
            <w:r>
              <w:rPr>
                <w:rFonts w:ascii="Arial" w:cs="Arial" w:eastAsia="Arial" w:hAnsi="Arial"/>
                <w:sz w:val="18"/>
                <w:szCs w:val="18"/>
                <w:color w:val="auto"/>
              </w:rPr>
              <w:t>Six Months Ended</w:t>
            </w:r>
          </w:p>
        </w:tc>
      </w:tr>
      <w:tr>
        <w:trPr>
          <w:trHeight w:val="216"/>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540"/>
              <w:spacing w:after="0"/>
              <w:rPr>
                <w:sz w:val="20"/>
                <w:szCs w:val="20"/>
                <w:color w:val="auto"/>
              </w:rPr>
            </w:pPr>
            <w:r>
              <w:rPr>
                <w:rFonts w:ascii="Arial" w:cs="Arial" w:eastAsia="Arial" w:hAnsi="Arial"/>
                <w:sz w:val="18"/>
                <w:szCs w:val="18"/>
                <w:color w:val="auto"/>
                <w:w w:val="86"/>
              </w:rPr>
              <w:t>June 26,</w:t>
            </w:r>
          </w:p>
        </w:tc>
        <w:tc>
          <w:tcPr>
            <w:tcW w:w="26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June 27,</w:t>
            </w:r>
          </w:p>
        </w:tc>
      </w:tr>
      <w:tr>
        <w:trPr>
          <w:trHeight w:val="230"/>
        </w:trPr>
        <w:tc>
          <w:tcPr>
            <w:tcW w:w="7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Gross profit - GAAP basis (excluding amortization) </w:t>
            </w:r>
            <w:r>
              <w:rPr>
                <w:rFonts w:ascii="Arial" w:cs="Arial" w:eastAsia="Arial" w:hAnsi="Arial"/>
                <w:sz w:val="25"/>
                <w:szCs w:val="25"/>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206,862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117,041</w:t>
            </w: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to cost of sales (as scheduled above)</w:t>
            </w: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2,098</w:t>
            </w:r>
          </w:p>
        </w:tc>
      </w:tr>
      <w:tr>
        <w:trPr>
          <w:trHeight w:val="20"/>
        </w:trPr>
        <w:tc>
          <w:tcPr>
            <w:tcW w:w="78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7860" w:type="dxa"/>
            <w:vAlign w:val="bottom"/>
          </w:tcPr>
          <w:p>
            <w:pPr>
              <w:ind w:left="180"/>
              <w:spacing w:after="0"/>
              <w:rPr>
                <w:sz w:val="20"/>
                <w:szCs w:val="20"/>
                <w:color w:val="auto"/>
              </w:rPr>
            </w:pPr>
            <w:r>
              <w:rPr>
                <w:rFonts w:ascii="Arial" w:cs="Arial" w:eastAsia="Arial" w:hAnsi="Arial"/>
                <w:sz w:val="18"/>
                <w:szCs w:val="18"/>
                <w:color w:val="auto"/>
              </w:rPr>
              <w:t>Gross profit - Non-GAAP basis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207,452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119,139</w:t>
            </w:r>
          </w:p>
        </w:tc>
      </w:tr>
      <w:tr>
        <w:trPr>
          <w:trHeight w:val="20"/>
        </w:trPr>
        <w:tc>
          <w:tcPr>
            <w:tcW w:w="7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78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right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10"/>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gross profit</w:t>
            </w: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Non-GAAP gross profit</w:t>
            </w:r>
          </w:p>
        </w:tc>
        <w:tc>
          <w:tcPr>
            <w:tcW w:w="2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42.1%</w:t>
            </w:r>
          </w:p>
        </w:tc>
      </w:tr>
      <w:tr>
        <w:trPr>
          <w:trHeight w:val="216"/>
        </w:trPr>
        <w:tc>
          <w:tcPr>
            <w:tcW w:w="7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 GAAP Basis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122,703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(22,016)</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2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 (benefit)</w:t>
            </w: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21,234</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4,406</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7,883</w:t>
            </w: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w:t>
            </w:r>
          </w:p>
        </w:tc>
        <w:tc>
          <w:tcPr>
            <w:tcW w:w="2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18,289</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19,065</w:t>
            </w: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6,708</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6,973</w:t>
            </w:r>
          </w:p>
        </w:tc>
      </w:tr>
      <w:tr>
        <w:trPr>
          <w:trHeight w:val="216"/>
        </w:trPr>
        <w:tc>
          <w:tcPr>
            <w:tcW w:w="786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Amortization of cloud-based software implementation costs </w:t>
            </w:r>
            <w:r>
              <w:rPr>
                <w:rFonts w:ascii="Arial" w:cs="Arial" w:eastAsia="Arial" w:hAnsi="Arial"/>
                <w:sz w:val="25"/>
                <w:szCs w:val="25"/>
                <w:color w:val="auto"/>
                <w:vertAlign w:val="superscript"/>
              </w:rPr>
              <w:t>(2)</w:t>
            </w:r>
          </w:p>
        </w:tc>
        <w:tc>
          <w:tcPr>
            <w:tcW w:w="2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748</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1,761</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Other non-GAAP adjustments (as scheduled above)</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(66,241)</w:t>
            </w:r>
          </w:p>
        </w:tc>
        <w:tc>
          <w:tcPr>
            <w:tcW w:w="26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13,738</w:t>
            </w:r>
          </w:p>
        </w:tc>
      </w:tr>
      <w:tr>
        <w:trPr>
          <w:trHeight w:val="20"/>
        </w:trPr>
        <w:tc>
          <w:tcPr>
            <w:tcW w:w="78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9"/>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109,464</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25,091</w:t>
            </w:r>
          </w:p>
        </w:tc>
      </w:tr>
      <w:tr>
        <w:trPr>
          <w:trHeight w:val="196"/>
        </w:trPr>
        <w:tc>
          <w:tcPr>
            <w:tcW w:w="786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CCEEFF"/>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09"/>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 percentage of net sales: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860" w:type="dxa"/>
            <w:vAlign w:val="bottom"/>
          </w:tcPr>
          <w:p>
            <w:pPr>
              <w:ind w:left="340"/>
              <w:spacing w:after="0"/>
              <w:rPr>
                <w:sz w:val="20"/>
                <w:szCs w:val="20"/>
                <w:color w:val="auto"/>
              </w:rPr>
            </w:pPr>
            <w:r>
              <w:rPr>
                <w:rFonts w:ascii="Arial" w:cs="Arial" w:eastAsia="Arial" w:hAnsi="Arial"/>
                <w:sz w:val="18"/>
                <w:szCs w:val="18"/>
                <w:color w:val="auto"/>
              </w:rPr>
              <w:t>Net income (loss) - GAAP Basis</w:t>
            </w:r>
          </w:p>
        </w:tc>
        <w:tc>
          <w:tcPr>
            <w:tcW w:w="2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26.1%</w:t>
            </w:r>
          </w:p>
        </w:tc>
        <w:tc>
          <w:tcPr>
            <w:tcW w:w="2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r>
      <w:tr>
        <w:trPr>
          <w:trHeight w:val="216"/>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Operating Expense - GAAP basis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132,279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131,195</w:t>
            </w:r>
          </w:p>
        </w:tc>
      </w:tr>
      <w:tr>
        <w:trPr>
          <w:trHeight w:val="216"/>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to operating expenses (as scheduled above)</w:t>
            </w:r>
          </w:p>
        </w:tc>
        <w:tc>
          <w:tcPr>
            <w:tcW w:w="2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(27,412)</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(31,191)</w:t>
            </w:r>
          </w:p>
        </w:tc>
      </w:tr>
      <w:tr>
        <w:trPr>
          <w:trHeight w:val="20"/>
        </w:trPr>
        <w:tc>
          <w:tcPr>
            <w:tcW w:w="78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bl>
    <w:p>
      <w:pPr>
        <w:sectPr>
          <w:pgSz w:w="11900" w:h="16864" w:orient="portrait"/>
          <w:cols w:equalWidth="0" w:num="1">
            <w:col w:w="11240"/>
          </w:cols>
          <w:pgMar w:left="320" w:top="580" w:right="339" w:bottom="0" w:gutter="0" w:footer="0" w:header="0"/>
        </w:sectPr>
      </w:pPr>
    </w:p>
    <w:bookmarkStart w:id="16" w:name="page17"/>
    <w:bookmarkEnd w:id="16"/>
    <w:p>
      <w:pPr>
        <w:ind w:left="180"/>
        <w:spacing w:after="0"/>
        <w:tabs>
          <w:tab w:leader="none" w:pos="7840" w:val="left"/>
          <w:tab w:leader="none" w:pos="8700" w:val="left"/>
          <w:tab w:leader="none" w:pos="9560" w:val="left"/>
          <w:tab w:leader="none" w:pos="10420" w:val="left"/>
        </w:tabs>
        <w:rPr>
          <w:sz w:val="20"/>
          <w:szCs w:val="20"/>
          <w:color w:val="auto"/>
        </w:rPr>
      </w:pPr>
      <w:r>
        <w:rPr>
          <w:rFonts w:ascii="Arial" w:cs="Arial" w:eastAsia="Arial" w:hAnsi="Arial"/>
          <w:sz w:val="18"/>
          <w:szCs w:val="18"/>
          <w:color w:val="auto"/>
        </w:rPr>
        <w:t>Operating Expenses - Non-GAAP basis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104,867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14605</wp:posOffset>
            </wp:positionV>
            <wp:extent cx="20059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0596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(1)Excludes amortization of $14,144 and $14,522 for the six months ending June 26, 2021 and June 27, 2020, respectively.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(2)Represents amortization of capitalized implementation costs related to cloud-based software arrangements that are included within SG&amp;A.</w:t>
      </w:r>
    </w:p>
    <w:sectPr>
      <w:pgSz w:w="11900" w:h="16838" w:orient="portrait"/>
      <w:cols w:equalWidth="0" w:num="1">
        <w:col w:w="11020"/>
      </w:cols>
      <w:pgMar w:left="3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2021-07-29T07:07:23Z</dcterms:created>
  <dcterms:modified xsi:type="dcterms:W3CDTF">2021-07-29T07:07:23Z</dcterms:modified>
</cp:coreProperties>
</file>