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SD</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COHU,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30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001-04298</w:t>
            </w:r>
          </w:p>
        </w:tc>
        <w:tc>
          <w:tcPr>
            <w:tcW w:w="2620" w:type="dxa"/>
            <w:vAlign w:val="bottom"/>
          </w:tcPr>
          <w:p>
            <w:pPr>
              <w:jc w:val="right"/>
              <w:ind w:right="150"/>
              <w:spacing w:after="0"/>
              <w:rPr>
                <w:sz w:val="20"/>
                <w:szCs w:val="20"/>
                <w:color w:val="auto"/>
              </w:rPr>
            </w:pPr>
            <w:r>
              <w:rPr>
                <w:rFonts w:ascii="Arial" w:cs="Arial" w:eastAsia="Arial" w:hAnsi="Arial"/>
                <w:sz w:val="18"/>
                <w:szCs w:val="18"/>
                <w:b w:val="1"/>
                <w:bCs w:val="1"/>
                <w:color w:val="auto"/>
              </w:rPr>
              <w:t>95-1934119</w:t>
            </w:r>
          </w:p>
        </w:tc>
      </w:tr>
      <w:tr>
        <w:trPr>
          <w:trHeight w:val="216"/>
        </w:trPr>
        <w:tc>
          <w:tcPr>
            <w:tcW w:w="3300" w:type="dxa"/>
            <w:vAlign w:val="bottom"/>
          </w:tcPr>
          <w:p>
            <w:pPr>
              <w:jc w:val="center"/>
              <w:ind w:right="970"/>
              <w:spacing w:after="0"/>
              <w:rPr>
                <w:sz w:val="20"/>
                <w:szCs w:val="20"/>
                <w:color w:val="auto"/>
              </w:rPr>
            </w:pPr>
            <w:r>
              <w:rPr>
                <w:rFonts w:ascii="Arial" w:cs="Arial" w:eastAsia="Arial" w:hAnsi="Arial"/>
                <w:sz w:val="18"/>
                <w:szCs w:val="18"/>
                <w:i w:val="1"/>
                <w:iCs w:val="1"/>
                <w:color w:val="auto"/>
                <w:w w:val="94"/>
              </w:rPr>
              <w:t>(State or other jurisdiction of</w:t>
            </w:r>
          </w:p>
        </w:tc>
        <w:tc>
          <w:tcPr>
            <w:tcW w:w="3340" w:type="dxa"/>
            <w:vAlign w:val="bottom"/>
          </w:tcPr>
          <w:p>
            <w:pPr>
              <w:jc w:val="center"/>
              <w:ind w:right="130"/>
              <w:spacing w:after="0"/>
              <w:rPr>
                <w:sz w:val="20"/>
                <w:szCs w:val="20"/>
                <w:color w:val="auto"/>
              </w:rPr>
            </w:pPr>
            <w:r>
              <w:rPr>
                <w:rFonts w:ascii="Arial" w:cs="Arial" w:eastAsia="Arial" w:hAnsi="Arial"/>
                <w:sz w:val="18"/>
                <w:szCs w:val="18"/>
                <w:i w:val="1"/>
                <w:iCs w:val="1"/>
                <w:color w:val="auto"/>
                <w:w w:val="91"/>
              </w:rPr>
              <w:t>(Commission</w:t>
            </w:r>
          </w:p>
        </w:tc>
        <w:tc>
          <w:tcPr>
            <w:tcW w:w="2620" w:type="dxa"/>
            <w:vAlign w:val="bottom"/>
          </w:tcPr>
          <w:p>
            <w:pPr>
              <w:jc w:val="center"/>
              <w:ind w:left="12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300" w:type="dxa"/>
            <w:vAlign w:val="bottom"/>
          </w:tcPr>
          <w:p>
            <w:pPr>
              <w:jc w:val="center"/>
              <w:ind w:right="990"/>
              <w:spacing w:after="0"/>
              <w:rPr>
                <w:sz w:val="20"/>
                <w:szCs w:val="20"/>
                <w:color w:val="auto"/>
              </w:rPr>
            </w:pPr>
            <w:r>
              <w:rPr>
                <w:rFonts w:ascii="Arial" w:cs="Arial" w:eastAsia="Arial" w:hAnsi="Arial"/>
                <w:sz w:val="18"/>
                <w:szCs w:val="18"/>
                <w:i w:val="1"/>
                <w:iCs w:val="1"/>
                <w:color w:val="auto"/>
                <w:w w:val="94"/>
              </w:rPr>
              <w:t>incorporation or organization)</w:t>
            </w:r>
          </w:p>
        </w:tc>
        <w:tc>
          <w:tcPr>
            <w:tcW w:w="3340" w:type="dxa"/>
            <w:vAlign w:val="bottom"/>
          </w:tcPr>
          <w:p>
            <w:pPr>
              <w:jc w:val="center"/>
              <w:ind w:right="130"/>
              <w:spacing w:after="0"/>
              <w:rPr>
                <w:sz w:val="20"/>
                <w:szCs w:val="20"/>
                <w:color w:val="auto"/>
              </w:rPr>
            </w:pPr>
            <w:r>
              <w:rPr>
                <w:rFonts w:ascii="Arial" w:cs="Arial" w:eastAsia="Arial" w:hAnsi="Arial"/>
                <w:sz w:val="18"/>
                <w:szCs w:val="18"/>
                <w:i w:val="1"/>
                <w:iCs w:val="1"/>
                <w:color w:val="auto"/>
                <w:w w:val="92"/>
              </w:rPr>
              <w:t>File Number)</w:t>
            </w:r>
          </w:p>
        </w:tc>
        <w:tc>
          <w:tcPr>
            <w:tcW w:w="2620" w:type="dxa"/>
            <w:vAlign w:val="bottom"/>
          </w:tcPr>
          <w:p>
            <w:pPr>
              <w:jc w:val="center"/>
              <w:ind w:left="1210"/>
              <w:spacing w:after="0"/>
              <w:rPr>
                <w:sz w:val="20"/>
                <w:szCs w:val="20"/>
                <w:color w:val="auto"/>
              </w:rPr>
            </w:pPr>
            <w:r>
              <w:rPr>
                <w:rFonts w:ascii="Arial" w:cs="Arial" w:eastAsia="Arial" w:hAnsi="Arial"/>
                <w:sz w:val="18"/>
                <w:szCs w:val="18"/>
                <w:i w:val="1"/>
                <w:iCs w:val="1"/>
                <w:color w:val="auto"/>
                <w:w w:val="94"/>
              </w:rPr>
              <w:t>Identification No.)</w:t>
            </w:r>
          </w:p>
        </w:tc>
      </w:tr>
      <w:tr>
        <w:trPr>
          <w:trHeight w:val="634"/>
        </w:trPr>
        <w:tc>
          <w:tcPr>
            <w:tcW w:w="6640" w:type="dxa"/>
            <w:vAlign w:val="bottom"/>
            <w:gridSpan w:val="2"/>
          </w:tcPr>
          <w:p>
            <w:pPr>
              <w:jc w:val="center"/>
              <w:ind w:right="57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262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92064-6817</w:t>
            </w:r>
          </w:p>
        </w:tc>
      </w:tr>
      <w:tr>
        <w:trPr>
          <w:trHeight w:val="230"/>
        </w:trPr>
        <w:tc>
          <w:tcPr>
            <w:tcW w:w="6640" w:type="dxa"/>
            <w:vAlign w:val="bottom"/>
            <w:gridSpan w:val="2"/>
          </w:tcPr>
          <w:p>
            <w:pPr>
              <w:jc w:val="center"/>
              <w:ind w:right="5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620" w:type="dxa"/>
            <w:vAlign w:val="bottom"/>
          </w:tcPr>
          <w:p>
            <w:pPr>
              <w:jc w:val="center"/>
              <w:ind w:left="123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Jeffrey D. Jones (858) 848-8100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386" w:lineRule="exact"/>
        <w:rPr>
          <w:sz w:val="24"/>
          <w:szCs w:val="24"/>
          <w:color w:val="auto"/>
        </w:rPr>
      </w:pPr>
    </w:p>
    <w:p>
      <w:pPr>
        <w:ind w:left="500" w:hanging="31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ind w:right="320" w:firstLine="576"/>
        <w:spacing w:after="0" w:line="27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integrity and environmental responsibility.</w:t>
      </w:r>
    </w:p>
    <w:p>
      <w:pPr>
        <w:spacing w:after="0" w:line="170" w:lineRule="exact"/>
        <w:rPr>
          <w:sz w:val="20"/>
          <w:szCs w:val="20"/>
          <w:color w:val="auto"/>
        </w:rPr>
      </w:pPr>
    </w:p>
    <w:p>
      <w:pPr>
        <w:ind w:firstLine="576"/>
        <w:spacing w:after="0" w:line="257" w:lineRule="auto"/>
        <w:rPr>
          <w:sz w:val="20"/>
          <w:szCs w:val="20"/>
          <w:color w:val="auto"/>
        </w:rPr>
      </w:pPr>
      <w:r>
        <w:rPr>
          <w:rFonts w:ascii="Arial" w:cs="Arial" w:eastAsia="Arial" w:hAnsi="Arial"/>
          <w:sz w:val="18"/>
          <w:szCs w:val="18"/>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Democratic Republic of Congo or any of the covered adjoining countries the company is then obligated to determine whether the minerals financed or benefitted armed groups in these countries.</w:t>
      </w:r>
    </w:p>
    <w:p>
      <w:pPr>
        <w:spacing w:after="0" w:line="188" w:lineRule="exact"/>
        <w:rPr>
          <w:sz w:val="20"/>
          <w:szCs w:val="20"/>
          <w:color w:val="auto"/>
        </w:rPr>
      </w:pPr>
    </w:p>
    <w:p>
      <w:pPr>
        <w:ind w:right="60" w:firstLine="576"/>
        <w:spacing w:after="0" w:line="286" w:lineRule="auto"/>
        <w:rPr>
          <w:sz w:val="20"/>
          <w:szCs w:val="20"/>
          <w:color w:val="auto"/>
        </w:rPr>
      </w:pPr>
      <w:r>
        <w:rPr>
          <w:rFonts w:ascii="Arial" w:cs="Arial" w:eastAsia="Arial" w:hAnsi="Arial"/>
          <w:sz w:val="17"/>
          <w:szCs w:val="17"/>
          <w:color w:val="auto"/>
        </w:rPr>
        <w:t xml:space="preserve">The foregoing description is qualified in its entirety by our Conflict Minerals Report, which is attached hereto as Exhibit 1.01 and is incorporated by reference. A copy of Cohu’s Conflict Minerals Report is also publicly available at: </w:t>
      </w:r>
      <w:r>
        <w:rPr>
          <w:rFonts w:ascii="Arial" w:cs="Arial" w:eastAsia="Arial" w:hAnsi="Arial"/>
          <w:sz w:val="17"/>
          <w:szCs w:val="17"/>
          <w:u w:val="single" w:color="auto"/>
          <w:color w:val="auto"/>
        </w:rPr>
        <w:t>www.cohu.com/corporate-responsibility</w:t>
      </w:r>
      <w:r>
        <w:rPr>
          <w:rFonts w:ascii="Arial" w:cs="Arial" w:eastAsia="Arial" w:hAnsi="Arial"/>
          <w:sz w:val="17"/>
          <w:szCs w:val="17"/>
          <w:color w:val="auto"/>
        </w:rPr>
        <w:t>. The content of any website referred to in this Form SD is included for general information only and is not incorporated by reference in this Form SD.</w:t>
      </w:r>
    </w:p>
    <w:p>
      <w:pPr>
        <w:spacing w:after="0" w:line="165" w:lineRule="exact"/>
        <w:rPr>
          <w:sz w:val="20"/>
          <w:szCs w:val="20"/>
          <w:color w:val="auto"/>
        </w:rPr>
      </w:pPr>
    </w:p>
    <w:p>
      <w:pPr>
        <w:ind w:right="20" w:firstLine="576"/>
        <w:spacing w:after="0" w:line="254" w:lineRule="auto"/>
        <w:rPr>
          <w:sz w:val="20"/>
          <w:szCs w:val="20"/>
          <w:color w:val="auto"/>
        </w:rPr>
      </w:pPr>
      <w:r>
        <w:rPr>
          <w:rFonts w:ascii="Arial" w:cs="Arial" w:eastAsia="Arial" w:hAnsi="Arial"/>
          <w:sz w:val="18"/>
          <w:szCs w:val="18"/>
          <w:color w:val="auto"/>
        </w:rPr>
        <w:t>This Form SD and the exhibit attached hereto contain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including primarily whether industry organizations and initiatives such as the Responsible Business Alliance (“RBA”) (formerly the Electronic Industry Citizenship Coalition) and Responsible Minerals Initiative (formerly the Conflict-Free Sourcing Initiative) remain effective as a recognized source of external support in the conflict minerals compliance process and whether suppliers satisfy their obligations under those processes. Such risks and uncertainties may be outside of management’s control which could cause actual events to differ materially from those expressed or implied by the statements made herein and we undertake no obligation to publicly update any forward-looking statements.</w:t>
      </w:r>
    </w:p>
    <w:p>
      <w:pPr>
        <w:spacing w:after="0" w:line="1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Item 1.01 and Item 2.01.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Cohu, Inc.</w:t>
            </w:r>
          </w:p>
        </w:tc>
        <w:tc>
          <w:tcPr>
            <w:tcW w:w="2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24"/>
        </w:trPr>
        <w:tc>
          <w:tcPr>
            <w:tcW w:w="5640" w:type="dxa"/>
            <w:vAlign w:val="bottom"/>
          </w:tcPr>
          <w:p>
            <w:pPr>
              <w:jc w:val="center"/>
              <w:spacing w:after="0"/>
              <w:rPr>
                <w:sz w:val="20"/>
                <w:szCs w:val="20"/>
                <w:color w:val="auto"/>
              </w:rPr>
            </w:pPr>
            <w:r>
              <w:rPr>
                <w:rFonts w:ascii="Arial" w:cs="Arial" w:eastAsia="Arial" w:hAnsi="Arial"/>
                <w:sz w:val="18"/>
                <w:szCs w:val="18"/>
                <w:i w:val="1"/>
                <w:iCs w:val="1"/>
                <w:color w:val="auto"/>
                <w:w w:val="93"/>
              </w:rPr>
              <w:t>(Registrant)</w:t>
            </w:r>
          </w:p>
        </w:tc>
        <w:tc>
          <w:tcPr>
            <w:tcW w:w="2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850"/>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224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May 18, 2021</w:t>
            </w:r>
          </w:p>
        </w:tc>
      </w:tr>
      <w:tr>
        <w:trPr>
          <w:trHeight w:val="195"/>
        </w:trPr>
        <w:tc>
          <w:tcPr>
            <w:tcW w:w="5640" w:type="dxa"/>
            <w:vAlign w:val="bottom"/>
          </w:tcPr>
          <w:p>
            <w:pPr>
              <w:spacing w:after="0" w:line="195" w:lineRule="exact"/>
              <w:rPr>
                <w:sz w:val="20"/>
                <w:szCs w:val="20"/>
                <w:color w:val="auto"/>
              </w:rPr>
            </w:pPr>
            <w:r>
              <w:rPr>
                <w:rFonts w:ascii="Arial" w:cs="Arial" w:eastAsia="Arial" w:hAnsi="Arial"/>
                <w:sz w:val="18"/>
                <w:szCs w:val="18"/>
                <w:color w:val="auto"/>
              </w:rPr>
              <w:t>Jeffrey D. Jones</w:t>
            </w:r>
          </w:p>
        </w:tc>
        <w:tc>
          <w:tcPr>
            <w:tcW w:w="2240" w:type="dxa"/>
            <w:vAlign w:val="bottom"/>
          </w:tcPr>
          <w:p>
            <w:pPr>
              <w:spacing w:after="0"/>
              <w:rPr>
                <w:sz w:val="16"/>
                <w:szCs w:val="16"/>
                <w:color w:val="auto"/>
              </w:rPr>
            </w:pPr>
          </w:p>
        </w:tc>
        <w:tc>
          <w:tcPr>
            <w:tcW w:w="224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5"/>
              </w:rPr>
              <w:t>(Date)</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c>
          <w:tcPr>
            <w:tcW w:w="224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ectPr>
          <w:pgSz w:w="11900" w:h="16838" w:orient="portrait"/>
          <w:cols w:equalWidth="0" w:num="1">
            <w:col w:w="10960"/>
          </w:cols>
          <w:pgMar w:left="320" w:top="580" w:right="6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Exhibit 1.01 Conflict Minerals Report of Cohu, Inc.</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report for the twelve months ended December 31, 2020 is presented to comply with Rule 13p-1 under the Securities Exchange Act of 1934 (the “Rule”).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2010, the United States Congress enacted Section 1502 of the Dodd Frank Financial Reform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4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Republic of the Congo, Rwanda, South Sudan, Tanzania, Uganda, and Zambia, collectively, the “Covered Countries”) and is contributing to a humanitarian crisis.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Sourcing and Adherence to the Law</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Cohu has adopted and published policies on Conflict Minerals and Supplier Code of Conduct, which are publicly available on our website at </w:t>
      </w:r>
      <w:r>
        <w:rPr>
          <w:rFonts w:ascii="Arial" w:cs="Arial" w:eastAsia="Arial" w:hAnsi="Arial"/>
          <w:sz w:val="18"/>
          <w:szCs w:val="18"/>
          <w:u w:val="single" w:color="auto"/>
          <w:color w:val="auto"/>
        </w:rPr>
        <w:t>www.cohu.com/corporate-responsibility</w:t>
      </w:r>
      <w:r>
        <w:rPr>
          <w:rFonts w:ascii="Arial" w:cs="Arial" w:eastAsia="Arial" w:hAnsi="Arial"/>
          <w:sz w:val="18"/>
          <w:szCs w:val="18"/>
          <w:color w:val="auto"/>
        </w:rPr>
        <w:t>. Since the adoption of the Act and the Rule, we have worked to strengthen our engagement with our suppliers through the fulfillment of the supplier code of conduct and by incorporating portions of the code of conduct into contracts with our suppliers. In summary, Cohu expects all vendors and suppliers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the use of Conflict Minerals which may directly or indirectly finance or benefit armed groups in the DRC or adjoining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our due diligence process that Cohu has established to comply with the Act and the Rule.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and Products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Cohu is a leading supplier of semiconductor test and inspection handlers, micro-electro mechanical system (MEMS) test modules, test contactors, thermal sub-systems, semiconductor automated test equipment and bare board PCB test systems used by global semiconductor and electronics manufacturers and test subcontractors.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Semiconductor Test. </w:t>
      </w:r>
      <w:r>
        <w:rPr>
          <w:rFonts w:ascii="Arial" w:cs="Arial" w:eastAsia="Arial" w:hAnsi="Arial"/>
          <w:sz w:val="18"/>
          <w:szCs w:val="18"/>
          <w:color w:val="auto"/>
        </w:rPr>
        <w:t>Semiconductor ATE is used both for wafer level and device package testing. Our semiconductor ATE solutions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two platforms focused on the system on a chip (SoC) device market. The Diamond series platform, which includes the flagship Diamondx test system, offers high-density instrumentation for low-cost testing of microcontrollers and cost sensitive consumer and digital-based application specific standard products (ASSP) such as Power Management and application specific integrated circuit (ASIC) devices including flat panel display drivers. The PAx series of testers are focused primarily on the RF Front End IC and Module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ind w:right="40"/>
        <w:spacing w:after="0" w:line="259" w:lineRule="auto"/>
        <w:rPr>
          <w:sz w:val="20"/>
          <w:szCs w:val="20"/>
          <w:color w:val="auto"/>
        </w:rPr>
      </w:pPr>
      <w:r>
        <w:rPr>
          <w:rFonts w:ascii="Arial" w:cs="Arial" w:eastAsia="Arial" w:hAnsi="Arial"/>
          <w:sz w:val="18"/>
          <w:szCs w:val="18"/>
          <w:i w:val="1"/>
          <w:iCs w:val="1"/>
          <w:color w:val="auto"/>
        </w:rPr>
        <w:t xml:space="preserve">Semiconductor Handlers. </w:t>
      </w:r>
      <w:r>
        <w:rPr>
          <w:rFonts w:ascii="Arial" w:cs="Arial" w:eastAsia="Arial" w:hAnsi="Arial"/>
          <w:sz w:val="18"/>
          <w:szCs w:val="18"/>
          <w:color w:val="auto"/>
        </w:rPr>
        <w:t>Semiconductor test and inspection handlers are used in conjunction with automated test equipment and are used to automate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and inspection of packaged semiconductor devices. Our handlers support a variety of package sizes and device types, including automotive, mobile, power, microelectromechanical systems (MEMS) and microcontrollers, among others. We offer a broad range of test handlers, including pick-and-place, turret, gravity, strip and MEMS.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Bare Board PCB Test Systems. </w:t>
      </w:r>
      <w:r>
        <w:rPr>
          <w:rFonts w:ascii="Arial" w:cs="Arial" w:eastAsia="Arial" w:hAnsi="Arial"/>
          <w:sz w:val="17"/>
          <w:szCs w:val="17"/>
          <w:color w:val="auto"/>
        </w:rPr>
        <w:t>Bare board PCB test systems are used to test pre-assembly printed circuit boards. Our PCB test systems include flying probe</w:t>
      </w:r>
      <w:r>
        <w:rPr>
          <w:rFonts w:ascii="Arial" w:cs="Arial" w:eastAsia="Arial" w:hAnsi="Arial"/>
          <w:sz w:val="17"/>
          <w:szCs w:val="17"/>
          <w:i w:val="1"/>
          <w:iCs w:val="1"/>
          <w:color w:val="auto"/>
        </w:rPr>
        <w:t xml:space="preserve"> </w:t>
      </w:r>
      <w:r>
        <w:rPr>
          <w:rFonts w:ascii="Arial" w:cs="Arial" w:eastAsia="Arial" w:hAnsi="Arial"/>
          <w:sz w:val="17"/>
          <w:szCs w:val="17"/>
          <w:color w:val="auto"/>
        </w:rPr>
        <w:t>testers, which are used to test low-volume, highly complex circuit boards and do not require the use of a separate test fixture, as well as universal grid testers, which require the use of a separate test fixture and are well-suited for circuit boards in high volume manufacturing.</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Interface Products. </w:t>
      </w:r>
      <w:r>
        <w:rPr>
          <w:rFonts w:ascii="Arial" w:cs="Arial" w:eastAsia="Arial" w:hAnsi="Arial"/>
          <w:sz w:val="16"/>
          <w:szCs w:val="16"/>
          <w:color w:val="auto"/>
        </w:rPr>
        <w:t>Our interface products are comprised of test contactors and probe pins. Test contactors serve as the interface between the test handler</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semiconductor device under test such as digital semiconductor devices utilizing spring probe technology, power management and LED semiconductor devices utilizing cantilever technology, and RF semiconductor devices based on contacts designed to operate at high frequencies. Test contactors are specific to individual semiconductor device designs, need to be replaced frequently and increase in size with the number of devices tested in parallel. Probe pins are physical devices that are used to connect electronic test equipment to the device under test. We offer probes that are incorporated into bare board test systems, loaded PCB test fixtures and semiconductor test contactors. We address a wide range of applications with our spring probes, voltage probes, current probes, near-field probes, temperature probes, demodulator probes and logic probes.</w:t>
      </w:r>
    </w:p>
    <w:p>
      <w:pPr>
        <w:spacing w:after="0" w:line="16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Spares and Kits. </w:t>
      </w:r>
      <w:r>
        <w:rPr>
          <w:rFonts w:ascii="Arial" w:cs="Arial" w:eastAsia="Arial" w:hAnsi="Arial"/>
          <w:sz w:val="16"/>
          <w:szCs w:val="16"/>
          <w:color w:val="auto"/>
        </w:rPr>
        <w:t>We provide consumable, non-consumable and spare items that are used to maintain, sustain or otherwise enable customers’ equipment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its performance, availability and production requirements. We also design and manufacture a wide range of device dedication kits.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products, like virtually all companies in the semiconductor and electronics industries, contain various metals including tantalum, tin, tungsten and gold, which originate in mines throughout the world. Like other companies in the semiconductor and electronics industries, we have a complex globally dispersed supply chain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Pursuant to the Act and the Rule, we are required to make certain inquires and perform certain due diligence with respect to any Conflict Minerals that are necessary to the functionality or production of a product manufactured or contracted to be manufactured by us or any of our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Conflict Minerals Report contains forward-looking statements, which are based on our current expectations and involve numerous risks and uncertainties that may cause these forward-looking statements to be inaccurate. These statements include information regarding our goals for future improvements to our due diligence process and to mitigate the risk about the sourcing of our conflict minerals. All forward-looking statements involve risk and uncertainty. Risks that may cause these forward-looking statements to be inaccurate include: failure to carry out these plans in a timely manner or at all; lack of cooperation or progress by our suppliers, their respective suppliers and smelters; lack of progress by smelter or refiner validation programs for conflict minerals (including the possibility of inaccurate information, fraud and other irregularities)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Due Diligence Process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We continued to employ an internal Conflict Minerals Compliance Team (“Team”) to support our supply chain due diligence. The Team includes members of our Senior Management and appropriate employees within our quality, supply chain, finance and operations departments. Our due diligence includes, but is not limited to, the following steps:</w:t>
      </w:r>
    </w:p>
    <w:p>
      <w:pPr>
        <w:spacing w:after="0" w:line="178" w:lineRule="exact"/>
        <w:rPr>
          <w:sz w:val="20"/>
          <w:szCs w:val="20"/>
          <w:color w:val="auto"/>
        </w:rPr>
      </w:pPr>
    </w:p>
    <w:p>
      <w:pPr>
        <w:ind w:left="660" w:right="2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first step of our internal due diligence was to evaluate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65" w:lineRule="exact"/>
        <w:rPr>
          <w:rFonts w:ascii="Arial" w:cs="Arial" w:eastAsia="Arial" w:hAnsi="Arial"/>
          <w:sz w:val="17"/>
          <w:szCs w:val="17"/>
          <w:color w:val="auto"/>
        </w:rPr>
      </w:pPr>
    </w:p>
    <w:p>
      <w:pPr>
        <w:ind w:left="660" w:right="3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Team conducted a RCOI with our suppliers to determine whether in-scope Conflict Mineral content originated in the DRC or one of the Covered Countries. We utilized the Responsible Minerals Initiative (“RMI”) standardized supplier survey and its Conflict Minerals Reporting Template (“CMRT”) to gather information that would enable us to evaluate the source and chain of custody of the materials that suppliers provided.</w:t>
      </w:r>
    </w:p>
    <w:p>
      <w:pPr>
        <w:spacing w:after="0" w:line="186"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Conflict Free Smelter Program (“CFSP”), including the country of origin, location of the mine or the smelter from which the materials were produced, or determine if the materials originated from scrap or recycled sources.</w:t>
      </w:r>
    </w:p>
    <w:p>
      <w:pPr>
        <w:spacing w:after="0" w:line="171" w:lineRule="exact"/>
        <w:rPr>
          <w:rFonts w:ascii="Arial" w:cs="Arial" w:eastAsia="Arial" w:hAnsi="Arial"/>
          <w:sz w:val="17"/>
          <w:szCs w:val="17"/>
          <w:color w:val="auto"/>
        </w:rPr>
      </w:pPr>
    </w:p>
    <w:p>
      <w:pPr>
        <w:ind w:left="660" w:right="12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Team categorized our suppliers into three types: manufacturing partners; component suppliers; and logistics and service providers. For purposes of our current year RCOI, logistics and service providers were excluded as we concluded that they do not provide us with any materials within the scope of the Act and the Rule.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8" w:lineRule="exact"/>
        <w:rPr>
          <w:sz w:val="20"/>
          <w:szCs w:val="20"/>
          <w:color w:val="auto"/>
        </w:rPr>
      </w:pPr>
    </w:p>
    <w:p>
      <w:pPr>
        <w:ind w:left="1060" w:right="16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defined our supply chain due diligence scope of work to include our in-scope suppliers and we encouraged them to join RBA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186" w:lineRule="exact"/>
        <w:rPr>
          <w:rFonts w:ascii="Arial" w:cs="Arial" w:eastAsia="Arial" w:hAnsi="Arial"/>
          <w:sz w:val="18"/>
          <w:szCs w:val="18"/>
          <w:color w:val="auto"/>
        </w:rPr>
      </w:pPr>
    </w:p>
    <w:p>
      <w:pPr>
        <w:ind w:left="1060" w:right="6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and utilization of the industry standard templates and tools aids us in establishing consistency and transparency throughout our supply chain. We employed iPoint-Systems (“iPoint”), a leading provider of software for environmental and social product compliance to collect CMRT’s posted by our suppliers. The Team validated, managed and aggregated the data reported within iPoint and reported the results to senior management.</w:t>
      </w:r>
    </w:p>
    <w:p>
      <w:pPr>
        <w:spacing w:after="0" w:line="186" w:lineRule="exact"/>
        <w:rPr>
          <w:rFonts w:ascii="Arial" w:cs="Arial" w:eastAsia="Arial" w:hAnsi="Arial"/>
          <w:sz w:val="18"/>
          <w:szCs w:val="18"/>
          <w:color w:val="auto"/>
        </w:rPr>
      </w:pPr>
    </w:p>
    <w:p>
      <w:pPr>
        <w:ind w:left="1060" w:right="580" w:hanging="323"/>
        <w:spacing w:after="0" w:line="26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Most of our suppliers execute and post their CMRT’s on the online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183" w:lineRule="exact"/>
        <w:rPr>
          <w:rFonts w:ascii="Arial" w:cs="Arial" w:eastAsia="Arial" w:hAnsi="Arial"/>
          <w:sz w:val="18"/>
          <w:szCs w:val="18"/>
          <w:color w:val="auto"/>
        </w:rPr>
      </w:pPr>
    </w:p>
    <w:p>
      <w:pPr>
        <w:ind w:left="106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cross referenced the smelter information provided by our suppliers against the RMI Standard Conflict Free Smelter list to validate our supplier conformance and results compiled for reference in Annex A. The RMI Standard Smelter List was developed for verification of those Smelters that are compliant in accordance with OECD guidance and have been subject to an independent third-party audit to assess whether a smelter entity employed RMI policies, practices, and procedures to source conflict free minerals. Some of these Smelters listed may still be actively in the process of gaining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left="1060" w:right="4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performed risk mitigation efforts with suppliers we identified to be out of conformity with our conflict minerals policy and supplier code of conduct by working with them to bring them into compliance.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continue to work with our suppliers on continuous improvement and strive to attain greater year over year reporting effectiveness. During the current year, we successfully achieved a 91.6% response rate of in-scope suppliers surveyed.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Identified 3TG Sourcing Information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2020. The information from our suppliers is still evolving and the smelter list presented in Annex A is based on our good faith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 Results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however, we have not identified any instances of sourcing that directly or indirectly supported conflict in the Covered Countries. Therefore, we are not declaring any of our products as DRC Conflict Free for the current reporting period and, accordingly, are not required to obtain an independent private sector audit of our Conflict Minerals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 towards Conflict Mineral Compliance</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Cohu will continue to exercise due diligence to identify risk of exposure to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84" w:lineRule="exact"/>
        <w:rPr>
          <w:sz w:val="20"/>
          <w:szCs w:val="20"/>
          <w:color w:val="auto"/>
        </w:rPr>
      </w:pPr>
    </w:p>
    <w:p>
      <w:pPr>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with regard to the sourcing of Conflict Minerals, conduct due diligence and report the result of their efforts to Senior Management.</w:t>
      </w:r>
    </w:p>
    <w:p>
      <w:pPr>
        <w:spacing w:after="0" w:line="183"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identify Conflict Minerals associated with new product launches.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encourage our suppliers to purchase materials from smelters listed in the Conflict Free Smelter List.</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RBA, GeSI and RMI,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Annex A. Smelter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18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Metal</w:t>
            </w:r>
          </w:p>
        </w:tc>
        <w:tc>
          <w:tcPr>
            <w:tcW w:w="212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Standard Smelter Name</w:t>
            </w:r>
          </w:p>
        </w:tc>
        <w:tc>
          <w:tcPr>
            <w:tcW w:w="214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 Facility</w:t>
            </w:r>
          </w:p>
        </w:tc>
        <w:tc>
          <w:tcPr>
            <w:tcW w:w="206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 Identification</w:t>
            </w:r>
          </w:p>
        </w:tc>
        <w:tc>
          <w:tcPr>
            <w:tcW w:w="2740" w:type="dxa"/>
            <w:vAlign w:val="bottom"/>
          </w:tcPr>
          <w:p>
            <w:pPr>
              <w:spacing w:after="0"/>
              <w:rPr>
                <w:sz w:val="24"/>
                <w:szCs w:val="24"/>
                <w:color w:val="auto"/>
              </w:rPr>
            </w:pPr>
          </w:p>
        </w:tc>
      </w:tr>
      <w:tr>
        <w:trPr>
          <w:trHeight w:val="23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8853 S.p.A.</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CID002763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Abington Reldan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Advanced Chemical</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CID000015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African Gold Refinery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UGANDA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Aida Chemical Industries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CID000019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 Etihad Gold Refinery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DMCC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Allgemeine Gold-und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CID000035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Silberscheideanstalt A.G.</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Almalyk Mining and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CID000041</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Metallurgical Complex</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(AMMC)</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AngloGold Ashanti Corrego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CID000058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 Sitio Mineracao</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6"/>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Argor-Heraeus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CID000077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Pretec Corp.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CID000082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Asahi Refining Canada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CID000924</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Refining USA 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CID000090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Atasay Kuyumculuk Sanayi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CID000103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 Ticaret A.S.</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 Traders and Refiners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Augmont Enterprises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CID003461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Private Limited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Aurubis AG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CID000113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Bangalore Refinery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Bangko Sentral ng Pilipinas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CID000128</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(Central Bank of the</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Boliden AB</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SWEDEN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CID000157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C. Hafner GmbH + Co. KG</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CID000176</w:t>
            </w:r>
          </w:p>
        </w:tc>
        <w:tc>
          <w:tcPr>
            <w:tcW w:w="2740" w:type="dxa"/>
            <w:vAlign w:val="bottom"/>
          </w:tcPr>
          <w:p>
            <w:pPr>
              <w:spacing w:after="0"/>
              <w:rPr>
                <w:sz w:val="22"/>
                <w:szCs w:val="22"/>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 Metales Procesados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COLOMBIA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Industriales SAS</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Caridad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CCR Refinery - Glencore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 Corporation</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Cendres + Metaux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CGR Metalloys Pvt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Chimet S.p.A.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CID000233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Chugai Mining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CID000264</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Daejin Indus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CID000328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Daye Non-Ferrous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CID000343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Mining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Degussa Sonne / Mond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Goldhandel GmbH</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Dijllah Gold Refinery FZC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CID003348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DODUCO Contacts and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CID000362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Refining GmbH</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CID000401</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DS PRETECH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CID003195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DSC (Do Sung Corporation)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CID000359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Eco-System Recycling 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CID000425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 East 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Eco-System Recycling 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 North 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Eco-System Recycling 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 West 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Elemetal Refining, LLC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 Gold DMCC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Fidelity Printers and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ZIMBABWE</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Refiners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Fujairah Gold FZC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GCC Gujrat Gold Centre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Pvt.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Geib Refining Corporation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CID002459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Coast Refinery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GHANA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Refinery of Zijin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CID002243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Mining Group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7"/>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8"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Great Wall Precious Metals</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CID001909</w:t>
            </w:r>
          </w:p>
        </w:tc>
        <w:tc>
          <w:tcPr>
            <w:tcW w:w="2740" w:type="dxa"/>
            <w:vAlign w:val="bottom"/>
          </w:tcPr>
          <w:p>
            <w:pPr>
              <w:spacing w:after="0"/>
              <w:rPr>
                <w:sz w:val="21"/>
                <w:szCs w:val="21"/>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 of CBPM</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Jinding Gold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Guoda Safina High-Tech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CID000651</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Environmental Refinery</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Hangzhou Fuchunjiang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CID000671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Smelting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Heimerle + Meule GmbH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CID000694</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Heraeus Germany GmbH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CID000711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KG</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Heraeus Metals Hong Kong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CID000707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Chenzhou Mining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Guiyang yinxing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CID000773</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Nonferrous Smelting Co.,</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HwaSeong CJ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CID000778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Inner Mongolia Qiankun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CID000801</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and Silver Refinery</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International Precious Metal</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Refiners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Ishifuku Metal Industry 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CID000807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Istanbul Gold Refinery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CID000814</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Italpreziosi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JALAN &amp; Company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CID002893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Mint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CID000823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Copper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CID000855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Ekaterinburg Non-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CID000927</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Ferrous Metal Processing</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Novosibirsk Refinery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CID000493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Uralelectromed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JX Nippon Mining &amp;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CID000937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 Rasmussen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NORWAY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CID003497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Kaloti Precious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7"/>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8"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Kazakhmys Smelting LLC</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CID000956</w:t>
            </w:r>
          </w:p>
        </w:tc>
        <w:tc>
          <w:tcPr>
            <w:tcW w:w="2740" w:type="dxa"/>
            <w:vAlign w:val="bottom"/>
          </w:tcPr>
          <w:p>
            <w:pPr>
              <w:spacing w:after="0"/>
              <w:rPr>
                <w:sz w:val="22"/>
                <w:szCs w:val="22"/>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Kazzinc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CID000957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Kennecott Utah Copper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CID000969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KGHM Polska Miedz</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Spolka Akcyjna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Kojima Chemicals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CID000981</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Zinc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CID002605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6"/>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Kundan Care Products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CID003463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Kyrgyzaltyn JSC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KYRGYZSTAN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CID001029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Kyshtym Copper-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Electrolytic Plant ZAO</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L'azurde Company For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SAUDI ARABIA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CID001032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Jewelry</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Lingbao Gold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CID001056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Lingbao Jinyuan Tonghui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CID001058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Refinery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L'Orfebre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ANDORRA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LS-NIKKO Copper 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CID001078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 Metal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CID000689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Luoyang Zijin Yinhui Gold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CID001093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Refinery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Marsam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CID002606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CID001113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Matsuda Sangyo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CID001119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(Hong Kong)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 Pte.,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(Suzhou)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Metalor Technologies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USA Refining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Metalurgica Met-Mex</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CID001161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Penoles S.A. De C.V.</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Mitsui Mining and Smelting</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CID001193</w:t>
            </w:r>
          </w:p>
        </w:tc>
        <w:tc>
          <w:tcPr>
            <w:tcW w:w="2740" w:type="dxa"/>
            <w:vAlign w:val="bottom"/>
          </w:tcPr>
          <w:p>
            <w:pPr>
              <w:spacing w:after="0"/>
              <w:rPr>
                <w:sz w:val="21"/>
                <w:szCs w:val="21"/>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MMTC-PAMP India Pvt.,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Modeltech Sdn Bhd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Morris and Watson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ZEALAND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CID002282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Morris and Watson Gold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Coast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Moscow Special Alloys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CID001204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Processing 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Nadir Metal Rafineri San.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CID001220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 Tic. A.S.</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Navoi Mining and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CID001236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Metallurgical Combinat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NH Recytech Company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Nihon Material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CID001259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Ogussa Osterreichische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CID002779</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und Silber-</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Scheideanstalt GmbH</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Ohura Precious Metal</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"The Gulidov</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CID001326</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Krasnoyarsk Non-Ferrous</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Plant" (OJSC</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Krastsvetmet)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PAMP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CID001352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Pease &amp; Curren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CID002872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Penglai Penggang Gold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CID001362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Planta Recuperadora de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CHILE</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CID002919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Metales SpA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Prioksky Plant of Non-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CID001386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Ferrous Metals</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Aneka Tambang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CID001397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(Persero) Tbk</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PX Precinox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CID001498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QG Refining, LLC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CID003324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Rand Refinery (Pty)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CID001512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Refinery of Seemine Gold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CID000522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REMONDIS PMR B.V.</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Republic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Royal Canadian Mint</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CID001534</w:t>
            </w:r>
          </w:p>
        </w:tc>
        <w:tc>
          <w:tcPr>
            <w:tcW w:w="2740" w:type="dxa"/>
            <w:vAlign w:val="bottom"/>
          </w:tcPr>
          <w:p>
            <w:pPr>
              <w:spacing w:after="0"/>
              <w:rPr>
                <w:sz w:val="22"/>
                <w:szCs w:val="22"/>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SAAMP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CID002761</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Sabin Metal Corp.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CID001546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Safimet S.p.A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CID002973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SAFINA A.S.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CZECHIA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CID002290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 Refinery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Samduck Precious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CID001555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Samwon Metals Corp.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CID001562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SAXONIA Edelmetalle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Schone Edelmetaal B.V.</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CID001573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SEMPSA Joyeria Plateria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CID001585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Gold Smelting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CID001916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Shandong Humon Smelting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CID002525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Tiancheng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CID001619</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Biological Gold Industrial</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Shandong Zhaojin Gold &amp;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CID001622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Silver Refinery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Shenzhen Zhonghenglong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CID002527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Real Industry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Shirpur Gold Refinery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Sichuan Tianze Precious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CID001736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Singway Technology 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SOE Shyolkovsky Factory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CID001756</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Secondary Precious</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Solar Applied Materials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CID001761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Technology Corp.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Sovereign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Research Institute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LITHUANIA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CID003153</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Center for Physical Sciences</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Technology</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Sudan Gold Refinery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SUDAN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Sumitomo Metal Mining</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CID001798</w:t>
            </w:r>
          </w:p>
        </w:tc>
        <w:tc>
          <w:tcPr>
            <w:tcW w:w="2740" w:type="dxa"/>
            <w:vAlign w:val="bottom"/>
          </w:tcPr>
          <w:p>
            <w:pPr>
              <w:spacing w:after="0"/>
              <w:rPr>
                <w:sz w:val="21"/>
                <w:szCs w:val="21"/>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SungEel HiMetal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CID002918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T.C.A S.p.A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Tanaka Kikinzoku Kogyo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CID001875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K.K.</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Tokuriki Honten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CID001938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Tongling Nonferrous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CID001947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Group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Tony Goetz NV</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TOO Tau-Ken-Altyn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CID002615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Torecom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CID001955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Brasil Ltda.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CID001977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Precious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Umicore S.A. Business Unit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CID001980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Precious Metals Refining</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Precious Metal</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CID001993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Refining, 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Universal Precious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ZAMBIA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Refining Zambia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Valcambi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CID002003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Western Australian Mint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CID002030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 The Perth Mint)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WIELAND Edelmetalle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Yamakin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CID002100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Yokohama Metal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CID002129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Copper Industry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CID000197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Zhongyuan Gold Smelter of</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CID002224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Zhongjin Gold Corporation</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CID000092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Changsha South Tantalum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CID000211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Niobium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CP Metals 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 Block Metals, LLC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Duoluoshan</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CID000410</w:t>
            </w:r>
          </w:p>
        </w:tc>
        <w:tc>
          <w:tcPr>
            <w:tcW w:w="2740" w:type="dxa"/>
            <w:vAlign w:val="bottom"/>
          </w:tcPr>
          <w:p>
            <w:pPr>
              <w:spacing w:after="0"/>
              <w:rPr>
                <w:sz w:val="22"/>
                <w:szCs w:val="22"/>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Exotech 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CID000456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F&amp;X Electro-Materials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CID000460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FIR Metals &amp; Resource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Gannon &amp; Scott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CID000520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Aizu</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Boyertown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Rising Rare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CID000291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Metals-EO Materials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Hermsdorf</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Hengyang King Xing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CID002492</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Lifeng New Materials Co.,</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Jiangxi Dinghai Tantalum &amp;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Niobium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Jiangxi Tuohong New Raw</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Janny New</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CID003191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JiuJiang JinXin Nonferrous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CID000914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Tanbre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CID000917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Jiujiang Zhongao Tantalum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&amp; Niobium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KEMET Blue Powder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KEMET de Mexico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6"/>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LSM Brasil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CID001076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 Materials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MACEDONIA,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REPUBLIC OF</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Metallurgical Products India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CID001163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Pvt.,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CID001175</w:t>
            </w:r>
          </w:p>
        </w:tc>
        <w:tc>
          <w:tcPr>
            <w:tcW w:w="2740" w:type="dxa"/>
            <w:vAlign w:val="bottom"/>
          </w:tcPr>
          <w:p>
            <w:pPr>
              <w:spacing w:after="0"/>
              <w:rPr>
                <w:sz w:val="22"/>
                <w:szCs w:val="22"/>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Mitsui Mining and Smelting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Ningxia Orient Tantalum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CID001277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NPM Silmet AS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ESTONIA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CID001200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QuantumClean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CID001508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Resind Industria e Comercio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Solikamsk Magnesium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CID001769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Works OAO</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Taki Chemical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CID001869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TANIOBIS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CID002544</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TANIOBIS GmbH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TANIOBIS Japan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TANIOBIS Smelting GmbH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&amp; Co. KG</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Telex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CID001891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Ulba Metallurgical Plant</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CID001969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XIMEI RESOURCES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CID000616</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XinXing HaoRong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CID002508</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Electronic Material Co.,</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Yanling Jincheng Tantalum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CID001522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&amp; Niobium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Yichun Jin Yang Rare Metal</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CID002307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Alpha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CID000292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 Vinh Joint Stock</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CID002703</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Mineral Processing</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Chenzhou Yunxiang Mining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CID000228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Metallurgy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Chifeng Dajingzi Tin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CID003190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 Tin Group Co., Ltd.</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CID001070</w:t>
            </w:r>
          </w:p>
        </w:tc>
        <w:tc>
          <w:tcPr>
            <w:tcW w:w="2740" w:type="dxa"/>
            <w:vAlign w:val="bottom"/>
          </w:tcPr>
          <w:p>
            <w:pPr>
              <w:spacing w:after="0"/>
              <w:rPr>
                <w:sz w:val="22"/>
                <w:szCs w:val="22"/>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CNMC (Guangxi) PGMA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CID000278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Ayi Jaya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Dua Sekawan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CID002592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Gita Pesona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CID000306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United Smelting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CID000315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Venus Inti Perkasa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CID002455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Dongguan CiEXPO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CID003356</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Environmental Engineering</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CID000402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Electro-Mechanical Facility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CID002572</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of the Cao Bang Minerals &amp;</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Metallurgy Joint Stock</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 Vinto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CID000438</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(PLURINATIONAL STATE</w:t>
            </w: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Estanho de Rondonia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CID000448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Fenix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CID000468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Gejiu City Fuxiang Industry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CID003410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Trade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Gejiu Fengming Metallurgy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Chemical 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Jinye Mineral</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Kai Meng Industry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CID000942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Trade LLC</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Non-Ferrous Metal</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CID000538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Processing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Yunxin Nonferrous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CID001908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Electrolysis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Zili Mining And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CID000555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Hanhe Non-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CID003116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Ferrous Metal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Guanyang Guida</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CID002849</w:t>
            </w:r>
          </w:p>
        </w:tc>
        <w:tc>
          <w:tcPr>
            <w:tcW w:w="2740" w:type="dxa"/>
            <w:vAlign w:val="bottom"/>
          </w:tcPr>
          <w:p>
            <w:pPr>
              <w:spacing w:after="0"/>
              <w:rPr>
                <w:sz w:val="21"/>
                <w:szCs w:val="2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Nonferrous Metal Smelting</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HuiChang Hill Tin Industry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Huichang Jinshunda Tin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Ketai Advanced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CID000244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New Nanshan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CID001231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Technology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Luna Smelter,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RWANDA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Ma'anshan Weitai Tin 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CID003379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Magnu's Minerais Metais 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CID002468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Ligas Ltda.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 Smelting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CID001105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 (MSC)</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Melt Metais e Ligas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Metallic Resources, 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 Belgium N.V.</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 Spain S.L.U.</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CID002774</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CID001173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Modeltech Sdn Bhd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Nghe Tinh Non-Ferrous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CID002573</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Joint Stock</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Novosibirsk Processing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CID001305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 Manufacturing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CID001314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 Manufacturing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 Inc.</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Operaciones Metalurgicas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CID001337</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(PLURINATIONAL STATE</w:t>
            </w: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Pongpipat Company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MYANMAR</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CID003208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Precious Minerals and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Smelting Limited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6"/>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PT Aries Kencana Sejahtera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CID000309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Artha Cipta Langgeng</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CID001399</w:t>
            </w:r>
          </w:p>
        </w:tc>
        <w:tc>
          <w:tcPr>
            <w:tcW w:w="2740" w:type="dxa"/>
            <w:vAlign w:val="bottom"/>
          </w:tcPr>
          <w:p>
            <w:pPr>
              <w:spacing w:after="0"/>
              <w:rPr>
                <w:sz w:val="22"/>
                <w:szCs w:val="22"/>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ATD Makmur Mandiri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Jaya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Babel Inti Perkasa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CID001402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Babel Surya Alam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CID001406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Lestari</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Prima Tin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Serumpun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CID003205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Tin Industry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CID001419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Belitung Industri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CID001421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Sejahtera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Bukit Timah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CID001428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DS Jaya Abadi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CID001434</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PT Eunindo Usaha Mandiri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CID001438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Inti Stania Prima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Karimun Mining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CID001448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Kijang Jaya Mandiri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CID002829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Lautan Harmonis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CID002870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Sejahtera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Menara Cipta Mulia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Mitra Stania Prima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CID001453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PT Mitra Sukses Globalindo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CID003449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Panca Mega Persada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CID001457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PT Premium Tin Indonesia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CID000313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Prima Timah Utama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CID001458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6"/>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PT Rajawali Rimba Perkasa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CID003381</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Rajehan Ariq</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CID002593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Refined Bangka Tin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CID001460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PT Sariwiguna Binasentosa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CID001463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Stanindo Inti Perkasa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CID001468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Sukses Inti Makmur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CID002816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Sumber Jaya Indah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CID001471</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Tbk Kundur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CID001477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Tbk Mentok</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CID001482</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Tinindo Inter Nusa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CID001490</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Tommy Utama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CID001493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0"/>
              </w:rPr>
              <w:t>Resind Industria e Comercio</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CID002706</w:t>
            </w:r>
          </w:p>
        </w:tc>
        <w:tc>
          <w:tcPr>
            <w:tcW w:w="2740" w:type="dxa"/>
            <w:vAlign w:val="bottom"/>
          </w:tcPr>
          <w:p>
            <w:pPr>
              <w:spacing w:after="0"/>
              <w:rPr>
                <w:sz w:val="21"/>
                <w:szCs w:val="21"/>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Rui Da Hung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CID001539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Soft Metais Ltda.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CID001758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Super Ligas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CID002756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 Nguyen Mining and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Thaisarco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CID001898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Tin Technology &amp; Refining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CID003325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Tuyen Quang Non-Ferrous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CID002574</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Joint Stock</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White Solder Metalurgia 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CID002036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Mineracao Ltda.</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Chengfeng Non-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CID002158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ferrous Metals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Tin Company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CID002180</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Yunnan Yunfan Non-ferrous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CID003397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A.L.M.T. Corp.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CID000004</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ACL Metais Eireli</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Albasteel Industria 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CID003427</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Comercio de Ligas Para</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Fundicao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Alldyne Powder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CID000034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Technologies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Asia Tungsten Products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Chenzhou Diamond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CID002513</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Tungsten Products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 Molybdenum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Chongyi Zhangyuan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CID000258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CNMC (Guangxi) PGMA</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CID000281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CP Metals Inc.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CID003448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Fujian Ganmin RareMetal</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CID003401</w:t>
            </w:r>
          </w:p>
        </w:tc>
        <w:tc>
          <w:tcPr>
            <w:tcW w:w="2740" w:type="dxa"/>
            <w:vAlign w:val="bottom"/>
          </w:tcPr>
          <w:p>
            <w:pPr>
              <w:spacing w:after="0"/>
              <w:rPr>
                <w:sz w:val="21"/>
                <w:szCs w:val="21"/>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Fujian Jinxin Tungsten 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CID000499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Haichuang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Ganzhou Huaxing Tungsten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CID000875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Jiangwu</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Ferrotungsten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Seadragon W &amp;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CID002494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Yatai Tungsten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GEM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CID003417</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Global Tungsten &amp; Powders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CID000568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Xianglu</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CID000218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Group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CID000683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Tungsten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Chenzhou Mining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Hunan Chuangda Vanadium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 Co., Ltd. Wuji</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Chunchang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Nonferrous Metals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Litian Tungsten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6"/>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Hydrometallurg, JSC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CID002649</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Japan New Metals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CID000825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Jiangwu H.C. Starck</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Tungsten Products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Jiangxi Gan Bei Tungsten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CID002321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Minmetals Gao'an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CID002313</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Non-ferrous Metals Co.,</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Jiangxi Tonggu Non-ferrous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CID002318</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Metallurgical &amp; Chemical</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7"/>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Xianglu Tungsten</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CID002647</w:t>
            </w:r>
          </w:p>
        </w:tc>
        <w:tc>
          <w:tcPr>
            <w:tcW w:w="2740" w:type="dxa"/>
            <w:vAlign w:val="bottom"/>
          </w:tcPr>
          <w:p>
            <w:pPr>
              <w:spacing w:after="0"/>
              <w:rPr>
                <w:sz w:val="21"/>
                <w:szCs w:val="21"/>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Jiangxi Xinsheng Tungsten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Xiushui Xianggan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Nonferrous Metals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Jiangxi Yaosheng Tungsten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"Kirovgrad Hard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CID003408</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Alloys 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Fallon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CID000966</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Huntsville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CID000105</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KGETS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CID003388</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Lianyou Metals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Malipo Haiyu Tungsten Co.,</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Masan High-Tech Materials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Moliren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CID002845</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Niagara Refining LLC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AMERICA</w:t>
            </w: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6"/>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NPP Tyazhmetprom LLC</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CID003416</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 Chuangxin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CID002827</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Industrial Co., Inc.</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South-East Nonferrous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CID002815</w:t>
            </w:r>
          </w:p>
        </w:tc>
        <w:tc>
          <w:tcPr>
            <w:tcW w:w="2740" w:type="dxa"/>
            <w:vAlign w:val="bottom"/>
          </w:tcPr>
          <w:p>
            <w:pPr>
              <w:spacing w:after="0"/>
              <w:rPr>
                <w:sz w:val="19"/>
                <w:szCs w:val="19"/>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Metal Company Limited of</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Hengyang City</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TANIOBIS Smelting GmbH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CID002542</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&amp; Co. KG</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Tejing (Vietnam) Tungsten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CID001889</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Unecha Refractory metals</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CID002724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 Youngsun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CID002011</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Tungsten Industry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Wolfram Bergbau und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CID002044</w:t>
            </w:r>
          </w:p>
        </w:tc>
        <w:tc>
          <w:tcPr>
            <w:tcW w:w="2740" w:type="dxa"/>
            <w:vAlign w:val="bottom"/>
          </w:tcPr>
          <w:p>
            <w:pPr>
              <w:spacing w:after="0"/>
              <w:rPr>
                <w:sz w:val="19"/>
                <w:szCs w:val="19"/>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Hutten AG</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Woltech Korea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CID002843</w:t>
            </w:r>
          </w:p>
        </w:tc>
        <w:tc>
          <w:tcPr>
            <w:tcW w:w="2740" w:type="dxa"/>
            <w:vAlign w:val="bottom"/>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740" w:type="dxa"/>
            <w:vAlign w:val="bottom"/>
          </w:tcPr>
          <w:p>
            <w:pPr>
              <w:spacing w:after="0"/>
              <w:rPr>
                <w:sz w:val="2"/>
                <w:szCs w:val="2"/>
                <w:color w:val="auto"/>
              </w:rPr>
            </w:pPr>
          </w:p>
        </w:tc>
      </w:tr>
      <w:tr>
        <w:trPr>
          <w:trHeight w:val="568"/>
        </w:trPr>
        <w:tc>
          <w:tcPr>
            <w:tcW w:w="2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Xiamen Tungsten (H.C.)</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CID002320</w:t>
            </w: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Xiamen Tungsten Co., Ltd.</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CID002082</w:t>
            </w: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Xinfeng Huarui Tungsten &amp;</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CID002830</w:t>
            </w: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Molybdenum New Material</w:t>
            </w:r>
          </w:p>
        </w:tc>
        <w:tc>
          <w:tcPr>
            <w:tcW w:w="21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Xinhai Rendan Shaoguan</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CID002095</w:t>
            </w:r>
          </w:p>
        </w:tc>
      </w:tr>
      <w:tr>
        <w:trPr>
          <w:trHeight w:val="230"/>
        </w:trPr>
        <w:tc>
          <w:tcPr>
            <w:tcW w:w="218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 Co., Ltd.</w:t>
            </w:r>
          </w:p>
        </w:tc>
        <w:tc>
          <w:tcPr>
            <w:tcW w:w="21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Zhuzhou Cement Carbide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CID002235</w:t>
            </w:r>
          </w:p>
        </w:tc>
      </w:tr>
      <w:tr>
        <w:trPr>
          <w:trHeight w:val="27"/>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0139"/>
      </w:cols>
      <w:pgMar w:left="320" w:top="5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2021-05-18T15:05:44Z</dcterms:created>
  <dcterms:modified xsi:type="dcterms:W3CDTF">2021-05-18T15:05:44Z</dcterms:modified>
</cp:coreProperties>
</file>