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3060" w:type="dxa"/>
            <w:vAlign w:val="bottom"/>
          </w:tcPr>
          <w:p>
            <w:pPr>
              <w:spacing w:after="0"/>
              <w:rPr>
                <w:sz w:val="20"/>
                <w:szCs w:val="20"/>
                <w:color w:val="auto"/>
              </w:rPr>
            </w:pPr>
          </w:p>
        </w:tc>
        <w:tc>
          <w:tcPr>
            <w:tcW w:w="3480" w:type="dxa"/>
            <w:vAlign w:val="bottom"/>
          </w:tcPr>
          <w:p>
            <w:pPr>
              <w:jc w:val="right"/>
              <w:ind w:right="2050"/>
              <w:spacing w:after="0"/>
              <w:rPr>
                <w:sz w:val="20"/>
                <w:szCs w:val="20"/>
                <w:color w:val="auto"/>
              </w:rPr>
            </w:pPr>
            <w:r>
              <w:rPr>
                <w:rFonts w:ascii="Arial" w:cs="Arial" w:eastAsia="Arial" w:hAnsi="Arial"/>
                <w:sz w:val="18"/>
                <w:szCs w:val="18"/>
                <w:color w:val="auto"/>
              </w:rPr>
              <w:t>May 5, 2021</w:t>
            </w:r>
          </w:p>
        </w:tc>
      </w:tr>
      <w:tr>
        <w:trPr>
          <w:trHeight w:val="738"/>
        </w:trPr>
        <w:tc>
          <w:tcPr>
            <w:tcW w:w="4700" w:type="dxa"/>
            <w:vAlign w:val="bottom"/>
          </w:tcPr>
          <w:p>
            <w:pPr>
              <w:spacing w:after="0"/>
              <w:rPr>
                <w:sz w:val="24"/>
                <w:szCs w:val="24"/>
                <w:color w:val="auto"/>
              </w:rPr>
            </w:pPr>
          </w:p>
        </w:tc>
        <w:tc>
          <w:tcPr>
            <w:tcW w:w="3060" w:type="dxa"/>
            <w:vAlign w:val="bottom"/>
          </w:tcPr>
          <w:p>
            <w:pPr>
              <w:jc w:val="center"/>
              <w:ind w:right="1105"/>
              <w:spacing w:after="0"/>
              <w:rPr>
                <w:sz w:val="20"/>
                <w:szCs w:val="20"/>
                <w:color w:val="auto"/>
              </w:rPr>
            </w:pPr>
            <w:r>
              <w:rPr>
                <w:rFonts w:ascii="Arial" w:cs="Arial" w:eastAsia="Arial" w:hAnsi="Arial"/>
                <w:sz w:val="43"/>
                <w:szCs w:val="43"/>
                <w:color w:val="auto"/>
                <w:w w:val="91"/>
              </w:rPr>
              <w:t>Cohu, Inc.</w:t>
            </w:r>
          </w:p>
        </w:tc>
        <w:tc>
          <w:tcPr>
            <w:tcW w:w="3480" w:type="dxa"/>
            <w:vAlign w:val="bottom"/>
          </w:tcPr>
          <w:p>
            <w:pPr>
              <w:spacing w:after="0"/>
              <w:rPr>
                <w:sz w:val="24"/>
                <w:szCs w:val="24"/>
                <w:color w:val="auto"/>
              </w:rPr>
            </w:pPr>
          </w:p>
        </w:tc>
      </w:tr>
      <w:tr>
        <w:trPr>
          <w:trHeight w:val="32"/>
        </w:trPr>
        <w:tc>
          <w:tcPr>
            <w:tcW w:w="7760" w:type="dxa"/>
            <w:vAlign w:val="bottom"/>
            <w:tcBorders>
              <w:bottom w:val="single" w:sz="8" w:color="auto"/>
            </w:tcBorders>
            <w:gridSpan w:val="2"/>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480"/>
        </w:trPr>
        <w:tc>
          <w:tcPr>
            <w:tcW w:w="7760" w:type="dxa"/>
            <w:vAlign w:val="bottom"/>
            <w:gridSpan w:val="2"/>
          </w:tcPr>
          <w:p>
            <w:pPr>
              <w:jc w:val="center"/>
              <w:ind w:left="3390"/>
              <w:spacing w:after="0"/>
              <w:rPr>
                <w:sz w:val="20"/>
                <w:szCs w:val="20"/>
                <w:color w:val="auto"/>
              </w:rPr>
            </w:pPr>
            <w:r>
              <w:rPr>
                <w:rFonts w:ascii="Arial" w:cs="Arial" w:eastAsia="Arial" w:hAnsi="Arial"/>
                <w:sz w:val="18"/>
                <w:szCs w:val="18"/>
                <w:color w:val="auto"/>
                <w:w w:val="90"/>
              </w:rPr>
              <w:t>(Exact name of registrant as specified in its charter)</w:t>
            </w:r>
          </w:p>
        </w:tc>
        <w:tc>
          <w:tcPr>
            <w:tcW w:w="3480" w:type="dxa"/>
            <w:vAlign w:val="bottom"/>
          </w:tcPr>
          <w:p>
            <w:pPr>
              <w:spacing w:after="0"/>
              <w:rPr>
                <w:sz w:val="24"/>
                <w:szCs w:val="24"/>
                <w:color w:val="auto"/>
              </w:rPr>
            </w:pPr>
          </w:p>
        </w:tc>
      </w:tr>
      <w:tr>
        <w:trPr>
          <w:trHeight w:val="418"/>
        </w:trPr>
        <w:tc>
          <w:tcPr>
            <w:tcW w:w="4700" w:type="dxa"/>
            <w:vAlign w:val="bottom"/>
          </w:tcPr>
          <w:p>
            <w:pPr>
              <w:jc w:val="center"/>
              <w:ind w:left="310"/>
              <w:spacing w:after="0"/>
              <w:rPr>
                <w:sz w:val="20"/>
                <w:szCs w:val="20"/>
                <w:color w:val="auto"/>
              </w:rPr>
            </w:pPr>
            <w:r>
              <w:rPr>
                <w:rFonts w:ascii="Arial" w:cs="Arial" w:eastAsia="Arial" w:hAnsi="Arial"/>
                <w:sz w:val="18"/>
                <w:szCs w:val="18"/>
                <w:color w:val="auto"/>
                <w:w w:val="92"/>
              </w:rPr>
              <w:t>Delaware</w:t>
            </w:r>
          </w:p>
        </w:tc>
        <w:tc>
          <w:tcPr>
            <w:tcW w:w="3060" w:type="dxa"/>
            <w:vAlign w:val="bottom"/>
          </w:tcPr>
          <w:p>
            <w:pPr>
              <w:jc w:val="center"/>
              <w:ind w:right="1085"/>
              <w:spacing w:after="0"/>
              <w:rPr>
                <w:sz w:val="20"/>
                <w:szCs w:val="20"/>
                <w:color w:val="auto"/>
              </w:rPr>
            </w:pPr>
            <w:r>
              <w:rPr>
                <w:rFonts w:ascii="Arial" w:cs="Arial" w:eastAsia="Arial" w:hAnsi="Arial"/>
                <w:sz w:val="18"/>
                <w:szCs w:val="18"/>
                <w:color w:val="auto"/>
                <w:w w:val="90"/>
              </w:rPr>
              <w:t>001-04298</w:t>
            </w:r>
          </w:p>
        </w:tc>
        <w:tc>
          <w:tcPr>
            <w:tcW w:w="3480" w:type="dxa"/>
            <w:vAlign w:val="bottom"/>
          </w:tcPr>
          <w:p>
            <w:pPr>
              <w:jc w:val="right"/>
              <w:ind w:right="2010"/>
              <w:spacing w:after="0"/>
              <w:rPr>
                <w:sz w:val="20"/>
                <w:szCs w:val="20"/>
                <w:color w:val="auto"/>
              </w:rPr>
            </w:pPr>
            <w:r>
              <w:rPr>
                <w:rFonts w:ascii="Arial" w:cs="Arial" w:eastAsia="Arial" w:hAnsi="Arial"/>
                <w:sz w:val="18"/>
                <w:szCs w:val="18"/>
                <w:color w:val="auto"/>
              </w:rPr>
              <w:t>95-1934119</w:t>
            </w:r>
          </w:p>
        </w:tc>
      </w:tr>
      <w:tr>
        <w:trPr>
          <w:trHeight w:val="216"/>
        </w:trPr>
        <w:tc>
          <w:tcPr>
            <w:tcW w:w="4700" w:type="dxa"/>
            <w:vAlign w:val="bottom"/>
          </w:tcPr>
          <w:p>
            <w:pPr>
              <w:jc w:val="center"/>
              <w:ind w:left="310"/>
              <w:spacing w:after="0"/>
              <w:rPr>
                <w:sz w:val="20"/>
                <w:szCs w:val="20"/>
                <w:color w:val="auto"/>
              </w:rPr>
            </w:pPr>
            <w:r>
              <w:rPr>
                <w:rFonts w:ascii="Arial" w:cs="Arial" w:eastAsia="Arial" w:hAnsi="Arial"/>
                <w:sz w:val="18"/>
                <w:szCs w:val="18"/>
                <w:color w:val="auto"/>
                <w:w w:val="92"/>
              </w:rPr>
              <w:t>(State or other jurisdiction</w:t>
            </w:r>
          </w:p>
        </w:tc>
        <w:tc>
          <w:tcPr>
            <w:tcW w:w="3060" w:type="dxa"/>
            <w:vAlign w:val="bottom"/>
          </w:tcPr>
          <w:p>
            <w:pPr>
              <w:jc w:val="center"/>
              <w:ind w:right="1065"/>
              <w:spacing w:after="0"/>
              <w:rPr>
                <w:sz w:val="20"/>
                <w:szCs w:val="20"/>
                <w:color w:val="auto"/>
              </w:rPr>
            </w:pPr>
            <w:r>
              <w:rPr>
                <w:rFonts w:ascii="Arial" w:cs="Arial" w:eastAsia="Arial" w:hAnsi="Arial"/>
                <w:sz w:val="18"/>
                <w:szCs w:val="18"/>
                <w:color w:val="auto"/>
                <w:w w:val="91"/>
              </w:rPr>
              <w:t>(Commission</w:t>
            </w:r>
          </w:p>
        </w:tc>
        <w:tc>
          <w:tcPr>
            <w:tcW w:w="3480" w:type="dxa"/>
            <w:vAlign w:val="bottom"/>
          </w:tcPr>
          <w:p>
            <w:pPr>
              <w:jc w:val="center"/>
              <w:ind w:right="1470"/>
              <w:spacing w:after="0"/>
              <w:rPr>
                <w:sz w:val="20"/>
                <w:szCs w:val="20"/>
                <w:color w:val="auto"/>
              </w:rPr>
            </w:pPr>
            <w:r>
              <w:rPr>
                <w:rFonts w:ascii="Arial" w:cs="Arial" w:eastAsia="Arial" w:hAnsi="Arial"/>
                <w:sz w:val="18"/>
                <w:szCs w:val="18"/>
                <w:color w:val="auto"/>
                <w:w w:val="93"/>
              </w:rPr>
              <w:t>(I.R.S. Employer</w:t>
            </w:r>
          </w:p>
        </w:tc>
      </w:tr>
      <w:tr>
        <w:trPr>
          <w:trHeight w:val="230"/>
        </w:trPr>
        <w:tc>
          <w:tcPr>
            <w:tcW w:w="4700" w:type="dxa"/>
            <w:vAlign w:val="bottom"/>
          </w:tcPr>
          <w:p>
            <w:pPr>
              <w:jc w:val="center"/>
              <w:ind w:left="310"/>
              <w:spacing w:after="0"/>
              <w:rPr>
                <w:sz w:val="20"/>
                <w:szCs w:val="20"/>
                <w:color w:val="auto"/>
              </w:rPr>
            </w:pPr>
            <w:r>
              <w:rPr>
                <w:rFonts w:ascii="Arial" w:cs="Arial" w:eastAsia="Arial" w:hAnsi="Arial"/>
                <w:sz w:val="18"/>
                <w:szCs w:val="18"/>
                <w:color w:val="auto"/>
                <w:w w:val="93"/>
              </w:rPr>
              <w:t>of incorporation)</w:t>
            </w:r>
          </w:p>
        </w:tc>
        <w:tc>
          <w:tcPr>
            <w:tcW w:w="3060" w:type="dxa"/>
            <w:vAlign w:val="bottom"/>
          </w:tcPr>
          <w:p>
            <w:pPr>
              <w:jc w:val="center"/>
              <w:ind w:right="1065"/>
              <w:spacing w:after="0"/>
              <w:rPr>
                <w:sz w:val="20"/>
                <w:szCs w:val="20"/>
                <w:color w:val="auto"/>
              </w:rPr>
            </w:pPr>
            <w:r>
              <w:rPr>
                <w:rFonts w:ascii="Arial" w:cs="Arial" w:eastAsia="Arial" w:hAnsi="Arial"/>
                <w:sz w:val="18"/>
                <w:szCs w:val="18"/>
                <w:color w:val="auto"/>
                <w:w w:val="92"/>
              </w:rPr>
              <w:t>File Number)</w:t>
            </w:r>
          </w:p>
        </w:tc>
        <w:tc>
          <w:tcPr>
            <w:tcW w:w="3480" w:type="dxa"/>
            <w:vAlign w:val="bottom"/>
          </w:tcPr>
          <w:p>
            <w:pPr>
              <w:jc w:val="center"/>
              <w:ind w:right="14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700" w:type="dxa"/>
            <w:vAlign w:val="bottom"/>
          </w:tcPr>
          <w:p>
            <w:pPr>
              <w:jc w:val="center"/>
              <w:ind w:left="310"/>
              <w:spacing w:after="0"/>
              <w:rPr>
                <w:sz w:val="20"/>
                <w:szCs w:val="20"/>
                <w:color w:val="auto"/>
              </w:rPr>
            </w:pPr>
            <w:r>
              <w:rPr>
                <w:rFonts w:ascii="Arial" w:cs="Arial" w:eastAsia="Arial" w:hAnsi="Arial"/>
                <w:sz w:val="18"/>
                <w:szCs w:val="18"/>
                <w:color w:val="auto"/>
                <w:w w:val="91"/>
              </w:rPr>
              <w:t>12367 Crosthwaite Circle, Poway,</w:t>
            </w:r>
          </w:p>
        </w:tc>
        <w:tc>
          <w:tcPr>
            <w:tcW w:w="3060" w:type="dxa"/>
            <w:vAlign w:val="bottom"/>
          </w:tcPr>
          <w:p>
            <w:pPr>
              <w:spacing w:after="0"/>
              <w:rPr>
                <w:sz w:val="24"/>
                <w:szCs w:val="24"/>
                <w:color w:val="auto"/>
              </w:rPr>
            </w:pPr>
          </w:p>
        </w:tc>
        <w:tc>
          <w:tcPr>
            <w:tcW w:w="3480" w:type="dxa"/>
            <w:vAlign w:val="bottom"/>
          </w:tcPr>
          <w:p>
            <w:pPr>
              <w:jc w:val="right"/>
              <w:ind w:right="2210"/>
              <w:spacing w:after="0"/>
              <w:rPr>
                <w:sz w:val="20"/>
                <w:szCs w:val="20"/>
                <w:color w:val="auto"/>
              </w:rPr>
            </w:pPr>
            <w:r>
              <w:rPr>
                <w:rFonts w:ascii="Arial" w:cs="Arial" w:eastAsia="Arial" w:hAnsi="Arial"/>
                <w:sz w:val="18"/>
                <w:szCs w:val="18"/>
                <w:color w:val="auto"/>
              </w:rPr>
              <w:t>92064</w:t>
            </w:r>
          </w:p>
        </w:tc>
      </w:tr>
      <w:tr>
        <w:trPr>
          <w:trHeight w:val="216"/>
        </w:trPr>
        <w:tc>
          <w:tcPr>
            <w:tcW w:w="4700" w:type="dxa"/>
            <w:vAlign w:val="bottom"/>
          </w:tcPr>
          <w:p>
            <w:pPr>
              <w:jc w:val="center"/>
              <w:ind w:left="310"/>
              <w:spacing w:after="0"/>
              <w:rPr>
                <w:sz w:val="20"/>
                <w:szCs w:val="20"/>
                <w:color w:val="auto"/>
              </w:rPr>
            </w:pPr>
            <w:r>
              <w:rPr>
                <w:rFonts w:ascii="Arial" w:cs="Arial" w:eastAsia="Arial" w:hAnsi="Arial"/>
                <w:sz w:val="18"/>
                <w:szCs w:val="18"/>
                <w:color w:val="auto"/>
                <w:w w:val="97"/>
              </w:rPr>
              <w:t>California</w:t>
            </w:r>
          </w:p>
        </w:tc>
        <w:tc>
          <w:tcPr>
            <w:tcW w:w="306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16"/>
        </w:trPr>
        <w:tc>
          <w:tcPr>
            <w:tcW w:w="4700" w:type="dxa"/>
            <w:vAlign w:val="bottom"/>
          </w:tcPr>
          <w:p>
            <w:pPr>
              <w:jc w:val="center"/>
              <w:ind w:left="310"/>
              <w:spacing w:after="0"/>
              <w:rPr>
                <w:sz w:val="20"/>
                <w:szCs w:val="20"/>
                <w:color w:val="auto"/>
              </w:rPr>
            </w:pPr>
            <w:r>
              <w:rPr>
                <w:rFonts w:ascii="Arial" w:cs="Arial" w:eastAsia="Arial" w:hAnsi="Arial"/>
                <w:sz w:val="18"/>
                <w:szCs w:val="18"/>
                <w:color w:val="auto"/>
                <w:w w:val="92"/>
              </w:rPr>
              <w:t>(Address of principal executive</w:t>
            </w:r>
          </w:p>
        </w:tc>
        <w:tc>
          <w:tcPr>
            <w:tcW w:w="3060" w:type="dxa"/>
            <w:vAlign w:val="bottom"/>
          </w:tcPr>
          <w:p>
            <w:pPr>
              <w:spacing w:after="0"/>
              <w:rPr>
                <w:sz w:val="18"/>
                <w:szCs w:val="18"/>
                <w:color w:val="auto"/>
              </w:rPr>
            </w:pPr>
          </w:p>
        </w:tc>
        <w:tc>
          <w:tcPr>
            <w:tcW w:w="3480" w:type="dxa"/>
            <w:vAlign w:val="bottom"/>
          </w:tcPr>
          <w:p>
            <w:pPr>
              <w:jc w:val="center"/>
              <w:ind w:right="1470"/>
              <w:spacing w:after="0"/>
              <w:rPr>
                <w:sz w:val="20"/>
                <w:szCs w:val="20"/>
                <w:color w:val="auto"/>
              </w:rPr>
            </w:pPr>
            <w:r>
              <w:rPr>
                <w:rFonts w:ascii="Arial" w:cs="Arial" w:eastAsia="Arial" w:hAnsi="Arial"/>
                <w:sz w:val="18"/>
                <w:szCs w:val="18"/>
                <w:color w:val="auto"/>
                <w:w w:val="94"/>
              </w:rPr>
              <w:t>(Zip Code)</w:t>
            </w:r>
          </w:p>
        </w:tc>
      </w:tr>
      <w:tr>
        <w:trPr>
          <w:trHeight w:val="230"/>
        </w:trPr>
        <w:tc>
          <w:tcPr>
            <w:tcW w:w="4700" w:type="dxa"/>
            <w:vAlign w:val="bottom"/>
          </w:tcPr>
          <w:p>
            <w:pPr>
              <w:jc w:val="center"/>
              <w:ind w:left="310"/>
              <w:spacing w:after="0"/>
              <w:rPr>
                <w:sz w:val="20"/>
                <w:szCs w:val="20"/>
                <w:color w:val="auto"/>
              </w:rPr>
            </w:pPr>
            <w:r>
              <w:rPr>
                <w:rFonts w:ascii="Arial" w:cs="Arial" w:eastAsia="Arial" w:hAnsi="Arial"/>
                <w:sz w:val="18"/>
                <w:szCs w:val="18"/>
                <w:color w:val="auto"/>
                <w:w w:val="92"/>
              </w:rPr>
              <w:t>offices)</w:t>
            </w:r>
          </w:p>
        </w:tc>
        <w:tc>
          <w:tcPr>
            <w:tcW w:w="306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432"/>
        </w:trPr>
        <w:tc>
          <w:tcPr>
            <w:tcW w:w="4700" w:type="dxa"/>
            <w:vAlign w:val="bottom"/>
          </w:tcPr>
          <w:p>
            <w:pPr>
              <w:ind w:left="940"/>
              <w:spacing w:after="0"/>
              <w:rPr>
                <w:sz w:val="20"/>
                <w:szCs w:val="20"/>
                <w:color w:val="auto"/>
              </w:rPr>
            </w:pPr>
            <w:r>
              <w:rPr>
                <w:rFonts w:ascii="Arial" w:cs="Arial" w:eastAsia="Arial" w:hAnsi="Arial"/>
                <w:sz w:val="18"/>
                <w:szCs w:val="18"/>
                <w:color w:val="auto"/>
                <w:w w:val="89"/>
              </w:rPr>
              <w:t>Registrant’s telephone number, including area code:</w:t>
            </w:r>
          </w:p>
        </w:tc>
        <w:tc>
          <w:tcPr>
            <w:tcW w:w="3060" w:type="dxa"/>
            <w:vAlign w:val="bottom"/>
          </w:tcPr>
          <w:p>
            <w:pPr>
              <w:spacing w:after="0"/>
              <w:rPr>
                <w:sz w:val="24"/>
                <w:szCs w:val="24"/>
                <w:color w:val="auto"/>
              </w:rPr>
            </w:pPr>
          </w:p>
        </w:tc>
        <w:tc>
          <w:tcPr>
            <w:tcW w:w="3480" w:type="dxa"/>
            <w:vAlign w:val="bottom"/>
          </w:tcPr>
          <w:p>
            <w:pPr>
              <w:jc w:val="right"/>
              <w:ind w:right="1890"/>
              <w:spacing w:after="0"/>
              <w:rPr>
                <w:sz w:val="20"/>
                <w:szCs w:val="20"/>
                <w:color w:val="auto"/>
              </w:rPr>
            </w:pPr>
            <w:r>
              <w:rPr>
                <w:rFonts w:ascii="Arial" w:cs="Arial" w:eastAsia="Arial" w:hAnsi="Arial"/>
                <w:sz w:val="18"/>
                <w:szCs w:val="18"/>
                <w:color w:val="auto"/>
              </w:rPr>
              <w:t>858-848-8100</w:t>
            </w:r>
          </w:p>
        </w:tc>
      </w:tr>
      <w:tr>
        <w:trPr>
          <w:trHeight w:val="432"/>
        </w:trPr>
        <w:tc>
          <w:tcPr>
            <w:tcW w:w="4700" w:type="dxa"/>
            <w:vAlign w:val="bottom"/>
          </w:tcPr>
          <w:p>
            <w:pPr>
              <w:spacing w:after="0"/>
              <w:rPr>
                <w:sz w:val="24"/>
                <w:szCs w:val="24"/>
                <w:color w:val="auto"/>
              </w:rPr>
            </w:pPr>
          </w:p>
        </w:tc>
        <w:tc>
          <w:tcPr>
            <w:tcW w:w="3060" w:type="dxa"/>
            <w:vAlign w:val="bottom"/>
          </w:tcPr>
          <w:p>
            <w:pPr>
              <w:jc w:val="center"/>
              <w:ind w:right="1085"/>
              <w:spacing w:after="0"/>
              <w:rPr>
                <w:sz w:val="20"/>
                <w:szCs w:val="20"/>
                <w:color w:val="auto"/>
              </w:rPr>
            </w:pPr>
            <w:r>
              <w:rPr>
                <w:rFonts w:ascii="Arial" w:cs="Arial" w:eastAsia="Arial" w:hAnsi="Arial"/>
                <w:sz w:val="18"/>
                <w:szCs w:val="18"/>
                <w:color w:val="auto"/>
                <w:w w:val="94"/>
              </w:rPr>
              <w:t>Not Applicable</w:t>
            </w:r>
          </w:p>
        </w:tc>
        <w:tc>
          <w:tcPr>
            <w:tcW w:w="34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449" w:right="339" w:bottom="1440" w:gutter="0" w:footer="0" w:header="0"/>
        </w:sectPr>
      </w:pPr>
    </w:p>
    <w:p>
      <w:pPr>
        <w:spacing w:after="0" w:line="225"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COHU</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38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40" w:space="720"/>
            <w:col w:w="2000" w:space="720"/>
            <w:col w:w="3560"/>
          </w:cols>
          <w:pgMar w:left="320" w:top="449" w:right="339" w:bottom="1440" w:gutter="0" w:footer="0" w:header="0"/>
          <w:type w:val="continuous"/>
        </w:sectPr>
      </w:pPr>
    </w:p>
    <w:p>
      <w:pPr>
        <w:spacing w:after="0" w:line="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 w:name="page2"/>
    <w:bookmarkEnd w:id="1"/>
    <w:p>
      <w:pPr>
        <w:ind w:right="1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 Appointment of New Director</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May 5, 2021, the Board of Directors (the “Board”) of Cohu, Inc. (“Cohu”) appointed Yon Yoon Jorden to join the Board as a Class 2 director whose term will expire at Cohu’s 2024 annual meeting of stockholders. Ms. Jorden has also been appointed to the Audit Committee. Such appointments are effective as of May 10, 2021. There is no arrangement or understanding between Ms. Jorden and Cohu or any other person pursuant to which she was selected as a director.</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Ms. Jorden will be compensated in accordance with Cohu’s current director compensation program, including an annual retainer of $60,000; annual fee as Audit Committee member of $10,000; and an initial equity grant of restricted stock units (“RSUs”) with a total value of $150,000, but the total value of such grant pro-rated based on the period of time between appointment as director and the next scheduled director annual equity grant date, and such grant to vest over three years. In addition, Ms. Jorden will be eligible for the regular directors’ annual equity grant of RSUs, expected in May 2022, with a total value of $150,000, and such annual grant would thereafter vest in approximately one year.</w:t>
      </w:r>
    </w:p>
    <w:p>
      <w:pPr>
        <w:spacing w:after="0" w:line="3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Ms. Jorden was provided, and is expected to sign, Cohu’s standard form of indemnification agreement for directors, which is attached as Exhibit 10.1 to Cohu’s Form 8-K filed with the SEC on December 13,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Cohu’s press release relating to this announcement is being furnished as Exhibit 99.1 to this Form 8-K.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right="9780" w:firstLine="8"/>
        <w:spacing w:after="0" w:line="563"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 Exhibit No. – 99.1</w:t>
      </w:r>
    </w:p>
    <w:p>
      <w:pPr>
        <w:ind w:right="4840"/>
        <w:spacing w:after="0" w:line="500" w:lineRule="auto"/>
        <w:rPr>
          <w:rFonts w:ascii="Arial" w:cs="Arial" w:eastAsia="Arial" w:hAnsi="Arial"/>
          <w:sz w:val="16"/>
          <w:szCs w:val="16"/>
          <w:color w:val="auto"/>
        </w:rPr>
      </w:pPr>
      <w:r>
        <w:rPr>
          <w:rFonts w:ascii="Arial" w:cs="Arial" w:eastAsia="Arial" w:hAnsi="Arial"/>
          <w:sz w:val="18"/>
          <w:szCs w:val="18"/>
          <w:color w:val="auto"/>
        </w:rPr>
        <w:t>Description - Cohu Appoints Yon Jorden to its Board of Directors, dated May 10, 2021 Exhibit No. – 104</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0" w:type="dxa"/>
            <w:vAlign w:val="bottom"/>
          </w:tcPr>
          <w:p>
            <w:pPr>
              <w:ind w:left="2920"/>
              <w:spacing w:after="0"/>
              <w:rPr>
                <w:sz w:val="20"/>
                <w:szCs w:val="20"/>
                <w:color w:val="auto"/>
              </w:rPr>
            </w:pPr>
            <w:r>
              <w:rPr>
                <w:rFonts w:ascii="Arial" w:cs="Arial" w:eastAsia="Arial" w:hAnsi="Arial"/>
                <w:sz w:val="18"/>
                <w:szCs w:val="18"/>
                <w:b w:val="1"/>
                <w:bCs w:val="1"/>
                <w:color w:val="auto"/>
              </w:rPr>
              <w:t>Index of Exhibits</w:t>
            </w:r>
          </w:p>
        </w:tc>
      </w:tr>
      <w:tr>
        <w:trPr>
          <w:trHeight w:val="270"/>
        </w:trPr>
        <w:tc>
          <w:tcPr>
            <w:tcW w:w="17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200" w:type="dxa"/>
            <w:vAlign w:val="bottom"/>
            <w:tcBorders>
              <w:bottom w:val="single" w:sz="8" w:color="auto"/>
            </w:tcBorders>
          </w:tcPr>
          <w:p>
            <w:pPr>
              <w:spacing w:after="0"/>
              <w:rPr>
                <w:sz w:val="23"/>
                <w:szCs w:val="23"/>
                <w:color w:val="auto"/>
              </w:rPr>
            </w:pPr>
          </w:p>
        </w:tc>
      </w:tr>
      <w:tr>
        <w:trPr>
          <w:trHeight w:val="461"/>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rPr>
              <w:t>EXHIBIT</w:t>
            </w:r>
          </w:p>
        </w:tc>
        <w:tc>
          <w:tcPr>
            <w:tcW w:w="340" w:type="dxa"/>
            <w:vAlign w:val="bottom"/>
          </w:tcPr>
          <w:p>
            <w:pPr>
              <w:spacing w:after="0"/>
              <w:rPr>
                <w:sz w:val="24"/>
                <w:szCs w:val="24"/>
                <w:color w:val="auto"/>
              </w:rPr>
            </w:pPr>
          </w:p>
        </w:tc>
        <w:tc>
          <w:tcPr>
            <w:tcW w:w="9200" w:type="dxa"/>
            <w:vAlign w:val="bottom"/>
          </w:tcPr>
          <w:p>
            <w:pPr>
              <w:spacing w:after="0"/>
              <w:rPr>
                <w:sz w:val="24"/>
                <w:szCs w:val="24"/>
                <w:color w:val="auto"/>
              </w:rPr>
            </w:pPr>
          </w:p>
        </w:tc>
      </w:tr>
      <w:tr>
        <w:trPr>
          <w:trHeight w:val="234"/>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NO.</w:t>
            </w:r>
          </w:p>
        </w:tc>
        <w:tc>
          <w:tcPr>
            <w:tcW w:w="340" w:type="dxa"/>
            <w:vAlign w:val="bottom"/>
          </w:tcPr>
          <w:p>
            <w:pPr>
              <w:spacing w:after="0"/>
              <w:rPr>
                <w:sz w:val="20"/>
                <w:szCs w:val="20"/>
                <w:color w:val="auto"/>
              </w:rPr>
            </w:pPr>
          </w:p>
        </w:tc>
        <w:tc>
          <w:tcPr>
            <w:tcW w:w="9200" w:type="dxa"/>
            <w:vAlign w:val="bottom"/>
            <w:tcBorders>
              <w:bottom w:val="single" w:sz="8" w:color="auto"/>
            </w:tcBorders>
          </w:tcPr>
          <w:p>
            <w:pPr>
              <w:ind w:left="3980"/>
              <w:spacing w:after="0"/>
              <w:rPr>
                <w:sz w:val="20"/>
                <w:szCs w:val="20"/>
                <w:color w:val="auto"/>
              </w:rPr>
            </w:pPr>
            <w:r>
              <w:rPr>
                <w:rFonts w:ascii="Arial" w:cs="Arial" w:eastAsia="Arial" w:hAnsi="Arial"/>
                <w:sz w:val="18"/>
                <w:szCs w:val="18"/>
                <w:b w:val="1"/>
                <w:bCs w:val="1"/>
                <w:color w:val="auto"/>
              </w:rPr>
              <w:t>DESCRIPTION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20"/>
                <w:szCs w:val="20"/>
                <w:color w:val="auto"/>
              </w:rPr>
            </w:pPr>
            <w:r>
              <w:rPr>
                <w:rFonts w:ascii="Arial" w:cs="Arial" w:eastAsia="Arial" w:hAnsi="Arial"/>
                <w:sz w:val="18"/>
                <w:szCs w:val="18"/>
                <w:color w:val="auto"/>
              </w:rPr>
              <w:t>99.1</w:t>
            </w:r>
          </w:p>
        </w:tc>
        <w:tc>
          <w:tcPr>
            <w:tcW w:w="5280" w:type="dxa"/>
            <w:vAlign w:val="bottom"/>
            <w:tcBorders>
              <w:bottom w:val="single" w:sz="8" w:color="0000EE"/>
            </w:tcBorders>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Cohu Appoints Yon Jorden to its Board of Directors, dated May 10, 2021</w:t>
              </w:r>
            </w:hyperlink>
          </w:p>
        </w:tc>
        <w:tc>
          <w:tcPr>
            <w:tcW w:w="3920" w:type="dxa"/>
            <w:vAlign w:val="bottom"/>
          </w:tcPr>
          <w:p>
            <w:pPr>
              <w:spacing w:after="0"/>
              <w:rPr>
                <w:sz w:val="17"/>
                <w:szCs w:val="17"/>
                <w:color w:val="auto"/>
              </w:rPr>
            </w:pPr>
          </w:p>
        </w:tc>
      </w:tr>
      <w:tr>
        <w:trPr>
          <w:trHeight w:val="453"/>
        </w:trPr>
        <w:tc>
          <w:tcPr>
            <w:tcW w:w="2040" w:type="dxa"/>
            <w:vAlign w:val="bottom"/>
          </w:tcPr>
          <w:p>
            <w:pPr>
              <w:spacing w:after="0"/>
              <w:rPr>
                <w:sz w:val="20"/>
                <w:szCs w:val="20"/>
                <w:color w:val="auto"/>
              </w:rPr>
            </w:pPr>
            <w:r>
              <w:rPr>
                <w:rFonts w:ascii="Arial" w:cs="Arial" w:eastAsia="Arial" w:hAnsi="Arial"/>
                <w:sz w:val="18"/>
                <w:szCs w:val="18"/>
                <w:color w:val="auto"/>
              </w:rPr>
              <w:t>104</w:t>
            </w:r>
          </w:p>
        </w:tc>
        <w:tc>
          <w:tcPr>
            <w:tcW w:w="92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20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5600" w:type="dxa"/>
            <w:vAlign w:val="bottom"/>
          </w:tcPr>
          <w:p>
            <w:pPr>
              <w:ind w:left="1980"/>
              <w:spacing w:after="0"/>
              <w:rPr>
                <w:sz w:val="20"/>
                <w:szCs w:val="20"/>
                <w:color w:val="auto"/>
              </w:rPr>
            </w:pPr>
            <w:r>
              <w:rPr>
                <w:rFonts w:ascii="Arial" w:cs="Arial" w:eastAsia="Arial" w:hAnsi="Arial"/>
                <w:sz w:val="18"/>
                <w:szCs w:val="18"/>
                <w:color w:val="auto"/>
              </w:rPr>
              <w:t>Cohu, Inc.</w:t>
            </w:r>
          </w:p>
        </w:tc>
      </w:tr>
      <w:tr>
        <w:trPr>
          <w:trHeight w:val="418"/>
        </w:trPr>
        <w:tc>
          <w:tcPr>
            <w:tcW w:w="2980" w:type="dxa"/>
            <w:vAlign w:val="bottom"/>
          </w:tcPr>
          <w:p>
            <w:pPr>
              <w:spacing w:after="0"/>
              <w:rPr>
                <w:sz w:val="20"/>
                <w:szCs w:val="20"/>
                <w:color w:val="auto"/>
              </w:rPr>
            </w:pPr>
            <w:r>
              <w:rPr>
                <w:rFonts w:ascii="Arial" w:cs="Arial" w:eastAsia="Arial" w:hAnsi="Arial"/>
                <w:sz w:val="18"/>
                <w:szCs w:val="18"/>
                <w:i w:val="1"/>
                <w:iCs w:val="1"/>
                <w:color w:val="auto"/>
              </w:rPr>
              <w:t>May 10, 2021</w:t>
            </w:r>
          </w:p>
        </w:tc>
        <w:tc>
          <w:tcPr>
            <w:tcW w:w="5600" w:type="dxa"/>
            <w:vAlign w:val="bottom"/>
          </w:tcPr>
          <w:p>
            <w:pPr>
              <w:ind w:left="2280"/>
              <w:spacing w:after="0"/>
              <w:rPr>
                <w:sz w:val="20"/>
                <w:szCs w:val="20"/>
                <w:color w:val="auto"/>
              </w:rPr>
            </w:pPr>
            <w:r>
              <w:rPr>
                <w:rFonts w:ascii="Arial" w:cs="Arial" w:eastAsia="Arial" w:hAnsi="Arial"/>
                <w:sz w:val="18"/>
                <w:szCs w:val="18"/>
                <w:i w:val="1"/>
                <w:iCs w:val="1"/>
                <w:color w:val="auto"/>
              </w:rPr>
              <w:t>By: s/ Jeffrey D. Jones</w:t>
            </w:r>
          </w:p>
        </w:tc>
      </w:tr>
      <w:tr>
        <w:trPr>
          <w:trHeight w:val="216"/>
        </w:trPr>
        <w:tc>
          <w:tcPr>
            <w:tcW w:w="2980" w:type="dxa"/>
            <w:vAlign w:val="bottom"/>
          </w:tcPr>
          <w:p>
            <w:pPr>
              <w:spacing w:after="0"/>
              <w:rPr>
                <w:sz w:val="18"/>
                <w:szCs w:val="18"/>
                <w:color w:val="auto"/>
              </w:rPr>
            </w:pPr>
          </w:p>
        </w:tc>
        <w:tc>
          <w:tcPr>
            <w:tcW w:w="5600" w:type="dxa"/>
            <w:vAlign w:val="bottom"/>
          </w:tcPr>
          <w:p>
            <w:pPr>
              <w:ind w:left="2280"/>
              <w:spacing w:after="0"/>
              <w:rPr>
                <w:sz w:val="20"/>
                <w:szCs w:val="20"/>
                <w:color w:val="auto"/>
              </w:rPr>
            </w:pPr>
            <w:r>
              <w:rPr>
                <w:rFonts w:ascii="Arial" w:cs="Arial" w:eastAsia="Arial" w:hAnsi="Arial"/>
                <w:sz w:val="18"/>
                <w:szCs w:val="18"/>
                <w:i w:val="1"/>
                <w:iCs w:val="1"/>
                <w:color w:val="auto"/>
              </w:rPr>
              <w:t>Name: Jeffrey D. Jones</w:t>
            </w:r>
          </w:p>
        </w:tc>
      </w:tr>
      <w:tr>
        <w:trPr>
          <w:trHeight w:val="230"/>
        </w:trPr>
        <w:tc>
          <w:tcPr>
            <w:tcW w:w="2980" w:type="dxa"/>
            <w:vAlign w:val="bottom"/>
          </w:tcPr>
          <w:p>
            <w:pPr>
              <w:spacing w:after="0"/>
              <w:rPr>
                <w:sz w:val="20"/>
                <w:szCs w:val="20"/>
                <w:color w:val="auto"/>
              </w:rPr>
            </w:pPr>
          </w:p>
        </w:tc>
        <w:tc>
          <w:tcPr>
            <w:tcW w:w="5600" w:type="dxa"/>
            <w:vAlign w:val="bottom"/>
          </w:tcPr>
          <w:p>
            <w:pPr>
              <w:ind w:left="2280"/>
              <w:spacing w:after="0"/>
              <w:rPr>
                <w:sz w:val="20"/>
                <w:szCs w:val="20"/>
                <w:color w:val="auto"/>
              </w:rPr>
            </w:pPr>
            <w:r>
              <w:rPr>
                <w:rFonts w:ascii="Arial" w:cs="Arial" w:eastAsia="Arial" w:hAnsi="Arial"/>
                <w:sz w:val="18"/>
                <w:szCs w:val="18"/>
                <w:i w:val="1"/>
                <w:iCs w:val="1"/>
                <w:color w:val="auto"/>
                <w:w w:val="93"/>
              </w:rPr>
              <w:t>Title: VP Finance and Chief Financial Officer</w:t>
            </w:r>
          </w:p>
        </w:tc>
      </w:tr>
    </w:tbl>
    <w:p>
      <w:pPr>
        <w:sectPr>
          <w:pgSz w:w="11900" w:h="16838" w:orient="portrait"/>
          <w:cols w:equalWidth="0" w:num="1">
            <w:col w:w="11200"/>
          </w:cols>
          <w:pgMar w:left="320" w:top="580"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154305</wp:posOffset>
            </wp:positionV>
            <wp:extent cx="3128645" cy="745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2864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-121920</wp:posOffset>
            </wp:positionV>
            <wp:extent cx="25400" cy="822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400" cy="822960"/>
                    </a:xfrm>
                    <a:prstGeom prst="rect">
                      <a:avLst/>
                    </a:prstGeom>
                    <a:noFill/>
                  </pic:spPr>
                </pic:pic>
              </a:graphicData>
            </a:graphic>
          </wp:anchor>
        </w:drawing>
      </w:r>
    </w:p>
    <w:p>
      <w:pPr>
        <w:spacing w:after="0" w:line="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POWAY, CA 92064</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FAX (858) 848-8185</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PHONE (858) 858-8100</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www.cohu.com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Appoints Yon Jorden to its Board of Directors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POWAY, Calif., May 10, 2021 -- Cohu, Inc. (NASDAQ: COHU), a global leader in back-end semiconductor equipment and services, today announced that Yon Yoon Jorden has been appointed to the Cohu Board of Directors, effective today. Ms. Jorden will also serve on the Audit Committee.</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Ms. Jorden brings to Cohu’s Board of Directors extensive experience as a Chief Financial Officer and board member of public corporations in technology, manufacturing and healthcare industries. Ms. Jorden is also a board leadership fellow of the National Association of Corporate Directors. During her impressive business career, Ms. Jorden held CFO positions in four publicly traded companies, most recently with AdvancePCS, and previously with Informix Corp., Oxford Health Plans, Inc., and WellPoint, Inc.</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Ms. Jorden serves as a director for Capstone Turbine Corp. (NASDAQ: CPST) and the Methodist Health System. Previously, she served as a director for Maxwell Technologies, Magnetek, Inc., U.S. Oncology, and BioScrip, Inc.</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are pleased to add Yon to Cohu’s Board of Directors. She brings a wealth of financial expertise, leadership, and broad perspective across several industries. We look forward to drawing upon her extensive public company board and audit committee experience,” said James A. Donahue, Chairperson of the Board.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 xml:space="preserve">Cohu (NASDAQ: COHU) is a global leader in back-end semiconductor equipment and services, delivering leading-edge solutions for the manufacturing of semiconductors and printed circuit boards.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 Investor Contact: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858-848-8106</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2021-05-10T07:37:41Z</dcterms:created>
  <dcterms:modified xsi:type="dcterms:W3CDTF">2021-05-10T07:37:41Z</dcterms:modified>
</cp:coreProperties>
</file>