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7"/>
          <w:szCs w:val="17"/>
          <w:color w:val="auto"/>
        </w:rPr>
        <w:t>April 29,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8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2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3320" w:type="dxa"/>
            <w:vAlign w:val="bottom"/>
            <w:gridSpan w:val="2"/>
          </w:tcPr>
          <w:p>
            <w:pPr>
              <w:jc w:val="center"/>
              <w:ind w:right="410"/>
              <w:spacing w:after="0"/>
              <w:rPr>
                <w:sz w:val="20"/>
                <w:szCs w:val="20"/>
                <w:color w:val="auto"/>
              </w:rPr>
            </w:pPr>
            <w:r>
              <w:rPr>
                <w:rFonts w:ascii="Arial" w:cs="Arial" w:eastAsia="Arial" w:hAnsi="Arial"/>
                <w:sz w:val="18"/>
                <w:szCs w:val="18"/>
                <w:color w:val="auto"/>
                <w:w w:val="92"/>
              </w:rPr>
              <w:t>Delaware</w:t>
            </w:r>
          </w:p>
        </w:tc>
        <w:tc>
          <w:tcPr>
            <w:tcW w:w="3020" w:type="dxa"/>
            <w:vAlign w:val="bottom"/>
            <w:gridSpan w:val="3"/>
          </w:tcPr>
          <w:p>
            <w:pPr>
              <w:jc w:val="right"/>
              <w:ind w:right="1200"/>
              <w:spacing w:after="0"/>
              <w:rPr>
                <w:sz w:val="20"/>
                <w:szCs w:val="20"/>
                <w:color w:val="auto"/>
              </w:rPr>
            </w:pPr>
            <w:r>
              <w:rPr>
                <w:rFonts w:ascii="Arial" w:cs="Arial" w:eastAsia="Arial" w:hAnsi="Arial"/>
                <w:sz w:val="18"/>
                <w:szCs w:val="18"/>
                <w:color w:val="auto"/>
              </w:rPr>
              <w:t>001-04298</w:t>
            </w: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95-1934119</w:t>
            </w:r>
          </w:p>
        </w:tc>
      </w:tr>
      <w:tr>
        <w:trPr>
          <w:trHeight w:val="216"/>
        </w:trPr>
        <w:tc>
          <w:tcPr>
            <w:tcW w:w="4560" w:type="dxa"/>
            <w:vAlign w:val="bottom"/>
            <w:gridSpan w:val="3"/>
          </w:tcPr>
          <w:p>
            <w:pPr>
              <w:jc w:val="right"/>
              <w:ind w:right="870"/>
              <w:spacing w:after="0"/>
              <w:rPr>
                <w:sz w:val="20"/>
                <w:szCs w:val="20"/>
                <w:color w:val="auto"/>
              </w:rPr>
            </w:pPr>
            <w:r>
              <w:rPr>
                <w:rFonts w:ascii="Arial" w:cs="Arial" w:eastAsia="Arial" w:hAnsi="Arial"/>
                <w:sz w:val="18"/>
                <w:szCs w:val="18"/>
                <w:color w:val="auto"/>
              </w:rPr>
              <w:t>_____________________</w:t>
            </w:r>
          </w:p>
        </w:tc>
        <w:tc>
          <w:tcPr>
            <w:tcW w:w="3020" w:type="dxa"/>
            <w:vAlign w:val="bottom"/>
            <w:gridSpan w:val="3"/>
          </w:tcPr>
          <w:p>
            <w:pPr>
              <w:jc w:val="right"/>
              <w:ind w:right="1020"/>
              <w:spacing w:after="0"/>
              <w:rPr>
                <w:sz w:val="20"/>
                <w:szCs w:val="20"/>
                <w:color w:val="auto"/>
              </w:rPr>
            </w:pPr>
            <w:r>
              <w:rPr>
                <w:rFonts w:ascii="Arial" w:cs="Arial" w:eastAsia="Arial" w:hAnsi="Arial"/>
                <w:sz w:val="18"/>
                <w:szCs w:val="18"/>
                <w:color w:val="auto"/>
              </w:rPr>
              <w:t>_____________</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______________</w:t>
            </w:r>
          </w:p>
        </w:tc>
      </w:tr>
      <w:tr>
        <w:trPr>
          <w:trHeight w:val="216"/>
        </w:trPr>
        <w:tc>
          <w:tcPr>
            <w:tcW w:w="1240" w:type="dxa"/>
            <w:vAlign w:val="bottom"/>
          </w:tcPr>
          <w:p>
            <w:pPr>
              <w:spacing w:after="0"/>
              <w:rPr>
                <w:sz w:val="18"/>
                <w:szCs w:val="18"/>
                <w:color w:val="auto"/>
              </w:rPr>
            </w:pPr>
          </w:p>
        </w:tc>
        <w:tc>
          <w:tcPr>
            <w:tcW w:w="3320" w:type="dxa"/>
            <w:vAlign w:val="bottom"/>
            <w:gridSpan w:val="2"/>
          </w:tcPr>
          <w:p>
            <w:pPr>
              <w:jc w:val="center"/>
              <w:ind w:right="410"/>
              <w:spacing w:after="0"/>
              <w:rPr>
                <w:sz w:val="20"/>
                <w:szCs w:val="20"/>
                <w:color w:val="auto"/>
              </w:rPr>
            </w:pPr>
            <w:r>
              <w:rPr>
                <w:rFonts w:ascii="Arial" w:cs="Arial" w:eastAsia="Arial" w:hAnsi="Arial"/>
                <w:sz w:val="18"/>
                <w:szCs w:val="18"/>
                <w:color w:val="auto"/>
                <w:w w:val="92"/>
              </w:rPr>
              <w:t>(State or other jurisdiction</w:t>
            </w:r>
          </w:p>
        </w:tc>
        <w:tc>
          <w:tcPr>
            <w:tcW w:w="40" w:type="dxa"/>
            <w:vAlign w:val="bottom"/>
          </w:tcPr>
          <w:p>
            <w:pPr>
              <w:spacing w:after="0"/>
              <w:rPr>
                <w:sz w:val="18"/>
                <w:szCs w:val="18"/>
                <w:color w:val="auto"/>
              </w:rPr>
            </w:pPr>
          </w:p>
        </w:tc>
        <w:tc>
          <w:tcPr>
            <w:tcW w:w="2980" w:type="dxa"/>
            <w:vAlign w:val="bottom"/>
            <w:gridSpan w:val="2"/>
          </w:tcPr>
          <w:p>
            <w:pPr>
              <w:ind w:left="900"/>
              <w:spacing w:after="0"/>
              <w:rPr>
                <w:sz w:val="20"/>
                <w:szCs w:val="20"/>
                <w:color w:val="auto"/>
              </w:rPr>
            </w:pPr>
            <w:r>
              <w:rPr>
                <w:rFonts w:ascii="Arial" w:cs="Arial" w:eastAsia="Arial" w:hAnsi="Arial"/>
                <w:sz w:val="18"/>
                <w:szCs w:val="18"/>
                <w:color w:val="auto"/>
              </w:rPr>
              <w:t>(Commission</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1240" w:type="dxa"/>
            <w:vAlign w:val="bottom"/>
          </w:tcPr>
          <w:p>
            <w:pPr>
              <w:spacing w:after="0"/>
              <w:rPr>
                <w:sz w:val="20"/>
                <w:szCs w:val="20"/>
                <w:color w:val="auto"/>
              </w:rPr>
            </w:pPr>
          </w:p>
        </w:tc>
        <w:tc>
          <w:tcPr>
            <w:tcW w:w="3320" w:type="dxa"/>
            <w:vAlign w:val="bottom"/>
            <w:gridSpan w:val="2"/>
          </w:tcPr>
          <w:p>
            <w:pPr>
              <w:jc w:val="center"/>
              <w:ind w:right="410"/>
              <w:spacing w:after="0"/>
              <w:rPr>
                <w:sz w:val="20"/>
                <w:szCs w:val="20"/>
                <w:color w:val="auto"/>
              </w:rPr>
            </w:pPr>
            <w:r>
              <w:rPr>
                <w:rFonts w:ascii="Arial" w:cs="Arial" w:eastAsia="Arial" w:hAnsi="Arial"/>
                <w:sz w:val="18"/>
                <w:szCs w:val="18"/>
                <w:color w:val="auto"/>
                <w:w w:val="93"/>
              </w:rPr>
              <w:t>of incorporation)</w:t>
            </w:r>
          </w:p>
        </w:tc>
        <w:tc>
          <w:tcPr>
            <w:tcW w:w="40" w:type="dxa"/>
            <w:vAlign w:val="bottom"/>
          </w:tcPr>
          <w:p>
            <w:pPr>
              <w:spacing w:after="0"/>
              <w:rPr>
                <w:sz w:val="20"/>
                <w:szCs w:val="20"/>
                <w:color w:val="auto"/>
              </w:rPr>
            </w:pPr>
          </w:p>
        </w:tc>
        <w:tc>
          <w:tcPr>
            <w:tcW w:w="2980" w:type="dxa"/>
            <w:vAlign w:val="bottom"/>
            <w:gridSpan w:val="2"/>
          </w:tcPr>
          <w:p>
            <w:pPr>
              <w:ind w:left="900"/>
              <w:spacing w:after="0"/>
              <w:rPr>
                <w:sz w:val="20"/>
                <w:szCs w:val="20"/>
                <w:color w:val="auto"/>
              </w:rPr>
            </w:pPr>
            <w:r>
              <w:rPr>
                <w:rFonts w:ascii="Arial" w:cs="Arial" w:eastAsia="Arial" w:hAnsi="Arial"/>
                <w:sz w:val="18"/>
                <w:szCs w:val="18"/>
                <w:color w:val="auto"/>
              </w:rPr>
              <w:t>File Number)</w:t>
            </w: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5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12367 Crosthwaite Circle, Poway, California</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92064</w:t>
            </w:r>
          </w:p>
        </w:tc>
      </w:tr>
      <w:tr>
        <w:trPr>
          <w:trHeight w:val="216"/>
        </w:trPr>
        <w:tc>
          <w:tcPr>
            <w:tcW w:w="4560" w:type="dxa"/>
            <w:vAlign w:val="bottom"/>
            <w:gridSpan w:val="3"/>
          </w:tcPr>
          <w:p>
            <w:pPr>
              <w:jc w:val="right"/>
              <w:ind w:right="330"/>
              <w:spacing w:after="0"/>
              <w:rPr>
                <w:sz w:val="20"/>
                <w:szCs w:val="20"/>
                <w:color w:val="auto"/>
              </w:rPr>
            </w:pPr>
            <w:r>
              <w:rPr>
                <w:rFonts w:ascii="Arial" w:cs="Arial" w:eastAsia="Arial" w:hAnsi="Arial"/>
                <w:sz w:val="18"/>
                <w:szCs w:val="18"/>
                <w:color w:val="auto"/>
              </w:rPr>
              <w:t>_________________________________</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___________</w:t>
            </w:r>
          </w:p>
        </w:tc>
      </w:tr>
      <w:tr>
        <w:trPr>
          <w:trHeight w:val="230"/>
        </w:trPr>
        <w:tc>
          <w:tcPr>
            <w:tcW w:w="4560" w:type="dxa"/>
            <w:vAlign w:val="bottom"/>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45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Registrant’s telephone number, including area code:</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858-848-8100</w:t>
            </w:r>
          </w:p>
        </w:tc>
      </w:tr>
      <w:tr>
        <w:trPr>
          <w:trHeight w:val="418"/>
        </w:trPr>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Not Applicable</w:t>
            </w:r>
          </w:p>
        </w:tc>
        <w:tc>
          <w:tcPr>
            <w:tcW w:w="2820" w:type="dxa"/>
            <w:vAlign w:val="bottom"/>
          </w:tcPr>
          <w:p>
            <w:pPr>
              <w:spacing w:after="0"/>
              <w:rPr>
                <w:sz w:val="24"/>
                <w:szCs w:val="24"/>
                <w:color w:val="auto"/>
              </w:rPr>
            </w:pPr>
          </w:p>
        </w:tc>
      </w:tr>
      <w:tr>
        <w:trPr>
          <w:trHeight w:val="216"/>
        </w:trPr>
        <w:tc>
          <w:tcPr>
            <w:tcW w:w="10400" w:type="dxa"/>
            <w:vAlign w:val="bottom"/>
            <w:gridSpan w:val="7"/>
          </w:tcPr>
          <w:p>
            <w:pPr>
              <w:jc w:val="center"/>
              <w:ind w:left="770"/>
              <w:spacing w:after="0"/>
              <w:rPr>
                <w:sz w:val="20"/>
                <w:szCs w:val="20"/>
                <w:color w:val="auto"/>
              </w:rPr>
            </w:pPr>
            <w:r>
              <w:rPr>
                <w:rFonts w:ascii="Arial" w:cs="Arial" w:eastAsia="Arial" w:hAnsi="Arial"/>
                <w:sz w:val="18"/>
                <w:szCs w:val="18"/>
                <w:color w:val="auto"/>
                <w:w w:val="89"/>
              </w:rPr>
              <w:t>______________________________________________</w:t>
            </w:r>
          </w:p>
        </w:tc>
      </w:tr>
      <w:tr>
        <w:trPr>
          <w:trHeight w:val="230"/>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0" w:type="dxa"/>
            <w:vAlign w:val="bottom"/>
            <w:gridSpan w:val="5"/>
          </w:tcPr>
          <w:p>
            <w:pPr>
              <w:jc w:val="center"/>
              <w:ind w:right="165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91"/>
        </w:trPr>
        <w:tc>
          <w:tcPr>
            <w:tcW w:w="1240" w:type="dxa"/>
            <w:vAlign w:val="bottom"/>
          </w:tcPr>
          <w:p>
            <w:pPr>
              <w:spacing w:after="0"/>
              <w:rPr>
                <w:sz w:val="24"/>
                <w:szCs w:val="24"/>
                <w:color w:val="auto"/>
              </w:rPr>
            </w:pPr>
          </w:p>
        </w:tc>
        <w:tc>
          <w:tcPr>
            <w:tcW w:w="3320" w:type="dxa"/>
            <w:vAlign w:val="bottom"/>
            <w:gridSpan w:val="2"/>
          </w:tcPr>
          <w:p>
            <w:pPr>
              <w:jc w:val="center"/>
              <w:ind w:right="1870"/>
              <w:spacing w:after="0"/>
              <w:rPr>
                <w:sz w:val="20"/>
                <w:szCs w:val="20"/>
                <w:color w:val="auto"/>
              </w:rPr>
            </w:pPr>
            <w:r>
              <w:rPr>
                <w:rFonts w:ascii="Arial" w:cs="Arial" w:eastAsia="Arial" w:hAnsi="Arial"/>
                <w:sz w:val="18"/>
                <w:szCs w:val="18"/>
                <w:color w:val="auto"/>
                <w:w w:val="90"/>
              </w:rPr>
              <w:t>Title of Each Class</w:t>
            </w:r>
          </w:p>
        </w:tc>
        <w:tc>
          <w:tcPr>
            <w:tcW w:w="3020" w:type="dxa"/>
            <w:vAlign w:val="bottom"/>
            <w:gridSpan w:val="3"/>
          </w:tcPr>
          <w:p>
            <w:pPr>
              <w:jc w:val="center"/>
              <w:ind w:right="1580"/>
              <w:spacing w:after="0"/>
              <w:rPr>
                <w:sz w:val="20"/>
                <w:szCs w:val="20"/>
                <w:color w:val="auto"/>
              </w:rPr>
            </w:pPr>
            <w:r>
              <w:rPr>
                <w:rFonts w:ascii="Arial" w:cs="Arial" w:eastAsia="Arial" w:hAnsi="Arial"/>
                <w:sz w:val="18"/>
                <w:szCs w:val="18"/>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560" w:type="dxa"/>
            <w:vAlign w:val="bottom"/>
            <w:gridSpan w:val="3"/>
          </w:tcPr>
          <w:p>
            <w:pPr>
              <w:jc w:val="center"/>
              <w:ind w:right="630"/>
              <w:spacing w:after="0"/>
              <w:rPr>
                <w:sz w:val="20"/>
                <w:szCs w:val="20"/>
                <w:color w:val="auto"/>
              </w:rPr>
            </w:pPr>
            <w:r>
              <w:rPr>
                <w:rFonts w:ascii="Arial" w:cs="Arial" w:eastAsia="Arial" w:hAnsi="Arial"/>
                <w:sz w:val="18"/>
                <w:szCs w:val="18"/>
                <w:color w:val="auto"/>
                <w:w w:val="90"/>
              </w:rPr>
              <w:t>Common Stock, $1.00 par value</w:t>
            </w:r>
          </w:p>
        </w:tc>
        <w:tc>
          <w:tcPr>
            <w:tcW w:w="40" w:type="dxa"/>
            <w:vAlign w:val="bottom"/>
          </w:tcPr>
          <w:p>
            <w:pPr>
              <w:spacing w:after="0"/>
              <w:rPr>
                <w:sz w:val="20"/>
                <w:szCs w:val="20"/>
                <w:color w:val="auto"/>
              </w:rPr>
            </w:pPr>
          </w:p>
        </w:tc>
        <w:tc>
          <w:tcPr>
            <w:tcW w:w="2980" w:type="dxa"/>
            <w:vAlign w:val="bottom"/>
            <w:gridSpan w:val="2"/>
          </w:tcPr>
          <w:p>
            <w:pPr>
              <w:jc w:val="center"/>
              <w:ind w:right="1600"/>
              <w:spacing w:after="0"/>
              <w:rPr>
                <w:sz w:val="20"/>
                <w:szCs w:val="20"/>
                <w:color w:val="auto"/>
              </w:rPr>
            </w:pPr>
            <w:r>
              <w:rPr>
                <w:rFonts w:ascii="Arial" w:cs="Arial" w:eastAsia="Arial" w:hAnsi="Arial"/>
                <w:sz w:val="18"/>
                <w:szCs w:val="18"/>
                <w:color w:val="auto"/>
                <w:w w:val="94"/>
              </w:rPr>
              <w:t>COHU</w:t>
            </w: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April 29, 2021, Cohu, Inc. (the “Company”) issued a press release regarding its financial results for the first quarter ended March 27, 2021. The Company’s press release is attached as Exhibit 99.1 to this Current Report on Form 8-K and incorporated by reference herein.</w:t>
      </w:r>
    </w:p>
    <w:p>
      <w:pPr>
        <w:spacing w:after="0" w:line="14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Included within this current report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employer payroll taxes related to accelerated vesting share-based awards, the amortization of purchased intangible assets, restructuring costs, manufacturing transition and severance costs, asset impairment charges, reduction of indemnification receivable, depreciation of purchase accounting adjustments to property, plant and equipment,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current report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statements contained in this current report and accompanying materials may be considered forward-looking statements within the meaning of the U.S. Private Securities Litigation Reform Act of 1995, including statements regarding the business benefiting from new semiconductor product designs, strength continuing across all major markets, robust automotive demand, driven by xEV and ADAS technologies, continued mobility expansion with 5G proliferation, our commitment to reducing direct energy consumption and further improving our corporate ESG programs, any comments on Cohu’s FY 2021 outlook or growth, second half 2021 outlook, target financial model for FY’21, % of incremental revenue expected to fall to operating income, debt deleveraging priority, Cohu’s second quarter 2021 sales forecast, guidance, sales mix, non-GAAP operating expenses, gross margin, adjusted EBITDA, effective tax rate, free cash flow, cap ex,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component, logistics and labor costs that are materially increasing due to COVID-19 constraints, commodity costs, availability of direct labor, increased demand and other factors;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and printed circuit board (“PCB”) test industries are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automated test equipment and PCB test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Exhibit No.</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220" w:type="dxa"/>
            <w:vAlign w:val="bottom"/>
            <w:vMerge w:val="continue"/>
          </w:tcPr>
          <w:p>
            <w:pPr>
              <w:spacing w:after="0"/>
              <w:rPr>
                <w:sz w:val="14"/>
                <w:szCs w:val="14"/>
                <w:color w:val="auto"/>
              </w:rPr>
            </w:pPr>
          </w:p>
        </w:tc>
        <w:tc>
          <w:tcPr>
            <w:tcW w:w="5240" w:type="dxa"/>
            <w:vAlign w:val="bottom"/>
            <w:tcBorders>
              <w:bottom w:val="single" w:sz="8" w:color="0000EE"/>
            </w:tcBorders>
          </w:tcPr>
          <w:p>
            <w:pPr>
              <w:spacing w:after="0" w:line="16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First Quarter 2021 Earnings Release, dated April 29, 2021, of Cohu, Inc.</w:t>
              </w:r>
            </w:hyperlink>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74"/>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380" w:val="left"/>
          <w:tab w:leader="none" w:pos="6040" w:val="left"/>
        </w:tabs>
        <w:rPr>
          <w:sz w:val="20"/>
          <w:szCs w:val="20"/>
          <w:color w:val="auto"/>
        </w:rPr>
      </w:pPr>
      <w:r>
        <w:rPr>
          <w:rFonts w:ascii="Arial" w:cs="Arial" w:eastAsia="Arial" w:hAnsi="Arial"/>
          <w:sz w:val="18"/>
          <w:szCs w:val="18"/>
          <w:color w:val="auto"/>
        </w:rPr>
        <w:t>April 29,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Jeffrey D. Jones</w:t>
      </w:r>
    </w:p>
    <w:p>
      <w:pPr>
        <w:spacing w:after="0" w:line="23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3926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9220" w:type="dxa"/>
            <w:vAlign w:val="bottom"/>
          </w:tcPr>
          <w:p>
            <w:pPr>
              <w:ind w:left="3120"/>
              <w:spacing w:after="0"/>
              <w:rPr>
                <w:sz w:val="20"/>
                <w:szCs w:val="20"/>
                <w:color w:val="auto"/>
              </w:rPr>
            </w:pPr>
            <w:r>
              <w:rPr>
                <w:rFonts w:ascii="Arial" w:cs="Arial" w:eastAsia="Arial" w:hAnsi="Arial"/>
                <w:sz w:val="18"/>
                <w:szCs w:val="18"/>
                <w:color w:val="auto"/>
              </w:rPr>
              <w:t>Exhibit Index</w:t>
            </w:r>
          </w:p>
        </w:tc>
      </w:tr>
      <w:tr>
        <w:trPr>
          <w:trHeight w:val="648"/>
        </w:trPr>
        <w:tc>
          <w:tcPr>
            <w:tcW w:w="2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220" w:type="dxa"/>
            <w:vAlign w:val="bottom"/>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0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18"/>
                <w:szCs w:val="18"/>
                <w:color w:val="auto"/>
              </w:rPr>
            </w:pPr>
          </w:p>
        </w:tc>
      </w:tr>
      <w:tr>
        <w:trPr>
          <w:trHeight w:val="195"/>
        </w:trPr>
        <w:tc>
          <w:tcPr>
            <w:tcW w:w="202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9220" w:type="dxa"/>
            <w:vAlign w:val="bottom"/>
          </w:tcPr>
          <w:p>
            <w:pPr>
              <w:ind w:left="1120"/>
              <w:spacing w:after="0" w:line="195" w:lineRule="exact"/>
              <w:rPr>
                <w:sz w:val="20"/>
                <w:szCs w:val="20"/>
                <w:color w:val="auto"/>
              </w:rPr>
            </w:pPr>
            <w:r>
              <w:rPr>
                <w:rFonts w:ascii="Arial" w:cs="Arial" w:eastAsia="Arial" w:hAnsi="Arial"/>
                <w:sz w:val="18"/>
                <w:szCs w:val="18"/>
                <w:color w:val="auto"/>
              </w:rPr>
              <w:t>Description – First Quarter 2021 Earnings Release, dated April 29, 2021, of Cohu, Inc.</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104</w:t>
            </w:r>
          </w:p>
        </w:tc>
        <w:tc>
          <w:tcPr>
            <w:tcW w:w="9220" w:type="dxa"/>
            <w:vAlign w:val="bottom"/>
          </w:tcPr>
          <w:p>
            <w:pPr>
              <w:ind w:left="11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154305</wp:posOffset>
            </wp:positionV>
            <wp:extent cx="3137535" cy="1440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COHU, INC.</w:t>
      </w:r>
    </w:p>
    <w:p>
      <w:pPr>
        <w:spacing w:after="0" w:line="55"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12367 CROSTHWAITE CIRCLE</w:t>
      </w:r>
    </w:p>
    <w:p>
      <w:pPr>
        <w:spacing w:after="0" w:line="55"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POWAY, CA 92064</w:t>
      </w:r>
    </w:p>
    <w:p>
      <w:pPr>
        <w:spacing w:after="0" w:line="55"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FAX (858) 848-8185</w:t>
      </w:r>
    </w:p>
    <w:p>
      <w:pPr>
        <w:spacing w:after="0" w:line="55"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PHONE (858) 858-8100</w:t>
      </w:r>
    </w:p>
    <w:p>
      <w:pPr>
        <w:ind w:left="8740"/>
        <w:spacing w:after="0"/>
        <w:rPr>
          <w:sz w:val="20"/>
          <w:szCs w:val="20"/>
          <w:color w:val="auto"/>
        </w:rPr>
      </w:pPr>
      <w:r>
        <w:rPr>
          <w:rFonts w:ascii="Arial" w:cs="Arial" w:eastAsia="Arial" w:hAnsi="Arial"/>
          <w:sz w:val="14"/>
          <w:szCs w:val="14"/>
          <w:color w:val="auto"/>
        </w:rPr>
        <w:t>www.cohu.com</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First Quarter 2021 Results</w:t>
      </w:r>
    </w:p>
    <w:p>
      <w:pPr>
        <w:spacing w:after="0" w:line="229" w:lineRule="exact"/>
        <w:rPr>
          <w:sz w:val="20"/>
          <w:szCs w:val="20"/>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Record first quarter revenue $225.5 million, up 11.4% quarter-over-quarter</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Gross margin of 45.3%; non-GAAP gross margin of 45.6%</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Record orders driven by robust automotive segment demand and broad market strength</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Reduced outstanding Term Loan B debt by approximately $102 million during the quarter</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POWAY, Calif., April 29, 2021 -- Cohu, Inc. (NASDAQ: COHU), a global leader in back-end semiconductor equipment and services, today reported fiscal 2021 first quarter net sales of $225.5 million and GAAP income of $27.6 million or $0.61 per share. Cohu also reported first quarter 2021 non-GAAP income of $40.5 million or $0.89 per share. </w:t>
      </w:r>
      <w:r>
        <w:rPr>
          <w:rFonts w:ascii="Arial" w:cs="Arial" w:eastAsia="Arial" w:hAnsi="Arial"/>
          <w:sz w:val="29"/>
          <w:szCs w:val="29"/>
          <w:color w:val="auto"/>
          <w:vertAlign w:val="superscript"/>
        </w:rPr>
        <w:t>(1)</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52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29"/>
                <w:szCs w:val="29"/>
                <w:b w:val="1"/>
                <w:bCs w:val="1"/>
                <w:color w:val="auto"/>
                <w:vertAlign w:val="superscript"/>
              </w:rPr>
              <w:t>(1)</w:t>
            </w:r>
          </w:p>
        </w:tc>
        <w:tc>
          <w:tcPr>
            <w:tcW w:w="1900" w:type="dxa"/>
            <w:vAlign w:val="bottom"/>
            <w:tcBorders>
              <w:top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Q1 FY 2021</w:t>
            </w:r>
          </w:p>
        </w:tc>
        <w:tc>
          <w:tcPr>
            <w:tcW w:w="1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Q4 FY 2020</w:t>
            </w:r>
          </w:p>
        </w:tc>
        <w:tc>
          <w:tcPr>
            <w:tcW w:w="100" w:type="dxa"/>
            <w:vAlign w:val="bottom"/>
            <w:tcBorders>
              <w:top w:val="single" w:sz="8" w:color="auto"/>
            </w:tcBorders>
          </w:tcPr>
          <w:p>
            <w:pPr>
              <w:spacing w:after="0"/>
              <w:rPr>
                <w:sz w:val="24"/>
                <w:szCs w:val="24"/>
                <w:color w:val="auto"/>
              </w:rPr>
            </w:pPr>
          </w:p>
        </w:tc>
        <w:tc>
          <w:tcPr>
            <w:tcW w:w="2020" w:type="dxa"/>
            <w:vAlign w:val="bottom"/>
            <w:tcBorders>
              <w:top w:val="single" w:sz="8" w:color="auto"/>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Q1 FY 2020</w:t>
            </w:r>
          </w:p>
        </w:tc>
        <w:tc>
          <w:tcPr>
            <w:tcW w:w="0" w:type="dxa"/>
            <w:vAlign w:val="bottom"/>
          </w:tcPr>
          <w:p>
            <w:pPr>
              <w:spacing w:after="0"/>
              <w:rPr>
                <w:sz w:val="1"/>
                <w:szCs w:val="1"/>
                <w:color w:val="auto"/>
              </w:rPr>
            </w:pPr>
          </w:p>
        </w:tc>
      </w:tr>
      <w:tr>
        <w:trPr>
          <w:trHeight w:val="230"/>
        </w:trPr>
        <w:tc>
          <w:tcPr>
            <w:tcW w:w="5200" w:type="dxa"/>
            <w:vAlign w:val="bottom"/>
            <w:tcBorders>
              <w:left w:val="single" w:sz="8" w:color="auto"/>
            </w:tcBorders>
          </w:tcPr>
          <w:p>
            <w:pPr>
              <w:ind w:left="240"/>
              <w:spacing w:after="0"/>
              <w:rPr>
                <w:sz w:val="20"/>
                <w:szCs w:val="20"/>
                <w:color w:val="auto"/>
              </w:rPr>
            </w:pPr>
            <w:r>
              <w:rPr>
                <w:rFonts w:ascii="Arial" w:cs="Arial" w:eastAsia="Arial" w:hAnsi="Arial"/>
                <w:sz w:val="18"/>
                <w:szCs w:val="18"/>
                <w:i w:val="1"/>
                <w:iCs w:val="1"/>
                <w:color w:val="auto"/>
              </w:rPr>
              <w:t>(in millions, except per share amounts)</w:t>
            </w:r>
          </w:p>
        </w:tc>
        <w:tc>
          <w:tcPr>
            <w:tcW w:w="1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Borders>
              <w:left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$225.5</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$202.4</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$138.9</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 (loss)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$27.6</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3"/>
              </w:rPr>
              <w:t>$14.9</w:t>
            </w:r>
          </w:p>
        </w:tc>
        <w:tc>
          <w:tcPr>
            <w:tcW w:w="2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$(17.3)</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Income (loss) per share</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$0.61</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$0.34</w:t>
            </w:r>
          </w:p>
        </w:tc>
        <w:tc>
          <w:tcPr>
            <w:tcW w:w="20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$(0.42)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2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29"/>
                <w:szCs w:val="29"/>
                <w:b w:val="1"/>
                <w:bCs w:val="1"/>
                <w:color w:val="auto"/>
                <w:vertAlign w:val="superscript"/>
              </w:rPr>
              <w:t>(1)</w:t>
            </w:r>
          </w:p>
        </w:tc>
        <w:tc>
          <w:tcPr>
            <w:tcW w:w="19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Q1 FY 2021</w:t>
            </w:r>
          </w:p>
        </w:tc>
        <w:tc>
          <w:tcPr>
            <w:tcW w:w="120" w:type="dxa"/>
            <w:vAlign w:val="bottom"/>
          </w:tcPr>
          <w:p>
            <w:pPr>
              <w:spacing w:after="0"/>
              <w:rPr>
                <w:sz w:val="24"/>
                <w:szCs w:val="24"/>
                <w:color w:val="auto"/>
              </w:rPr>
            </w:pPr>
          </w:p>
        </w:tc>
        <w:tc>
          <w:tcPr>
            <w:tcW w:w="19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Q4 FY 2020</w:t>
            </w:r>
          </w:p>
        </w:tc>
        <w:tc>
          <w:tcPr>
            <w:tcW w:w="100" w:type="dxa"/>
            <w:vAlign w:val="bottom"/>
          </w:tcPr>
          <w:p>
            <w:pPr>
              <w:spacing w:after="0"/>
              <w:rPr>
                <w:sz w:val="24"/>
                <w:szCs w:val="24"/>
                <w:color w:val="auto"/>
              </w:rPr>
            </w:pPr>
          </w:p>
        </w:tc>
        <w:tc>
          <w:tcPr>
            <w:tcW w:w="202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Q1 FY 2020</w:t>
            </w:r>
          </w:p>
        </w:tc>
        <w:tc>
          <w:tcPr>
            <w:tcW w:w="0" w:type="dxa"/>
            <w:vAlign w:val="bottom"/>
          </w:tcPr>
          <w:p>
            <w:pPr>
              <w:spacing w:after="0"/>
              <w:rPr>
                <w:sz w:val="1"/>
                <w:szCs w:val="1"/>
                <w:color w:val="auto"/>
              </w:rPr>
            </w:pPr>
          </w:p>
        </w:tc>
      </w:tr>
      <w:tr>
        <w:trPr>
          <w:trHeight w:val="230"/>
        </w:trPr>
        <w:tc>
          <w:tcPr>
            <w:tcW w:w="5200" w:type="dxa"/>
            <w:vAlign w:val="bottom"/>
            <w:tcBorders>
              <w:left w:val="single" w:sz="8" w:color="auto"/>
            </w:tcBorders>
          </w:tcPr>
          <w:p>
            <w:pPr>
              <w:ind w:left="240"/>
              <w:spacing w:after="0"/>
              <w:rPr>
                <w:sz w:val="20"/>
                <w:szCs w:val="20"/>
                <w:color w:val="auto"/>
              </w:rPr>
            </w:pPr>
            <w:r>
              <w:rPr>
                <w:rFonts w:ascii="Arial" w:cs="Arial" w:eastAsia="Arial" w:hAnsi="Arial"/>
                <w:sz w:val="18"/>
                <w:szCs w:val="18"/>
                <w:i w:val="1"/>
                <w:iCs w:val="1"/>
                <w:color w:val="auto"/>
              </w:rPr>
              <w:t>(in millions, except per share amounts)</w:t>
            </w:r>
          </w:p>
        </w:tc>
        <w:tc>
          <w:tcPr>
            <w:tcW w:w="1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$40.5</w:t>
            </w:r>
          </w:p>
        </w:tc>
        <w:tc>
          <w:tcPr>
            <w:tcW w:w="2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3"/>
              </w:rPr>
              <w:t>$31.8</w:t>
            </w:r>
          </w:p>
        </w:tc>
        <w:tc>
          <w:tcPr>
            <w:tcW w:w="20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$0.1</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Income per share</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$0.89</w:t>
            </w:r>
          </w:p>
        </w:tc>
        <w:tc>
          <w:tcPr>
            <w:tcW w:w="202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$0.73</w:t>
            </w:r>
          </w:p>
        </w:tc>
        <w:tc>
          <w:tcPr>
            <w:tcW w:w="202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$0.00</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Total cash and investments at the end of first quarter 2021 were $291.0 million. As previously announced, in March 2021, Cohu closed an underwritten public offering totaling 5,692,500 shares of its common stock at $41.00 per share, raising net proceeds of approximately $223.1 million, after deducting underwriting discounts and commissions and offering expenses.</w:t>
      </w:r>
    </w:p>
    <w:p>
      <w:pPr>
        <w:spacing w:after="0" w:line="18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“Cohu had record first quarter orders and revenue with strength continuing across all major markets. Recurring business is benefiting from new semiconductor product designs driving a 14% contactor revenue growth quarter-over-quarter. The systems business is experiencing robust automotive demand, driven by xEV and ADAS technologies, and continued mobility expansion with 5G proliferation,” said Cohu President and CEO Luis Müller. “We are proud to grow revenue and profitability while maintaining our commitment to reducing direct energy consumption and further improving our corporate ESG programs.”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Cohu expects second quarter 2021 sales to be between $234 million and $250 million, up 7% quarter-over-quarter at the mid-point of guidance.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will host a live conference call and webcast with slides to discuss first quarter 2021 results at 5:30 a.m. Pacific Time/8:30 a.m. Eastern Time on April 29, 2021. Interested investors and analysts are invited to dial into the conference call by using 1-866-434-5330 (domestic) or +1-213-660-0873 (international) and entering the pass code 6397776. Webcast access will be available on the Investor Information section of the Company’s website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and printed circuit boards. Additional information can be found at www.cohu.com.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employer payroll taxes related to accelerated vesting share-based awards, the amortization of purchased intangible assets, restructuring costs, manufacturing transition and severance costs, asset impairment charges, reduction of indemnification receivable, depreciation of purchase accounting adjustments to property, plant and equipment, amortization of cloud-based software implementation costs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and loss on extinguishment of debt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the business benefiting from new semiconductor product designs, strength continuing across all major markets, robust automotive demand, driven by xEV and ADAS technologies, continued mobility expansion with 5G proliferation, our commitment to reducing direct energy consumption and further improving our corporate ESG programs, any comments on Cohu’s FY 2021 outlook or growth, second half 2021 outlook, target financial model for FY’21, % of incremental revenue expected to fall to operating income, debt deleveraging priority, Cohu’s second quarter 2021 sales forecast, guidance, sales mix, non-GAAP operating expenses, gross margin, adjusted EBITDA, effective tax rate, free cash flow, cap ex,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component, logistics and labor costs that are materially increasing due to COVID-19 constraints, commodity costs, availability of direct labor, increased demand and other factors;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and printed circuit board (“PCB”) test industries are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automated test equipment and PCB test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29"/>
                <w:szCs w:val="29"/>
                <w:color w:val="auto"/>
                <w:vertAlign w:val="superscript"/>
              </w:rPr>
              <w:t>(1)</w:t>
            </w:r>
          </w:p>
        </w:tc>
      </w:t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March 28,</w:t>
            </w:r>
          </w:p>
        </w:tc>
      </w:tr>
      <w:tr>
        <w:trPr>
          <w:trHeight w:val="234"/>
        </w:trPr>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225,488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138,921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123,283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82,837</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22,468</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33,352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9,538</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r>
      <w:tr>
        <w:trPr>
          <w:trHeight w:val="216"/>
        </w:trPr>
        <w:tc>
          <w:tcPr>
            <w:tcW w:w="79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8"/>
                <w:szCs w:val="18"/>
                <w:color w:val="auto"/>
              </w:rPr>
            </w:pPr>
          </w:p>
        </w:tc>
      </w:tr>
      <w:tr>
        <w:trPr>
          <w:trHeight w:val="209"/>
        </w:trPr>
        <w:tc>
          <w:tcPr>
            <w:tcW w:w="7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189,758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(13,626)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(4,427)</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Foreign transaction loss</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r>
      <w:tr>
        <w:trPr>
          <w:trHeight w:val="216"/>
        </w:trPr>
        <w:tc>
          <w:tcPr>
            <w:tcW w:w="79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(18,310)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r>
      <w:tr>
        <w:trPr>
          <w:trHeight w:val="20"/>
        </w:trPr>
        <w:tc>
          <w:tcPr>
            <w:tcW w:w="7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27,607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(17,318)</w:t>
            </w:r>
          </w:p>
        </w:tc>
      </w:tr>
      <w:tr>
        <w:trPr>
          <w:trHeight w:val="216"/>
        </w:trPr>
        <w:tc>
          <w:tcPr>
            <w:tcW w:w="7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27,607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(17,276)</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per share: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r>
      <w:tr>
        <w:trPr>
          <w:trHeight w:val="249"/>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r>
      <w:tr>
        <w:trPr>
          <w:trHeight w:val="197"/>
        </w:trPr>
        <w:tc>
          <w:tcPr>
            <w:tcW w:w="7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9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Weighted average shares used in computing income (loss) per share: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43,756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41,502</w:t>
            </w:r>
          </w:p>
        </w:tc>
      </w:tr>
      <w:tr>
        <w:trPr>
          <w:trHeight w:val="20"/>
        </w:trPr>
        <w:tc>
          <w:tcPr>
            <w:tcW w:w="7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45,482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41,502</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15" w:lineRule="exact"/>
        <w:rPr>
          <w:sz w:val="20"/>
          <w:szCs w:val="20"/>
          <w:color w:val="auto"/>
        </w:rPr>
      </w:pPr>
    </w:p>
    <w:p>
      <w:pPr>
        <w:ind w:left="500" w:hanging="317"/>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three- month periods ended March 27, 2021 and March 28, 2020 were both comprised of 13 weeks.</w:t>
      </w:r>
    </w:p>
    <w:p>
      <w:pPr>
        <w:spacing w:after="0" w:line="23" w:lineRule="exact"/>
        <w:rPr>
          <w:rFonts w:ascii="Arial" w:cs="Arial" w:eastAsia="Arial" w:hAnsi="Arial"/>
          <w:sz w:val="18"/>
          <w:szCs w:val="18"/>
          <w:color w:val="auto"/>
        </w:rPr>
      </w:pPr>
    </w:p>
    <w:p>
      <w:pPr>
        <w:ind w:left="500" w:right="400" w:hanging="317"/>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three-month period ended March 28, 2020 we recorded impairment charges to write certain of our in-process research and development assets (“IPR&amp;D”) obtained as part of our acquisition of Xcerra down to current estimated fair values.</w:t>
      </w:r>
    </w:p>
    <w:p>
      <w:pPr>
        <w:jc w:val="both"/>
        <w:ind w:left="500" w:hanging="317"/>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Utilizing a portion of the proceeds from the underwritten public offering discussed above in March 2021 the Company made a $100 million payment to reduce its outstanding Term Loan B debt. Loss on extinguishment of debt is the net result after any cash gain is offset by the required reduction in our capitalized debt issuance costs and original issuance discounts.</w:t>
      </w:r>
    </w:p>
    <w:p>
      <w:pPr>
        <w:spacing w:after="0" w:line="1" w:lineRule="exact"/>
        <w:rPr>
          <w:rFonts w:ascii="Arial" w:cs="Arial" w:eastAsia="Arial" w:hAnsi="Arial"/>
          <w:sz w:val="18"/>
          <w:szCs w:val="18"/>
          <w:color w:val="auto"/>
        </w:rPr>
      </w:pPr>
    </w:p>
    <w:p>
      <w:pPr>
        <w:ind w:left="500" w:right="140" w:hanging="317"/>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operating results of the fixtures business have been presented as discontinued operations. The sale of this business was completed in February 2020.</w:t>
      </w:r>
    </w:p>
    <w:p>
      <w:pPr>
        <w:ind w:left="500" w:right="40" w:hanging="317"/>
        <w:spacing w:after="0" w:line="271"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three-month period ended March 28, 2020, potentially dilutive securities were excluded from the per share computation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27,</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26,</w:t>
            </w:r>
          </w:p>
        </w:tc>
      </w:tr>
      <w:tr>
        <w:trPr>
          <w:trHeight w:val="234"/>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Cash and investments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291,045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170,027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196,755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151,919</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142,500</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27,047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675,718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485,046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65,776</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66,916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221,378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233,685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29,917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1,258,755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1,090,346</w:t>
            </w:r>
          </w:p>
        </w:tc>
      </w:tr>
      <w:tr>
        <w:trPr>
          <w:trHeight w:val="196"/>
        </w:trPr>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3,833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12,955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8,671</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186,227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157,393</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208,033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174,453</w:t>
            </w:r>
          </w:p>
        </w:tc>
      </w:tr>
      <w:tr>
        <w:trPr>
          <w:trHeight w:val="216"/>
        </w:trPr>
        <w:tc>
          <w:tcPr>
            <w:tcW w:w="7860" w:type="dxa"/>
            <w:vAlign w:val="bottom"/>
          </w:tcPr>
          <w:p>
            <w:pPr>
              <w:spacing w:after="0" w:line="216"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211,182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311,551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26,251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63,815</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66,267</w:t>
            </w:r>
          </w:p>
        </w:tc>
      </w:tr>
      <w:tr>
        <w:trPr>
          <w:trHeight w:val="216"/>
        </w:trPr>
        <w:tc>
          <w:tcPr>
            <w:tcW w:w="786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Cohu stockholders’ equity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749,474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1,258,755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right="100" w:hanging="317"/>
        <w:spacing w:after="0" w:line="275"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March 8, 2021, the Company closed an underwritten public offering of 4,950,000 shares of its common stock at $41.00 per share. As part of the transaction the underwriters were also granted a 30-day option to purchase up to an aggregate of 742,500 additional shares of common stock to cover over-allotments which they exercised on March 11, 2021. The offering, and the follow-on option to sell additional shares, resulted in net proceeds of approximately $223.1 million, after deducting underwriting discounts and commissions and offering expenses. All of the shares were sold pursuant to an effective shelf registration statement previously filed with the SEC.</w:t>
      </w:r>
    </w:p>
    <w:p>
      <w:pPr>
        <w:spacing w:after="0" w:line="176" w:lineRule="exact"/>
        <w:rPr>
          <w:rFonts w:ascii="Arial" w:cs="Arial" w:eastAsia="Arial" w:hAnsi="Arial"/>
          <w:sz w:val="17"/>
          <w:szCs w:val="17"/>
          <w:color w:val="auto"/>
        </w:rPr>
      </w:pPr>
    </w:p>
    <w:p>
      <w:pPr>
        <w:ind w:left="500" w:hanging="317"/>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Utilizing a portion of the proceeds from the underwritten public offering discussed above in March 2021 the Company made a $100 million payment to reduce its outstanding Term Loan B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-1125220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December 26,</w:t>
            </w:r>
          </w:p>
        </w:tc>
        <w:tc>
          <w:tcPr>
            <w:tcW w:w="2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March 28,</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9,898</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6,223</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SG&amp;A</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(g)</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Reduction of indemnification receivable included in SG&amp;A (h)</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Payroll taxes related to accelerated vesting of share-based awards included in</w:t>
            </w:r>
          </w:p>
        </w:tc>
        <w:tc>
          <w:tcPr>
            <w:tcW w:w="2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SG&amp;A (i)</w:t>
            </w:r>
          </w:p>
        </w:tc>
        <w:tc>
          <w:tcPr>
            <w:tcW w:w="2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Income from operations - non-GAAP basis (j)</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50,682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39,275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27,607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14,861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(17,318)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Tax effect of non-GAAP adjustments (k)</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(3,556)</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40,514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continuing operations per share - diluted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and impairment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Employer payroll taxes related to accelerated vesting share-based awards is dependent on the Company’s stock price, the number of awards vested and tax regulations specific to the country in which the employee resides, over which management has limited to no control and, as such, management does not believe it correlates to the Company’s operation of the business. Impairment charges have been excluded as these amounts are infrequent and are unrelated to the operational performance of Cohu. Adjustments for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80"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15.8%, 9.3% and (9.8)%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pacing w:after="0" w:line="9" w:lineRule="exact"/>
        <w:rPr>
          <w:rFonts w:ascii="Arial" w:cs="Arial" w:eastAsia="Arial" w:hAnsi="Arial"/>
          <w:sz w:val="18"/>
          <w:szCs w:val="18"/>
          <w:color w:val="auto"/>
        </w:rPr>
      </w:pPr>
    </w:p>
    <w:p>
      <w:pPr>
        <w:ind w:left="420" w:right="640" w:hanging="331"/>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22.5%, 19.4% and 4.2%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periods presented were computed using the number of GAAP diluted shares outstanding except the three months ended March 28, 2020 which</w:t>
      </w:r>
    </w:p>
    <w:p>
      <w:pPr>
        <w:sectPr>
          <w:pgSz w:w="11900" w:h="16838" w:orient="portrait"/>
          <w:cols w:equalWidth="0" w:num="1">
            <w:col w:w="11240"/>
          </w:cols>
          <w:pgMar w:left="320" w:top="580" w:right="339" w:bottom="0" w:gutter="0" w:footer="0" w:header="0"/>
        </w:sectPr>
      </w:pPr>
    </w:p>
    <w:bookmarkStart w:id="11" w:name="page12"/>
    <w:bookmarkEnd w:id="11"/>
    <w:p>
      <w:pPr>
        <w:spacing w:after="0" w:line="342" w:lineRule="auto"/>
        <w:rPr>
          <w:sz w:val="20"/>
          <w:szCs w:val="20"/>
          <w:color w:val="auto"/>
        </w:rPr>
      </w:pPr>
      <w:r>
        <w:rPr>
          <w:rFonts w:ascii="Arial" w:cs="Arial" w:eastAsia="Arial" w:hAnsi="Arial"/>
          <w:sz w:val="16"/>
          <w:szCs w:val="16"/>
          <w:color w:val="auto"/>
        </w:rPr>
        <w:t>was computed using 42,428 shares outstanding as the effect of dilutive securities was excluded from GAAP diluted common shares due to the reported net loss under GAAP, but are included for non-GAAP diluted common shares since the Company has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310515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740" w:top="125" w:right="9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March 27,</w:t>
            </w:r>
          </w:p>
        </w:tc>
        <w:tc>
          <w:tcPr>
            <w:tcW w:w="20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March 28,</w:t>
            </w:r>
          </w:p>
        </w:tc>
      </w:tr>
      <w:tr>
        <w:trPr>
          <w:trHeight w:val="230"/>
        </w:trPr>
        <w:tc>
          <w:tcPr>
            <w:tcW w:w="5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102,205</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91,241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56,084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 to cost of sales (as scheduled above)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Gross profit - Non-GAAP basis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102,867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90,969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57,899</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55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As a percentage of net sales: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28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Non-GAAP gross profit</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5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 - GAAP Basis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27,607</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(17,276)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4,427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Amortization of purchased intangible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9,898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9,538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3,416</w:t>
            </w:r>
          </w:p>
        </w:tc>
      </w:tr>
      <w:tr>
        <w:trPr>
          <w:trHeight w:val="216"/>
        </w:trPr>
        <w:tc>
          <w:tcPr>
            <w:tcW w:w="5520" w:type="dxa"/>
            <w:vAlign w:val="bottom"/>
          </w:tcPr>
          <w:p>
            <w:pPr>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non-GAAP adjustments (as scheduled above)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10,458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9,629</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53,968</w:t>
            </w:r>
          </w:p>
        </w:tc>
        <w:tc>
          <w:tcPr>
            <w:tcW w:w="3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8,758</w:t>
            </w:r>
          </w:p>
        </w:tc>
      </w:tr>
      <w:tr>
        <w:trPr>
          <w:trHeight w:val="196"/>
        </w:trPr>
        <w:tc>
          <w:tcPr>
            <w:tcW w:w="552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sales: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income (loss) attributable to Cohu - GAAP Basis</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Expense - GAAP basis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66,475</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72,467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69,710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Non-GAAP adjustments to operating expenses (as scheduled above)</w:t>
            </w:r>
          </w:p>
        </w:tc>
        <w:tc>
          <w:tcPr>
            <w:tcW w:w="28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(14,290)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(17,595)</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Operating Expenses - Non-GAAP basis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52,185</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51,694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52,115</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5"/>
        </w:trPr>
        <w:tc>
          <w:tcPr>
            <w:tcW w:w="5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Excludes amortization of $7,101, $7,541 and $7,266 for the three months ending March 27, 2021, December 26, 2020 and March 28, 2020,</w:t>
      </w:r>
    </w:p>
    <w:p>
      <w:pPr>
        <w:spacing w:after="0" w:line="3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respectively.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2021-04-29T07:07:46Z</dcterms:created>
  <dcterms:modified xsi:type="dcterms:W3CDTF">2021-04-29T07:07:46Z</dcterms:modified>
</cp:coreProperties>
</file>