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 2021</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(Exact name of registrant as specified in its charter)</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8"/>
        </w:trPr>
        <w:tc>
          <w:tcPr>
            <w:tcW w:w="1660" w:type="dxa"/>
            <w:vAlign w:val="bottom"/>
          </w:tcPr>
          <w:p>
            <w:pPr>
              <w:spacing w:after="0"/>
              <w:rPr>
                <w:sz w:val="24"/>
                <w:szCs w:val="24"/>
                <w:color w:val="auto"/>
              </w:rPr>
            </w:pPr>
          </w:p>
        </w:tc>
        <w:tc>
          <w:tcPr>
            <w:tcW w:w="3240" w:type="dxa"/>
            <w:vAlign w:val="bottom"/>
            <w:gridSpan w:val="2"/>
          </w:tcPr>
          <w:p>
            <w:pPr>
              <w:jc w:val="center"/>
              <w:ind w:right="2170"/>
              <w:spacing w:after="0"/>
              <w:rPr>
                <w:sz w:val="20"/>
                <w:szCs w:val="20"/>
                <w:color w:val="auto"/>
              </w:rPr>
            </w:pPr>
            <w:r>
              <w:rPr>
                <w:rFonts w:ascii="Arial" w:cs="Arial" w:eastAsia="Arial" w:hAnsi="Arial"/>
                <w:sz w:val="18"/>
                <w:szCs w:val="18"/>
                <w:color w:val="auto"/>
                <w:w w:val="92"/>
              </w:rPr>
              <w:t>Delaware</w:t>
            </w:r>
          </w:p>
        </w:tc>
        <w:tc>
          <w:tcPr>
            <w:tcW w:w="1920" w:type="dxa"/>
            <w:vAlign w:val="bottom"/>
            <w:gridSpan w:val="2"/>
          </w:tcPr>
          <w:p>
            <w:pPr>
              <w:jc w:val="right"/>
              <w:ind w:right="270"/>
              <w:spacing w:after="0"/>
              <w:rPr>
                <w:sz w:val="20"/>
                <w:szCs w:val="20"/>
                <w:color w:val="auto"/>
              </w:rPr>
            </w:pPr>
            <w:r>
              <w:rPr>
                <w:rFonts w:ascii="Arial" w:cs="Arial" w:eastAsia="Arial" w:hAnsi="Arial"/>
                <w:sz w:val="18"/>
                <w:szCs w:val="18"/>
                <w:color w:val="auto"/>
              </w:rPr>
              <w:t>001-04298</w:t>
            </w:r>
          </w:p>
        </w:tc>
        <w:tc>
          <w:tcPr>
            <w:tcW w:w="1040" w:type="dxa"/>
            <w:vAlign w:val="bottom"/>
          </w:tcPr>
          <w:p>
            <w:pPr>
              <w:spacing w:after="0"/>
              <w:rPr>
                <w:sz w:val="24"/>
                <w:szCs w:val="24"/>
                <w:color w:val="auto"/>
              </w:rPr>
            </w:pPr>
          </w:p>
        </w:tc>
        <w:tc>
          <w:tcPr>
            <w:tcW w:w="2360" w:type="dxa"/>
            <w:vAlign w:val="bottom"/>
            <w:gridSpan w:val="4"/>
          </w:tcPr>
          <w:p>
            <w:pPr>
              <w:jc w:val="center"/>
              <w:ind w:left="910"/>
              <w:spacing w:after="0"/>
              <w:rPr>
                <w:sz w:val="20"/>
                <w:szCs w:val="20"/>
                <w:color w:val="auto"/>
              </w:rPr>
            </w:pPr>
            <w:r>
              <w:rPr>
                <w:rFonts w:ascii="Arial" w:cs="Arial" w:eastAsia="Arial" w:hAnsi="Arial"/>
                <w:sz w:val="18"/>
                <w:szCs w:val="18"/>
                <w:color w:val="auto"/>
                <w:w w:val="91"/>
              </w:rPr>
              <w:t>95-1934119</w:t>
            </w:r>
          </w:p>
        </w:tc>
        <w:tc>
          <w:tcPr>
            <w:tcW w:w="200" w:type="dxa"/>
            <w:vAlign w:val="bottom"/>
          </w:tcPr>
          <w:p>
            <w:pPr>
              <w:spacing w:after="0"/>
              <w:rPr>
                <w:sz w:val="24"/>
                <w:szCs w:val="24"/>
                <w:color w:val="auto"/>
              </w:rPr>
            </w:pPr>
          </w:p>
        </w:tc>
      </w:tr>
      <w:tr>
        <w:trPr>
          <w:trHeight w:val="216"/>
        </w:trPr>
        <w:tc>
          <w:tcPr>
            <w:tcW w:w="4900" w:type="dxa"/>
            <w:vAlign w:val="bottom"/>
            <w:gridSpan w:val="3"/>
          </w:tcPr>
          <w:p>
            <w:pPr>
              <w:jc w:val="right"/>
              <w:ind w:right="1710"/>
              <w:spacing w:after="0"/>
              <w:rPr>
                <w:sz w:val="20"/>
                <w:szCs w:val="20"/>
                <w:color w:val="auto"/>
              </w:rPr>
            </w:pPr>
            <w:r>
              <w:rPr>
                <w:rFonts w:ascii="Arial" w:cs="Arial" w:eastAsia="Arial" w:hAnsi="Arial"/>
                <w:sz w:val="18"/>
                <w:szCs w:val="18"/>
                <w:color w:val="auto"/>
              </w:rPr>
              <w:t>_____________________</w:t>
            </w:r>
          </w:p>
        </w:tc>
        <w:tc>
          <w:tcPr>
            <w:tcW w:w="1920" w:type="dxa"/>
            <w:vAlign w:val="bottom"/>
            <w:gridSpan w:val="2"/>
          </w:tcPr>
          <w:p>
            <w:pPr>
              <w:jc w:val="right"/>
              <w:ind w:right="70"/>
              <w:spacing w:after="0"/>
              <w:rPr>
                <w:sz w:val="20"/>
                <w:szCs w:val="20"/>
                <w:color w:val="auto"/>
              </w:rPr>
            </w:pPr>
            <w:r>
              <w:rPr>
                <w:rFonts w:ascii="Arial" w:cs="Arial" w:eastAsia="Arial" w:hAnsi="Arial"/>
                <w:sz w:val="18"/>
                <w:szCs w:val="18"/>
                <w:color w:val="auto"/>
              </w:rPr>
              <w:t>_____________</w:t>
            </w:r>
          </w:p>
        </w:tc>
        <w:tc>
          <w:tcPr>
            <w:tcW w:w="1040" w:type="dxa"/>
            <w:vAlign w:val="bottom"/>
          </w:tcPr>
          <w:p>
            <w:pPr>
              <w:spacing w:after="0"/>
              <w:rPr>
                <w:sz w:val="18"/>
                <w:szCs w:val="18"/>
                <w:color w:val="auto"/>
              </w:rPr>
            </w:pPr>
          </w:p>
        </w:tc>
        <w:tc>
          <w:tcPr>
            <w:tcW w:w="2360" w:type="dxa"/>
            <w:vAlign w:val="bottom"/>
            <w:gridSpan w:val="4"/>
          </w:tcPr>
          <w:p>
            <w:pPr>
              <w:jc w:val="center"/>
              <w:ind w:left="890"/>
              <w:spacing w:after="0"/>
              <w:rPr>
                <w:sz w:val="20"/>
                <w:szCs w:val="20"/>
                <w:color w:val="auto"/>
              </w:rPr>
            </w:pPr>
            <w:r>
              <w:rPr>
                <w:rFonts w:ascii="Arial" w:cs="Arial" w:eastAsia="Arial" w:hAnsi="Arial"/>
                <w:sz w:val="18"/>
                <w:szCs w:val="18"/>
                <w:color w:val="auto"/>
                <w:w w:val="89"/>
              </w:rPr>
              <w:t>______________</w:t>
            </w:r>
          </w:p>
        </w:tc>
        <w:tc>
          <w:tcPr>
            <w:tcW w:w="200" w:type="dxa"/>
            <w:vAlign w:val="bottom"/>
          </w:tcPr>
          <w:p>
            <w:pPr>
              <w:spacing w:after="0"/>
              <w:rPr>
                <w:sz w:val="18"/>
                <w:szCs w:val="18"/>
                <w:color w:val="auto"/>
              </w:rPr>
            </w:pPr>
          </w:p>
        </w:tc>
      </w:tr>
      <w:tr>
        <w:trPr>
          <w:trHeight w:val="216"/>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(State or other jurisdiction</w:t>
            </w:r>
          </w:p>
        </w:tc>
        <w:tc>
          <w:tcPr>
            <w:tcW w:w="56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(Commission</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(I.R.S. Employer</w:t>
            </w:r>
          </w:p>
        </w:tc>
      </w:tr>
      <w:tr>
        <w:trPr>
          <w:trHeight w:val="230"/>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3"/>
              </w:rPr>
              <w:t>of incorporation)</w:t>
            </w:r>
          </w:p>
        </w:tc>
        <w:tc>
          <w:tcPr>
            <w:tcW w:w="560" w:type="dxa"/>
            <w:vAlign w:val="bottom"/>
          </w:tcPr>
          <w:p>
            <w:pPr>
              <w:spacing w:after="0"/>
              <w:rPr>
                <w:sz w:val="20"/>
                <w:szCs w:val="20"/>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File Number)</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1"/>
              </w:rPr>
              <w:t>12367 Crosthwaite Circle, Poway,</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60" w:type="dxa"/>
            <w:vAlign w:val="bottom"/>
            <w:gridSpan w:val="4"/>
          </w:tcPr>
          <w:p>
            <w:pPr>
              <w:jc w:val="center"/>
              <w:ind w:left="910"/>
              <w:spacing w:after="0"/>
              <w:rPr>
                <w:sz w:val="20"/>
                <w:szCs w:val="20"/>
                <w:color w:val="auto"/>
              </w:rPr>
            </w:pPr>
            <w:r>
              <w:rPr>
                <w:rFonts w:ascii="Arial" w:cs="Arial" w:eastAsia="Arial" w:hAnsi="Arial"/>
                <w:sz w:val="18"/>
                <w:szCs w:val="18"/>
                <w:color w:val="auto"/>
                <w:w w:val="87"/>
              </w:rPr>
              <w:t>92064</w:t>
            </w:r>
          </w:p>
        </w:tc>
        <w:tc>
          <w:tcPr>
            <w:tcW w:w="20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jc w:val="center"/>
              <w:ind w:right="2170"/>
              <w:spacing w:after="0"/>
              <w:rPr>
                <w:sz w:val="20"/>
                <w:szCs w:val="20"/>
                <w:color w:val="auto"/>
              </w:rPr>
            </w:pPr>
            <w:r>
              <w:rPr>
                <w:rFonts w:ascii="Arial" w:cs="Arial" w:eastAsia="Arial" w:hAnsi="Arial"/>
                <w:sz w:val="18"/>
                <w:szCs w:val="18"/>
                <w:color w:val="auto"/>
                <w:w w:val="97"/>
              </w:rPr>
              <w:t>California</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900" w:type="dxa"/>
            <w:vAlign w:val="bottom"/>
            <w:gridSpan w:val="3"/>
          </w:tcPr>
          <w:p>
            <w:pPr>
              <w:jc w:val="right"/>
              <w:ind w:right="1170"/>
              <w:spacing w:after="0"/>
              <w:rPr>
                <w:sz w:val="20"/>
                <w:szCs w:val="20"/>
                <w:color w:val="auto"/>
              </w:rPr>
            </w:pPr>
            <w:r>
              <w:rPr>
                <w:rFonts w:ascii="Arial" w:cs="Arial" w:eastAsia="Arial" w:hAnsi="Arial"/>
                <w:sz w:val="18"/>
                <w:szCs w:val="18"/>
                <w:color w:val="auto"/>
              </w:rPr>
              <w:t>_________________________________</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gridSpan w:val="4"/>
          </w:tcPr>
          <w:p>
            <w:pPr>
              <w:jc w:val="center"/>
              <w:ind w:left="910"/>
              <w:spacing w:after="0"/>
              <w:rPr>
                <w:sz w:val="20"/>
                <w:szCs w:val="20"/>
                <w:color w:val="auto"/>
              </w:rPr>
            </w:pPr>
            <w:r>
              <w:rPr>
                <w:rFonts w:ascii="Arial" w:cs="Arial" w:eastAsia="Arial" w:hAnsi="Arial"/>
                <w:sz w:val="18"/>
                <w:szCs w:val="18"/>
                <w:color w:val="auto"/>
                <w:w w:val="90"/>
              </w:rPr>
              <w:t>___________</w:t>
            </w:r>
          </w:p>
        </w:tc>
        <w:tc>
          <w:tcPr>
            <w:tcW w:w="200" w:type="dxa"/>
            <w:vAlign w:val="bottom"/>
          </w:tcPr>
          <w:p>
            <w:pPr>
              <w:spacing w:after="0"/>
              <w:rPr>
                <w:sz w:val="18"/>
                <w:szCs w:val="18"/>
                <w:color w:val="auto"/>
              </w:rPr>
            </w:pPr>
          </w:p>
        </w:tc>
      </w:tr>
      <w:tr>
        <w:trPr>
          <w:trHeight w:val="230"/>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(Zip Code)</w:t>
            </w:r>
          </w:p>
        </w:tc>
      </w:tr>
      <w:tr>
        <w:trPr>
          <w:trHeight w:val="432"/>
        </w:trPr>
        <w:tc>
          <w:tcPr>
            <w:tcW w:w="4900" w:type="dxa"/>
            <w:vAlign w:val="bottom"/>
            <w:gridSpan w:val="3"/>
          </w:tcPr>
          <w:p>
            <w:pPr>
              <w:ind w:left="1000"/>
              <w:spacing w:after="0"/>
              <w:rPr>
                <w:sz w:val="20"/>
                <w:szCs w:val="20"/>
                <w:color w:val="auto"/>
              </w:rPr>
            </w:pPr>
            <w:r>
              <w:rPr>
                <w:rFonts w:ascii="Arial" w:cs="Arial" w:eastAsia="Arial" w:hAnsi="Arial"/>
                <w:sz w:val="18"/>
                <w:szCs w:val="18"/>
                <w:color w:val="auto"/>
                <w:w w:val="93"/>
              </w:rPr>
              <w:t>Registrant’s telephone number, including area code:</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gridSpan w:val="3"/>
          </w:tcPr>
          <w:p>
            <w:pPr>
              <w:jc w:val="right"/>
              <w:ind w:right="170"/>
              <w:spacing w:after="0"/>
              <w:rPr>
                <w:sz w:val="20"/>
                <w:szCs w:val="20"/>
                <w:color w:val="auto"/>
              </w:rPr>
            </w:pPr>
            <w:r>
              <w:rPr>
                <w:rFonts w:ascii="Arial" w:cs="Arial" w:eastAsia="Arial" w:hAnsi="Arial"/>
                <w:sz w:val="18"/>
                <w:szCs w:val="18"/>
                <w:color w:val="auto"/>
              </w:rPr>
              <w:t>858-848-8100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8"/>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60" w:type="dxa"/>
            <w:vAlign w:val="bottom"/>
            <w:gridSpan w:val="3"/>
          </w:tcPr>
          <w:p>
            <w:pPr>
              <w:jc w:val="center"/>
              <w:ind w:right="1500"/>
              <w:spacing w:after="0"/>
              <w:rPr>
                <w:sz w:val="20"/>
                <w:szCs w:val="20"/>
                <w:color w:val="auto"/>
              </w:rPr>
            </w:pPr>
            <w:r>
              <w:rPr>
                <w:rFonts w:ascii="Arial" w:cs="Arial" w:eastAsia="Arial" w:hAnsi="Arial"/>
                <w:sz w:val="18"/>
                <w:szCs w:val="18"/>
                <w:color w:val="auto"/>
                <w:w w:val="94"/>
              </w:rPr>
              <w:t>Not Applicable</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7860" w:type="dxa"/>
            <w:vAlign w:val="bottom"/>
            <w:gridSpan w:val="6"/>
          </w:tcPr>
          <w:p>
            <w:pPr>
              <w:jc w:val="center"/>
              <w:ind w:left="3310"/>
              <w:spacing w:after="0"/>
              <w:rPr>
                <w:sz w:val="20"/>
                <w:szCs w:val="20"/>
                <w:color w:val="auto"/>
              </w:rPr>
            </w:pPr>
            <w:r>
              <w:rPr>
                <w:rFonts w:ascii="Arial" w:cs="Arial" w:eastAsia="Arial" w:hAnsi="Arial"/>
                <w:sz w:val="18"/>
                <w:szCs w:val="18"/>
                <w:color w:val="auto"/>
                <w:w w:val="89"/>
              </w:rPr>
              <w:t>______________________________________________</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40" w:type="dxa"/>
            <w:vAlign w:val="bottom"/>
            <w:gridSpan w:val="4"/>
          </w:tcPr>
          <w:p>
            <w:pPr>
              <w:jc w:val="center"/>
              <w:ind w:left="29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1"/>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Trading Symbol(s)</w:t>
            </w:r>
          </w:p>
        </w:tc>
        <w:tc>
          <w:tcPr>
            <w:tcW w:w="256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Name of exchange on which</w:t>
            </w:r>
          </w:p>
        </w:tc>
      </w:tr>
      <w:tr>
        <w:trPr>
          <w:trHeight w:val="196"/>
        </w:trPr>
        <w:tc>
          <w:tcPr>
            <w:tcW w:w="1660" w:type="dxa"/>
            <w:vAlign w:val="bottom"/>
          </w:tcPr>
          <w:p>
            <w:pPr>
              <w:spacing w:after="0"/>
              <w:rPr>
                <w:sz w:val="17"/>
                <w:szCs w:val="17"/>
                <w:color w:val="auto"/>
              </w:rPr>
            </w:pPr>
          </w:p>
        </w:tc>
        <w:tc>
          <w:tcPr>
            <w:tcW w:w="3240" w:type="dxa"/>
            <w:vAlign w:val="bottom"/>
            <w:gridSpan w:val="2"/>
          </w:tcPr>
          <w:p>
            <w:pPr>
              <w:jc w:val="center"/>
              <w:ind w:right="1790"/>
              <w:spacing w:after="0" w:line="196" w:lineRule="exact"/>
              <w:rPr>
                <w:sz w:val="20"/>
                <w:szCs w:val="20"/>
                <w:color w:val="auto"/>
              </w:rPr>
            </w:pPr>
            <w:r>
              <w:rPr>
                <w:rFonts w:ascii="Arial" w:cs="Arial" w:eastAsia="Arial" w:hAnsi="Arial"/>
                <w:sz w:val="18"/>
                <w:szCs w:val="18"/>
                <w:color w:val="auto"/>
                <w:w w:val="90"/>
              </w:rPr>
              <w:t>Title of Each Class</w:t>
            </w:r>
          </w:p>
        </w:tc>
        <w:tc>
          <w:tcPr>
            <w:tcW w:w="56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680"/>
              <w:spacing w:after="0" w:line="196" w:lineRule="exact"/>
              <w:rPr>
                <w:sz w:val="20"/>
                <w:szCs w:val="20"/>
                <w:color w:val="auto"/>
              </w:rPr>
            </w:pPr>
            <w:r>
              <w:rPr>
                <w:rFonts w:ascii="Arial" w:cs="Arial" w:eastAsia="Arial" w:hAnsi="Arial"/>
                <w:sz w:val="18"/>
                <w:szCs w:val="18"/>
                <w:color w:val="auto"/>
                <w:w w:val="87"/>
              </w:rPr>
              <w:t>registered</w:t>
            </w:r>
          </w:p>
        </w:tc>
        <w:tc>
          <w:tcPr>
            <w:tcW w:w="20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900" w:type="dxa"/>
            <w:vAlign w:val="bottom"/>
            <w:gridSpan w:val="3"/>
          </w:tcPr>
          <w:p>
            <w:pPr>
              <w:jc w:val="center"/>
              <w:ind w:right="130"/>
              <w:spacing w:after="0"/>
              <w:rPr>
                <w:sz w:val="20"/>
                <w:szCs w:val="20"/>
                <w:color w:val="auto"/>
              </w:rPr>
            </w:pPr>
            <w:r>
              <w:rPr>
                <w:rFonts w:ascii="Arial" w:cs="Arial" w:eastAsia="Arial" w:hAnsi="Arial"/>
                <w:sz w:val="18"/>
                <w:szCs w:val="18"/>
                <w:color w:val="auto"/>
                <w:w w:val="90"/>
              </w:rPr>
              <w:t>Common Stock, $1.00 par value</w:t>
            </w:r>
          </w:p>
        </w:tc>
        <w:tc>
          <w:tcPr>
            <w:tcW w:w="560" w:type="dxa"/>
            <w:vAlign w:val="bottom"/>
          </w:tcPr>
          <w:p>
            <w:pPr>
              <w:spacing w:after="0"/>
              <w:rPr>
                <w:sz w:val="20"/>
                <w:szCs w:val="20"/>
                <w:color w:val="auto"/>
              </w:rPr>
            </w:pPr>
          </w:p>
        </w:tc>
        <w:tc>
          <w:tcPr>
            <w:tcW w:w="2400" w:type="dxa"/>
            <w:vAlign w:val="bottom"/>
            <w:gridSpan w:val="2"/>
          </w:tcPr>
          <w:p>
            <w:pPr>
              <w:jc w:val="center"/>
              <w:ind w:right="1040"/>
              <w:spacing w:after="0"/>
              <w:rPr>
                <w:sz w:val="20"/>
                <w:szCs w:val="20"/>
                <w:color w:val="auto"/>
              </w:rPr>
            </w:pPr>
            <w:r>
              <w:rPr>
                <w:rFonts w:ascii="Arial" w:cs="Arial" w:eastAsia="Arial" w:hAnsi="Arial"/>
                <w:sz w:val="18"/>
                <w:szCs w:val="18"/>
                <w:color w:val="auto"/>
                <w:w w:val="98"/>
              </w:rPr>
              <w:t>COHU</w:t>
            </w:r>
          </w:p>
        </w:tc>
        <w:tc>
          <w:tcPr>
            <w:tcW w:w="2560" w:type="dxa"/>
            <w:vAlign w:val="bottom"/>
            <w:gridSpan w:val="5"/>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March 3, 2021, Cohu, Inc. (the “Company”) entered into an underwriting agreement (the “Underwriting Agreement”) with Citigroup Global Markets Inc. and Goldman Sachs &amp; Co. LLC, as representatives of the several underwriters named therein (the “Underwriters”), relating to the issuance and sale in a public offering of 4,950,000 shares (the “Shares”) of the Company’s common stock to the Underwriters (the “Offering”). The Shares were sold at a price to the public of $41.00 per Share and were purchased by the Underwriters from the Company at a price of $39.2575 per Share. The Company also granted the Underwriters a 30-day option to purchase up to 742,500 additional Shares of its common stock at the public offering price, less underwriting discounts and commissions. The net proceeds to the Company from the Offering, excluding any exercise by the Underwriters of their 30-day option to purchase additional shares, are expected to be approximately $193.7 million after deducting the underwriting discounts and commissions and estimated offering expenses payable by the Company. The offering is expected to close on or about March 8, 2021, subject to the satisfaction of customary closing conditions.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w:t>
      </w:r>
    </w:p>
    <w:p>
      <w:pPr>
        <w:spacing w:after="0" w:line="188"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Offering is being made pursuant to the Company’s shelf registration statement on Form S-3ASR (Registration Statement No. 333-237067) and an accompanying prospectus, that became automatically effective on March 10, 2020 when filed by the Company with the Securities and Exchange Commission, and a preliminary and final prospectus supplement thereunder. The Underwriting Agreement is attached as Exhibit 1.1 hereto, and the description of the terms of the Underwriting Agreement is qualified in its entirety by reference to such exhibit. A copy of the opinion of DLA Piper LLP (US) relating to the legality of the issuance and sale of the shares in the Offering is attached as Exhibit 5.1 hereto.</w:t>
      </w:r>
    </w:p>
    <w:p>
      <w:pPr>
        <w:spacing w:after="0" w:line="17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March 1, 2021, the Company issued a press release announcing that it had commenced the Offering. On March 3, 2021, the Company issued a press release announcing the pricing of the Offering. Copies of these press releases are attached as Exhibits 99.1 and 99.2 hereto, respectively.</w:t>
      </w:r>
    </w:p>
    <w:p>
      <w:pPr>
        <w:spacing w:after="0" w:line="12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Neither the disclosures on this Current Report on Form 8-K nor the attached press releases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This Current Report on Form 8-K contains forward-looking statements, all of which are subject to risks and uncertainties. Forward-looking statements can be identified by the use of words such as “expects,” “plans,” “will,” “projects,” “intends,” “estimates,” and other words of similar meaning. These forward-looking statements include statements regarding the completion of the Offering and the expected net proceeds therefrom. Each forward-looking statement is subject to risks and uncertainties that could cause actual results to differ materially from those expressed or implied in such statement. Readers should carefully consider any such statement and should understand that many factors could cause actual results to differ from these forward-looking statements. These factors may include risks associated with market conditions and the satisfaction of customary closing conditions related to the Offering, as well as risks and uncertainties inherent in the Company’s business, including some that are known and some that are not. No forward-looking statement can be guaranteed, and actual future results may vary materially. Except as required by law, the Company does not assume any obligation to update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6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60" w:type="dxa"/>
            <w:vAlign w:val="bottom"/>
          </w:tcPr>
          <w:p>
            <w:pPr>
              <w:spacing w:after="0"/>
              <w:rPr>
                <w:sz w:val="20"/>
                <w:szCs w:val="20"/>
                <w:color w:val="auto"/>
              </w:rPr>
            </w:pPr>
          </w:p>
        </w:tc>
        <w:tc>
          <w:tcPr>
            <w:tcW w:w="866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r>
      <w:tr>
        <w:trPr>
          <w:trHeight w:val="195"/>
        </w:trPr>
        <w:tc>
          <w:tcPr>
            <w:tcW w:w="1800" w:type="dxa"/>
            <w:vAlign w:val="bottom"/>
          </w:tcPr>
          <w:p>
            <w:pPr>
              <w:jc w:val="center"/>
              <w:spacing w:after="0" w:line="195" w:lineRule="exact"/>
              <w:rPr>
                <w:sz w:val="20"/>
                <w:szCs w:val="20"/>
                <w:color w:val="auto"/>
              </w:rPr>
            </w:pPr>
            <w:r>
              <w:rPr>
                <w:rFonts w:ascii="Arial" w:cs="Arial" w:eastAsia="Arial" w:hAnsi="Arial"/>
                <w:sz w:val="18"/>
                <w:szCs w:val="18"/>
                <w:color w:val="auto"/>
                <w:w w:val="87"/>
              </w:rPr>
              <w:t>1.1</w:t>
            </w:r>
          </w:p>
        </w:tc>
        <w:tc>
          <w:tcPr>
            <w:tcW w:w="460" w:type="dxa"/>
            <w:vAlign w:val="bottom"/>
          </w:tcPr>
          <w:p>
            <w:pPr>
              <w:spacing w:after="0"/>
              <w:rPr>
                <w:sz w:val="16"/>
                <w:szCs w:val="16"/>
                <w:color w:val="auto"/>
              </w:rPr>
            </w:pPr>
          </w:p>
        </w:tc>
        <w:tc>
          <w:tcPr>
            <w:tcW w:w="8660" w:type="dxa"/>
            <w:vAlign w:val="bottom"/>
          </w:tcPr>
          <w:p>
            <w:pPr>
              <w:spacing w:after="0" w:line="195"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Underwriting Agreement, dated March 3, 2021.</w:t>
              </w:r>
            </w:hyperlink>
          </w:p>
        </w:tc>
        <w:tc>
          <w:tcPr>
            <w:tcW w:w="320" w:type="dxa"/>
            <w:vAlign w:val="bottom"/>
          </w:tcPr>
          <w:p>
            <w:pPr>
              <w:spacing w:after="0"/>
              <w:rPr>
                <w:sz w:val="16"/>
                <w:szCs w:val="16"/>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9120" w:type="dxa"/>
            <w:vAlign w:val="bottom"/>
            <w:gridSpan w:val="2"/>
          </w:tcPr>
          <w:p>
            <w:pPr>
              <w:ind w:left="4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Opinion of DLA Piper LLP (US).</w:t>
              </w:r>
            </w:hyperlink>
          </w:p>
        </w:tc>
        <w:tc>
          <w:tcPr>
            <w:tcW w:w="320" w:type="dxa"/>
            <w:vAlign w:val="bottom"/>
          </w:tcPr>
          <w:p>
            <w:pPr>
              <w:spacing w:after="0"/>
              <w:rPr>
                <w:sz w:val="18"/>
                <w:szCs w:val="18"/>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9120" w:type="dxa"/>
            <w:vAlign w:val="bottom"/>
            <w:gridSpan w:val="2"/>
          </w:tcPr>
          <w:p>
            <w:pPr>
              <w:ind w:left="4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Consent of DLA Piper LLP (US) (included in Exhibit 5.1).</w:t>
              </w:r>
            </w:hyperlink>
          </w:p>
        </w:tc>
        <w:tc>
          <w:tcPr>
            <w:tcW w:w="320" w:type="dxa"/>
            <w:vAlign w:val="bottom"/>
          </w:tcPr>
          <w:p>
            <w:pPr>
              <w:spacing w:after="0"/>
              <w:rPr>
                <w:sz w:val="18"/>
                <w:szCs w:val="18"/>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120" w:type="dxa"/>
            <w:vAlign w:val="bottom"/>
            <w:gridSpan w:val="2"/>
          </w:tcPr>
          <w:p>
            <w:pPr>
              <w:ind w:left="4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Press Release dated March 1, 2021.</w:t>
              </w:r>
            </w:hyperlink>
          </w:p>
        </w:tc>
        <w:tc>
          <w:tcPr>
            <w:tcW w:w="320" w:type="dxa"/>
            <w:vAlign w:val="bottom"/>
          </w:tcPr>
          <w:p>
            <w:pPr>
              <w:spacing w:after="0"/>
              <w:rPr>
                <w:sz w:val="18"/>
                <w:szCs w:val="18"/>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9120" w:type="dxa"/>
            <w:vAlign w:val="bottom"/>
            <w:gridSpan w:val="2"/>
          </w:tcPr>
          <w:p>
            <w:pPr>
              <w:ind w:left="4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Press Release dated March 3, 2021.</w:t>
              </w:r>
            </w:hyperlink>
          </w:p>
        </w:tc>
        <w:tc>
          <w:tcPr>
            <w:tcW w:w="320" w:type="dxa"/>
            <w:vAlign w:val="bottom"/>
          </w:tcPr>
          <w:p>
            <w:pPr>
              <w:spacing w:after="0"/>
              <w:rPr>
                <w:sz w:val="18"/>
                <w:szCs w:val="18"/>
                <w:color w:val="auto"/>
              </w:rPr>
            </w:pPr>
          </w:p>
        </w:tc>
      </w:tr>
      <w:tr>
        <w:trPr>
          <w:trHeight w:val="230"/>
        </w:trPr>
        <w:tc>
          <w:tcPr>
            <w:tcW w:w="18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9120" w:type="dxa"/>
            <w:vAlign w:val="bottom"/>
            <w:gridSpan w:val="2"/>
          </w:tcPr>
          <w:p>
            <w:pPr>
              <w:ind w:left="46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0" w:type="dxa"/>
            <w:vAlign w:val="bottom"/>
          </w:tcPr>
          <w:p>
            <w:pPr>
              <w:spacing w:after="0"/>
              <w:rPr>
                <w:sz w:val="20"/>
                <w:szCs w:val="20"/>
                <w:color w:val="auto"/>
              </w:rPr>
            </w:pPr>
          </w:p>
        </w:tc>
      </w:tr>
      <w:tr>
        <w:trPr>
          <w:trHeight w:val="574"/>
        </w:trPr>
        <w:tc>
          <w:tcPr>
            <w:tcW w:w="1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620" w:val="left"/>
          <w:tab w:leader="none" w:pos="6360" w:val="left"/>
        </w:tabs>
        <w:rPr>
          <w:sz w:val="20"/>
          <w:szCs w:val="20"/>
          <w:color w:val="auto"/>
        </w:rPr>
      </w:pPr>
      <w:r>
        <w:rPr>
          <w:rFonts w:ascii="Arial" w:cs="Arial" w:eastAsia="Arial" w:hAnsi="Arial"/>
          <w:sz w:val="18"/>
          <w:szCs w:val="18"/>
          <w:i w:val="1"/>
          <w:iCs w:val="1"/>
          <w:color w:val="auto"/>
        </w:rPr>
        <w:t>March 4,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Title: VP Finance and Chief Financial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200"/>
          </w:cols>
          <w:pgMar w:left="320" w:top="58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4,950,000 Shares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($1.00 par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Representatives of the several Underwriters named in 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1296"/>
        <w:spacing w:after="0" w:line="291" w:lineRule="auto"/>
        <w:rPr>
          <w:sz w:val="20"/>
          <w:szCs w:val="20"/>
          <w:color w:val="auto"/>
        </w:rPr>
      </w:pPr>
      <w:r>
        <w:rPr>
          <w:rFonts w:ascii="Arial" w:cs="Arial" w:eastAsia="Arial" w:hAnsi="Arial"/>
          <w:sz w:val="16"/>
          <w:szCs w:val="16"/>
          <w:color w:val="auto"/>
        </w:rPr>
        <w:t>Cohu,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the number of shares of common stock, $1.00 par value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set forth in Schedule I hereto (said shares to be issued and sold by the Company being hereinafter called the “</w:t>
      </w:r>
      <w:r>
        <w:rPr>
          <w:rFonts w:ascii="Arial" w:cs="Arial" w:eastAsia="Arial" w:hAnsi="Arial"/>
          <w:sz w:val="16"/>
          <w:szCs w:val="16"/>
          <w:u w:val="single" w:color="auto"/>
          <w:color w:val="auto"/>
        </w:rPr>
        <w:t>Underwritten Securities</w:t>
      </w:r>
      <w:r>
        <w:rPr>
          <w:rFonts w:ascii="Arial" w:cs="Arial" w:eastAsia="Arial" w:hAnsi="Arial"/>
          <w:sz w:val="16"/>
          <w:szCs w:val="16"/>
          <w:color w:val="auto"/>
        </w:rPr>
        <w:t>”). The Company also proposes to grant to the Underwriters an option to purchase up to the number of additional shares of Common Stock set forth in Schedule I hereto (the “</w:t>
      </w:r>
      <w:r>
        <w:rPr>
          <w:rFonts w:ascii="Arial" w:cs="Arial" w:eastAsia="Arial" w:hAnsi="Arial"/>
          <w:sz w:val="16"/>
          <w:szCs w:val="16"/>
          <w:u w:val="single" w:color="auto"/>
          <w:color w:val="auto"/>
        </w:rPr>
        <w:t>Option Securities</w:t>
      </w:r>
      <w:r>
        <w:rPr>
          <w:rFonts w:ascii="Arial" w:cs="Arial" w:eastAsia="Arial" w:hAnsi="Arial"/>
          <w:sz w:val="16"/>
          <w:szCs w:val="16"/>
          <w:color w:val="auto"/>
        </w:rPr>
        <w:t>” the Option Securities, together with the Underwritten Securities, being hereinafter called the “</w:t>
      </w:r>
      <w:r>
        <w:rPr>
          <w:rFonts w:ascii="Arial" w:cs="Arial" w:eastAsia="Arial" w:hAnsi="Arial"/>
          <w:sz w:val="16"/>
          <w:szCs w:val="16"/>
          <w:u w:val="single" w:color="auto"/>
          <w:color w:val="auto"/>
        </w:rPr>
        <w:t>Securities</w:t>
      </w:r>
      <w:r>
        <w:rPr>
          <w:rFonts w:ascii="Arial" w:cs="Arial" w:eastAsia="Arial" w:hAnsi="Arial"/>
          <w:sz w:val="16"/>
          <w:szCs w:val="16"/>
          <w:color w:val="auto"/>
        </w:rPr>
        <w:t>”). To the extent there are no additional Underwriters listed on Schedule II other than you, the term Representatives as used herein shall mean you, as Underwriters, and the terms Representatives and Underwriters shall mean either the singular or plural as the context requires.</w:t>
      </w:r>
    </w:p>
    <w:p>
      <w:pPr>
        <w:spacing w:after="0" w:line="166"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As used in this underwriting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registration statement referred to in paragraph 1(a) hereof, including the exhibits, schedules and financial statements and any prospectus supplement relating to the Securities that is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Rule 424(b) under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deemed part of such registration statement pursuant to Rule 430B under the Securities Act, as amended on each Effective Date, and, in the event any post-effective amendment thereto becomes effective prior to the Closing Date (as defined in Section 3 hereof), shall also mean such registration statement as so amended</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each date and time that the Registration Statement and any post-effective amendment or amendments thereto became or becomes effective;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means the base prospectus referred to in paragraph 1(a) hereof contained in the Registration Statement at the date and time that this Agreement is executed and delivered by the parties hereto (the “</w:t>
      </w:r>
      <w:r>
        <w:rPr>
          <w:rFonts w:ascii="Arial" w:cs="Arial" w:eastAsia="Arial" w:hAnsi="Arial"/>
          <w:sz w:val="17"/>
          <w:szCs w:val="17"/>
          <w:u w:val="single" w:color="auto"/>
          <w:color w:val="auto"/>
        </w:rPr>
        <w:t>Execution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w:t>
      </w:r>
      <w:r>
        <w:rPr>
          <w:rFonts w:ascii="Arial" w:cs="Arial" w:eastAsia="Arial" w:hAnsi="Arial"/>
          <w:sz w:val="17"/>
          <w:szCs w:val="17"/>
          <w:color w:val="auto"/>
        </w:rPr>
        <w:t>”); the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means any preliminary prospectus supplement to the Base Prospectus referred to in paragraph 1(a) hereof which is used prior to the filing of the Final Prospectus, together with the Base Prospectus; and the “</w:t>
      </w:r>
      <w:r>
        <w:rPr>
          <w:rFonts w:ascii="Arial" w:cs="Arial" w:eastAsia="Arial" w:hAnsi="Arial"/>
          <w:sz w:val="17"/>
          <w:szCs w:val="17"/>
          <w:u w:val="single" w:color="auto"/>
          <w:color w:val="auto"/>
        </w:rPr>
        <w:t>Final Prospectus</w:t>
      </w:r>
      <w:r>
        <w:rPr>
          <w:rFonts w:ascii="Arial" w:cs="Arial" w:eastAsia="Arial" w:hAnsi="Arial"/>
          <w:sz w:val="17"/>
          <w:szCs w:val="17"/>
          <w:color w:val="auto"/>
        </w:rPr>
        <w:t>” means the prospectus supplement relating to the Securities that is first filed pursuant to Rule 424(b) under the Securities Act (“</w:t>
      </w:r>
      <w:r>
        <w:rPr>
          <w:rFonts w:ascii="Arial" w:cs="Arial" w:eastAsia="Arial" w:hAnsi="Arial"/>
          <w:sz w:val="17"/>
          <w:szCs w:val="17"/>
          <w:u w:val="single" w:color="auto"/>
          <w:color w:val="auto"/>
        </w:rPr>
        <w:t>Rule 424(b)</w:t>
      </w:r>
      <w:r>
        <w:rPr>
          <w:rFonts w:ascii="Arial" w:cs="Arial" w:eastAsia="Arial" w:hAnsi="Arial"/>
          <w:sz w:val="17"/>
          <w:szCs w:val="17"/>
          <w:color w:val="auto"/>
        </w:rPr>
        <w:t>”) after the Execution Time, together with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firstLine="1296"/>
        <w:spacing w:after="0" w:line="254" w:lineRule="auto"/>
        <w:rPr>
          <w:sz w:val="20"/>
          <w:szCs w:val="20"/>
          <w:color w:val="auto"/>
        </w:rPr>
      </w:pPr>
      <w:r>
        <w:rPr>
          <w:rFonts w:ascii="Arial" w:cs="Arial" w:eastAsia="Arial" w:hAnsi="Arial"/>
          <w:sz w:val="18"/>
          <w:szCs w:val="18"/>
          <w:color w:val="auto"/>
        </w:rPr>
        <w:t>Any reference herein to the Registration Statement, the Base Prospectus, any Preliminary Prospectus or the Final Prospectus shall be deemed to refer to and include the documents incorporated by reference therein pursuant to Item 12 of Form S-3 which were filed under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w:t>
      </w:r>
    </w:p>
    <w:p>
      <w:pPr>
        <w:spacing w:after="0" w:line="192"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7"/>
          <w:szCs w:val="17"/>
          <w:color w:val="auto"/>
        </w:rPr>
        <w:t>As used in this Agreement, the “</w:t>
      </w:r>
      <w:r>
        <w:rPr>
          <w:rFonts w:ascii="Arial" w:cs="Arial" w:eastAsia="Arial" w:hAnsi="Arial"/>
          <w:sz w:val="17"/>
          <w:szCs w:val="17"/>
          <w:u w:val="single" w:color="auto"/>
          <w:color w:val="auto"/>
        </w:rPr>
        <w:t>Disclosure Package</w:t>
      </w:r>
      <w:r>
        <w:rPr>
          <w:rFonts w:ascii="Arial" w:cs="Arial" w:eastAsia="Arial" w:hAnsi="Arial"/>
          <w:sz w:val="17"/>
          <w:szCs w:val="17"/>
          <w:color w:val="auto"/>
        </w:rPr>
        <w:t>” shall mean (i) the Base Prospectus, (ii) the Preliminary Prospectus used most recently prior to the Execution Time, (iii) any issuer free writing prospectus, as defined in Rule 433 under the Securities Act (an “</w:t>
      </w:r>
      <w:r>
        <w:rPr>
          <w:rFonts w:ascii="Arial" w:cs="Arial" w:eastAsia="Arial" w:hAnsi="Arial"/>
          <w:sz w:val="17"/>
          <w:szCs w:val="17"/>
          <w:u w:val="single" w:color="auto"/>
          <w:color w:val="auto"/>
        </w:rPr>
        <w:t>Issuer Free Writing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identified in Schedule III hereto and (iv) any other free writing prospectus, as defined in Rule 405 under the Securities Act (a “</w:t>
      </w:r>
      <w:r>
        <w:rPr>
          <w:rFonts w:ascii="Arial" w:cs="Arial" w:eastAsia="Arial" w:hAnsi="Arial"/>
          <w:sz w:val="17"/>
          <w:szCs w:val="17"/>
          <w:u w:val="single" w:color="auto"/>
          <w:color w:val="auto"/>
        </w:rPr>
        <w:t>Free Writing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that the parties hereto shall hereafter expressly agree in writing to treat as part of the Disclosure Package.</w:t>
      </w:r>
    </w:p>
    <w:p>
      <w:pPr>
        <w:spacing w:after="0" w:line="171"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each Underwriter as set forth below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Section 1.</w:t>
      </w:r>
    </w:p>
    <w:p>
      <w:pPr>
        <w:spacing w:after="0" w:line="211" w:lineRule="exact"/>
        <w:rPr>
          <w:sz w:val="20"/>
          <w:szCs w:val="20"/>
          <w:color w:val="auto"/>
        </w:rPr>
      </w:pPr>
    </w:p>
    <w:p>
      <w:pPr>
        <w:ind w:left="660" w:firstLine="644"/>
        <w:spacing w:after="0" w:line="286" w:lineRule="auto"/>
        <w:tabs>
          <w:tab w:leader="none" w:pos="168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Securities Act and has prepared and filed with the SEC an automatic shelf registration statement, as defined in 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(the file number of which is set forth in Schedule I hereto) on Form S-3, including a related Base Prospectus, for the registration of the offering and sale of the Securities under the Securities Act. Such Registration Statement, including any amendments thereto filed prior to the Execution Time, became effective upon filing. The Company may have filed with the SEC, as part of an amendment to the Registration Statement or pursuant to Rule 424(b), preliminary prospectus supplements relating to the Securities, each of which has previously been furnished to you. The Company will file with the SEC a final prospectus supplement relating to the Securities in accordance with Rule 424(b) after the Execution Time. As filed, such final prospectus supplement shall contain all information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under the Securities Act. The initial Effective Date of the Registration Statement was not earlier than the date three years before the Execution Time.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 w:name="page7"/>
    <w:bookmarkEnd w:id="6"/>
    <w:p>
      <w:pPr>
        <w:ind w:left="-460" w:firstLine="644"/>
        <w:spacing w:after="0" w:line="286" w:lineRule="auto"/>
        <w:tabs>
          <w:tab w:leader="none" w:pos="578"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each Effective Date, the Registration Statement did, and when the Final Prospectus is first filed in accordance with Rule 424(b) and on the Closing Date (as defined herein) and on any date on which Option Securities are purchased, if such date is not the Closing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Final Prospectus (and any supplement thereto) will, comply in all material respects with the applicable requirements of the Securities Act and the Exchange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 hereof.</w:t>
      </w:r>
    </w:p>
    <w:p>
      <w:pPr>
        <w:spacing w:after="0" w:line="173" w:lineRule="exact"/>
        <w:rPr>
          <w:rFonts w:ascii="Arial" w:cs="Arial" w:eastAsia="Arial" w:hAnsi="Arial"/>
          <w:sz w:val="16"/>
          <w:szCs w:val="16"/>
          <w:color w:val="auto"/>
        </w:rPr>
      </w:pPr>
    </w:p>
    <w:p>
      <w:pPr>
        <w:ind w:left="-460" w:right="60" w:firstLine="644"/>
        <w:spacing w:after="0" w:line="253" w:lineRule="auto"/>
        <w:tabs>
          <w:tab w:leader="none" w:pos="5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 The Disclosure Package and the price to the public, the number of Underwritten Securities and the number of Option Securities to be included on the cover page of the Final Prospectus, when taken together as a whole and (ii) each electronic road show, when taken together as a whole with the Disclosure Package and the price to the public, the number of Underwritten Securities and the number of Option Securities to be included on the cover page of the Final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1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584" w:right="399" w:bottom="1440" w:gutter="0" w:footer="0" w:header="0"/>
        </w:sectPr>
      </w:pPr>
    </w:p>
    <w:bookmarkStart w:id="7" w:name="page8"/>
    <w:bookmarkEnd w:id="7"/>
    <w:p>
      <w:pPr>
        <w:ind w:left="4" w:right="200" w:firstLine="644"/>
        <w:spacing w:after="0" w:line="286" w:lineRule="auto"/>
        <w:tabs>
          <w:tab w:leader="none" w:pos="1087" w:val="left"/>
        </w:tabs>
        <w:numPr>
          <w:ilvl w:val="1"/>
          <w:numId w:val="5"/>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Securities in reliance on the exemption in Rule 163, and</w:t>
      </w:r>
    </w:p>
    <w:p>
      <w:pPr>
        <w:spacing w:after="0" w:line="1" w:lineRule="exact"/>
        <w:rPr>
          <w:rFonts w:ascii="Arial" w:cs="Arial" w:eastAsia="Arial" w:hAnsi="Arial"/>
          <w:sz w:val="16"/>
          <w:szCs w:val="16"/>
          <w:color w:val="auto"/>
        </w:rPr>
      </w:pPr>
    </w:p>
    <w:p>
      <w:pPr>
        <w:jc w:val="both"/>
        <w:ind w:left="4" w:right="300" w:hanging="4"/>
        <w:spacing w:after="0" w:line="253" w:lineRule="auto"/>
        <w:tabs>
          <w:tab w:leader="none" w:pos="309"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Execution Time (with such date being used as the determination date for purposes of this clause (iv)), the Company was or is (as the case may be) a “well-known seasoned issuer” as defined in Rule 405. The Company agrees to pay the fees required by the SEC relating to the Securities within the time required by Rule 456(b)(1) without regard to the proviso therein and otherwise in accordance with Rules 456(b) and 457(r).</w:t>
      </w:r>
    </w:p>
    <w:p>
      <w:pPr>
        <w:spacing w:after="0" w:line="192" w:lineRule="exact"/>
        <w:rPr>
          <w:rFonts w:ascii="Arial" w:cs="Arial" w:eastAsia="Arial" w:hAnsi="Arial"/>
          <w:sz w:val="18"/>
          <w:szCs w:val="18"/>
          <w:color w:val="auto"/>
        </w:rPr>
      </w:pPr>
    </w:p>
    <w:p>
      <w:pPr>
        <w:ind w:left="4" w:right="220" w:firstLine="644"/>
        <w:spacing w:after="0" w:line="301" w:lineRule="auto"/>
        <w:tabs>
          <w:tab w:leader="none" w:pos="1032"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(i) At the earliest time after the filing of the Registration Statement that the Company or another offering participant made a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 (within the meaning of Rule 164(h)(2)) under the Securities Act and (ii) as of the Execution Time (with such date being used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spacing w:after="0" w:line="157" w:lineRule="exact"/>
        <w:rPr>
          <w:rFonts w:ascii="Arial" w:cs="Arial" w:eastAsia="Arial" w:hAnsi="Arial"/>
          <w:sz w:val="16"/>
          <w:szCs w:val="16"/>
          <w:color w:val="auto"/>
        </w:rPr>
      </w:pPr>
    </w:p>
    <w:p>
      <w:pPr>
        <w:ind w:left="4" w:right="40" w:firstLine="644"/>
        <w:spacing w:after="0" w:line="255" w:lineRule="auto"/>
        <w:tabs>
          <w:tab w:leader="none" w:pos="1012"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Issuer Free Writing Prospectus does not include any information that conflicts with the information contained in the Registration Statement, including any document incorporated by reference therein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192" w:lineRule="exact"/>
        <w:rPr>
          <w:rFonts w:ascii="Arial" w:cs="Arial" w:eastAsia="Arial" w:hAnsi="Arial"/>
          <w:sz w:val="18"/>
          <w:szCs w:val="18"/>
          <w:color w:val="auto"/>
        </w:rPr>
      </w:pPr>
    </w:p>
    <w:p>
      <w:pPr>
        <w:ind w:left="4" w:right="300" w:firstLine="644"/>
        <w:spacing w:after="0" w:line="263" w:lineRule="auto"/>
        <w:tabs>
          <w:tab w:leader="none" w:pos="103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w:t>
      </w:r>
      <w:r>
        <w:rPr>
          <w:rFonts w:ascii="Arial" w:cs="Arial" w:eastAsia="Arial" w:hAnsi="Arial"/>
          <w:sz w:val="18"/>
          <w:szCs w:val="18"/>
          <w:u w:val="single" w:color="auto"/>
          <w:color w:val="auto"/>
        </w:rPr>
        <w:t>XBRL</w:t>
      </w:r>
      <w:r>
        <w:rPr>
          <w:rFonts w:ascii="Arial" w:cs="Arial" w:eastAsia="Arial" w:hAnsi="Arial"/>
          <w:sz w:val="18"/>
          <w:szCs w:val="18"/>
          <w:color w:val="auto"/>
        </w:rPr>
        <w:t>”) included as an exhibit to or incorporated by reference into the Registration Statement fairly presents the information called for in all material respects and has been prepared in accordance with the SEC’s rules and guidelines applicable thereto.</w:t>
      </w:r>
    </w:p>
    <w:p>
      <w:pPr>
        <w:spacing w:after="0" w:line="183" w:lineRule="exact"/>
        <w:rPr>
          <w:rFonts w:ascii="Arial" w:cs="Arial" w:eastAsia="Arial" w:hAnsi="Arial"/>
          <w:sz w:val="18"/>
          <w:szCs w:val="18"/>
          <w:color w:val="auto"/>
        </w:rPr>
      </w:pPr>
    </w:p>
    <w:p>
      <w:pPr>
        <w:jc w:val="both"/>
        <w:ind w:left="4" w:firstLine="644"/>
        <w:spacing w:after="0" w:line="296" w:lineRule="auto"/>
        <w:tabs>
          <w:tab w:leader="none" w:pos="1042" w:val="left"/>
        </w:tabs>
        <w:numPr>
          <w:ilvl w:val="1"/>
          <w:numId w:val="6"/>
        </w:numPr>
        <w:rPr>
          <w:rFonts w:ascii="Arial" w:cs="Arial" w:eastAsia="Arial" w:hAnsi="Arial"/>
          <w:sz w:val="16"/>
          <w:szCs w:val="16"/>
          <w:color w:val="auto"/>
        </w:rPr>
      </w:pPr>
      <w:r>
        <w:rPr>
          <w:rFonts w:ascii="Arial" w:cs="Arial" w:eastAsia="Arial" w:hAnsi="Arial"/>
          <w:sz w:val="16"/>
          <w:szCs w:val="16"/>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Final Prospectus, and is duly qualified to do business as a foreign corporation and is in good standing under the laws of each jurisdiction which requires such qualification except where the failure to so qualify or be in good standing would not reasonably be expected to have a Material Adverse Effect (as defined below).</w:t>
      </w:r>
    </w:p>
    <w:p>
      <w:pPr>
        <w:spacing w:after="0" w:line="16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8" w:name="page9"/>
    <w:bookmarkEnd w:id="8"/>
    <w:p>
      <w:pPr>
        <w:jc w:val="both"/>
        <w:ind w:left="4" w:firstLine="644"/>
        <w:spacing w:after="0" w:line="259" w:lineRule="auto"/>
        <w:tabs>
          <w:tab w:leader="none" w:pos="9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the outstanding shares of capital stock of each subsidiary have been duly and validly authorized and issued and are fully paid and non-assessable, and, except as otherwise set forth in the Disclosure Package and the Final Prospectus,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186" w:lineRule="exact"/>
        <w:rPr>
          <w:rFonts w:ascii="Arial" w:cs="Arial" w:eastAsia="Arial" w:hAnsi="Arial"/>
          <w:sz w:val="18"/>
          <w:szCs w:val="18"/>
          <w:color w:val="auto"/>
        </w:rPr>
      </w:pPr>
    </w:p>
    <w:p>
      <w:pPr>
        <w:ind w:left="4" w:right="20" w:firstLine="644"/>
        <w:spacing w:after="0" w:line="293" w:lineRule="auto"/>
        <w:tabs>
          <w:tab w:leader="none" w:pos="999"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There is no franchise, contract or other document of a character required to be described in the Registration Statement or Prospectus, or to be filed as an exhibit thereto, which is not described or filed as required (and the Preliminary Prospectus contains in all material respects the same description of the foregoing matters contained in the Final Prospectus); and the statements in the Preliminary Prospectus and the Final Prospectus under the headings “Material U.S. Federal Income Tax Considerations to Non-U.S. Holders,” “Description of Capital Stock” and “Certain Considerations for Benefit Plan Investors” insofar as such statements summarize legal matters, agreements, documents or proceedings discussed therein, are accurate and fair summaries of such legal matters, agreements, documents or proceedings.</w:t>
      </w:r>
    </w:p>
    <w:p>
      <w:pPr>
        <w:spacing w:after="0" w:line="164" w:lineRule="exact"/>
        <w:rPr>
          <w:rFonts w:ascii="Arial" w:cs="Arial" w:eastAsia="Arial" w:hAnsi="Arial"/>
          <w:sz w:val="16"/>
          <w:szCs w:val="16"/>
          <w:color w:val="auto"/>
        </w:rPr>
      </w:pPr>
    </w:p>
    <w:p>
      <w:pPr>
        <w:ind w:left="1044" w:hanging="396"/>
        <w:spacing w:after="0"/>
        <w:tabs>
          <w:tab w:leader="none" w:pos="104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4" w:right="60" w:firstLine="644"/>
        <w:spacing w:after="0" w:line="263" w:lineRule="auto"/>
        <w:tabs>
          <w:tab w:leader="none" w:pos="99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Disclosure Package and the Final Prospectus, will not be an “investment company” as defined in the Investment Company Act of 1940, as amended.</w:t>
      </w:r>
    </w:p>
    <w:p>
      <w:pPr>
        <w:spacing w:after="0" w:line="183" w:lineRule="exact"/>
        <w:rPr>
          <w:rFonts w:ascii="Arial" w:cs="Arial" w:eastAsia="Arial" w:hAnsi="Arial"/>
          <w:sz w:val="18"/>
          <w:szCs w:val="18"/>
          <w:color w:val="auto"/>
        </w:rPr>
      </w:pPr>
    </w:p>
    <w:p>
      <w:pPr>
        <w:ind w:left="4" w:right="140" w:firstLine="644"/>
        <w:spacing w:after="0" w:line="257" w:lineRule="auto"/>
        <w:tabs>
          <w:tab w:leader="none" w:pos="1092"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Securities Act, the listing rules of the Nasdaq Stock Market, applicable Financial Industry Regulatory Authority, Inc. rules and such as may be required under the blue sky laws of any jurisdiction in connection with the purchase and distribution of the Securities by the Underwriters in the manner contemplated herein and in the Disclosure Package and the Final Prospectus.</w:t>
      </w:r>
    </w:p>
    <w:p>
      <w:pPr>
        <w:spacing w:after="0" w:line="187" w:lineRule="exact"/>
        <w:rPr>
          <w:rFonts w:ascii="Arial" w:cs="Arial" w:eastAsia="Arial" w:hAnsi="Arial"/>
          <w:sz w:val="18"/>
          <w:szCs w:val="18"/>
          <w:color w:val="auto"/>
        </w:rPr>
      </w:pPr>
    </w:p>
    <w:p>
      <w:pPr>
        <w:ind w:left="4" w:right="360" w:firstLine="644"/>
        <w:spacing w:after="0" w:line="287" w:lineRule="auto"/>
        <w:tabs>
          <w:tab w:leader="none" w:pos="1042" w:val="left"/>
        </w:tabs>
        <w:numPr>
          <w:ilvl w:val="1"/>
          <w:numId w:val="7"/>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w:t>
      </w:r>
    </w:p>
    <w:p>
      <w:pPr>
        <w:spacing w:after="0" w:line="2" w:lineRule="exact"/>
        <w:rPr>
          <w:rFonts w:ascii="Arial" w:cs="Arial" w:eastAsia="Arial" w:hAnsi="Arial"/>
          <w:sz w:val="16"/>
          <w:szCs w:val="16"/>
          <w:color w:val="auto"/>
        </w:rPr>
      </w:pPr>
    </w:p>
    <w:p>
      <w:pPr>
        <w:ind w:left="4" w:right="40" w:hanging="4"/>
        <w:spacing w:after="0" w:line="290" w:lineRule="auto"/>
        <w:tabs>
          <w:tab w:leader="none" w:pos="26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as would not reasonably be expected, individually or in the aggregate, to result in a Material Adverse Effect and as would not materially adversely affect the ability to consummate the transactions contemplated by this Agreement.</w:t>
      </w:r>
    </w:p>
    <w:p>
      <w:pPr>
        <w:spacing w:after="0" w:line="16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9" w:name="page10"/>
    <w:bookmarkEnd w:id="9"/>
    <w:p>
      <w:pPr>
        <w:ind w:left="580" w:hanging="396"/>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holders of securities of the Company have rights to the registration of such securities under the Registration Statement.</w:t>
      </w:r>
    </w:p>
    <w:p>
      <w:pPr>
        <w:spacing w:after="0" w:line="236" w:lineRule="exact"/>
        <w:rPr>
          <w:rFonts w:ascii="Arial" w:cs="Arial" w:eastAsia="Arial" w:hAnsi="Arial"/>
          <w:sz w:val="17"/>
          <w:szCs w:val="17"/>
          <w:color w:val="auto"/>
        </w:rPr>
      </w:pPr>
    </w:p>
    <w:p>
      <w:pPr>
        <w:ind w:left="-460" w:firstLine="644"/>
        <w:spacing w:after="0" w:line="254" w:lineRule="auto"/>
        <w:tabs>
          <w:tab w:leader="none" w:pos="5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in the Preliminary Prospectus, the Final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conformity with generally accepted accounting principles applied on a consistent basis throughout the periods involved (except as otherwise noted therein). The selected financial data set forth under the caption “Selected Financial Information” in the Preliminary Prospectus, the Final Prospectus and Registration Statement fairly present in all material respects, on the basis stated in the Preliminary Prospectus, the Final Prospectus and the Registration Statement, the information included therein.</w:t>
      </w:r>
    </w:p>
    <w:p>
      <w:pPr>
        <w:spacing w:after="0" w:line="191" w:lineRule="exact"/>
        <w:rPr>
          <w:rFonts w:ascii="Arial" w:cs="Arial" w:eastAsia="Arial" w:hAnsi="Arial"/>
          <w:sz w:val="18"/>
          <w:szCs w:val="18"/>
          <w:color w:val="auto"/>
        </w:rPr>
      </w:pPr>
    </w:p>
    <w:p>
      <w:pPr>
        <w:ind w:left="-460" w:right="20" w:firstLine="644"/>
        <w:spacing w:after="0" w:line="254" w:lineRule="auto"/>
        <w:tabs>
          <w:tab w:leader="none" w:pos="578"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on the condition (financial or otherwise), earnings, business or properties of the Company and its subsidiaries, taken as a whole,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except as set forth in or contemplated in the Disclosure Package and the Final Prospectus (exclusive of any amendment or supplement thereto).</w:t>
      </w:r>
    </w:p>
    <w:p>
      <w:pPr>
        <w:spacing w:after="0" w:line="194" w:lineRule="exact"/>
        <w:rPr>
          <w:rFonts w:ascii="Arial" w:cs="Arial" w:eastAsia="Arial" w:hAnsi="Arial"/>
          <w:sz w:val="18"/>
          <w:szCs w:val="18"/>
          <w:color w:val="auto"/>
        </w:rPr>
      </w:pPr>
    </w:p>
    <w:p>
      <w:pPr>
        <w:ind w:left="-460" w:right="80" w:firstLine="644"/>
        <w:spacing w:after="0" w:line="277" w:lineRule="auto"/>
        <w:tabs>
          <w:tab w:leader="none" w:pos="548"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 Company and each of its subsidiaries owns or leases all such properties as are necessary to the conduct of its operations as presently conducted, except as would not reasonably be expected to have a Material Adverse Effect.</w:t>
      </w:r>
    </w:p>
    <w:p>
      <w:pPr>
        <w:spacing w:after="0" w:line="170" w:lineRule="exact"/>
        <w:rPr>
          <w:rFonts w:ascii="Arial" w:cs="Arial" w:eastAsia="Arial" w:hAnsi="Arial"/>
          <w:sz w:val="18"/>
          <w:szCs w:val="18"/>
          <w:color w:val="auto"/>
        </w:rPr>
      </w:pPr>
    </w:p>
    <w:p>
      <w:pPr>
        <w:ind w:left="-460" w:right="80" w:firstLine="644"/>
        <w:spacing w:after="0" w:line="273" w:lineRule="auto"/>
        <w:tabs>
          <w:tab w:leader="none" w:pos="558"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for such breach, violation or default as would not, individually or in the aggregate, reasonably be expected to have a Material Adverse Effect.</w:t>
      </w:r>
    </w:p>
    <w:p>
      <w:pPr>
        <w:spacing w:after="0" w:line="177" w:lineRule="exact"/>
        <w:rPr>
          <w:rFonts w:ascii="Arial" w:cs="Arial" w:eastAsia="Arial" w:hAnsi="Arial"/>
          <w:sz w:val="17"/>
          <w:szCs w:val="17"/>
          <w:color w:val="auto"/>
        </w:rPr>
      </w:pPr>
    </w:p>
    <w:p>
      <w:pPr>
        <w:ind w:left="-460" w:firstLine="644"/>
        <w:spacing w:after="0" w:line="259" w:lineRule="auto"/>
        <w:tabs>
          <w:tab w:leader="none" w:pos="538" w:val="left"/>
        </w:tabs>
        <w:numPr>
          <w:ilvl w:val="0"/>
          <w:numId w:val="9"/>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and its consolidated subsidiaries and delivered their report with respect to the audited consolidated financial statements and schedules included in the Disclosure Package and the Final Prospectus, are independent public accountants with respect to the Company within the meaning of the Securities Act and the applicable published rules and regulations thereunder.</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10" w:name="page11"/>
    <w:bookmarkEnd w:id="10"/>
    <w:p>
      <w:pPr>
        <w:ind w:left="-460" w:right="220" w:firstLine="644"/>
        <w:spacing w:after="0" w:line="263" w:lineRule="auto"/>
        <w:tabs>
          <w:tab w:leader="none" w:pos="5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or the laws of any state, or any political subdivision thereof, required to be paid in connection with the execution and delivery of this Agreement or the issuance by the Company or sale by the Company of the Securities.</w:t>
      </w:r>
    </w:p>
    <w:p>
      <w:pPr>
        <w:spacing w:after="0" w:line="183" w:lineRule="exact"/>
        <w:rPr>
          <w:rFonts w:ascii="Arial" w:cs="Arial" w:eastAsia="Arial" w:hAnsi="Arial"/>
          <w:sz w:val="18"/>
          <w:szCs w:val="18"/>
          <w:color w:val="auto"/>
        </w:rPr>
      </w:pPr>
    </w:p>
    <w:p>
      <w:pPr>
        <w:ind w:left="-460" w:right="20" w:firstLine="644"/>
        <w:spacing w:after="0" w:line="269" w:lineRule="auto"/>
        <w:tabs>
          <w:tab w:leader="none" w:pos="5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have filed all tax returns that are required to be filed or has requested extensions thereof (except in any case in which the failure so to file would not, individually or in the aggregate, reasonably be expected to have a Material Adverse Effect, except as set forth in or contemplated in the Disclosure Package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individually or in the aggregate, reasonably be expected to have a Material Adverse Effect, except as set forth in or contemplated in the Disclosure Package and the Final Prospectus (exclusive of any amendment or supplement thereto). No labor problem or dispute with the employees of the Company or any of its subsidiaries exists or is threatened or imminent, and the Company is not aware of any existing or imminent labor disturbance by the employees of any of its or its subsidiaries’ principal suppliers, contractors or customers, that would reasonably be expected to have a Material Adverse Effect, except as set forth in or contemplated in the Disclosure Package and the Final Prospectus (exclusive of any amendment or supplement thereto).</w:t>
      </w:r>
    </w:p>
    <w:p>
      <w:pPr>
        <w:spacing w:after="0" w:line="182" w:lineRule="exact"/>
        <w:rPr>
          <w:sz w:val="20"/>
          <w:szCs w:val="20"/>
          <w:color w:val="auto"/>
        </w:rPr>
      </w:pPr>
    </w:p>
    <w:p>
      <w:pPr>
        <w:ind w:left="-460" w:firstLine="644"/>
        <w:spacing w:after="0" w:line="269" w:lineRule="auto"/>
        <w:tabs>
          <w:tab w:leader="none" w:pos="57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prudent and customary in the businesses in which they are engaged;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Disclosure Package and the Final Prospectus (exclusive of any amendment or supplement thereto).</w:t>
      </w:r>
    </w:p>
    <w:p>
      <w:pPr>
        <w:spacing w:after="0" w:line="185" w:lineRule="exact"/>
        <w:rPr>
          <w:rFonts w:ascii="Arial" w:cs="Arial" w:eastAsia="Arial" w:hAnsi="Arial"/>
          <w:sz w:val="17"/>
          <w:szCs w:val="17"/>
          <w:color w:val="auto"/>
        </w:rPr>
      </w:pPr>
    </w:p>
    <w:p>
      <w:pPr>
        <w:ind w:left="-460" w:right="40" w:firstLine="644"/>
        <w:spacing w:after="0" w:line="301" w:lineRule="auto"/>
        <w:tabs>
          <w:tab w:leader="none" w:pos="5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Final Prospectus (exclusive of any amendment or supplement thereto).</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11" w:name="page12"/>
    <w:bookmarkEnd w:id="11"/>
    <w:p>
      <w:pPr>
        <w:ind w:left="-460" w:right="440" w:firstLine="644"/>
        <w:spacing w:after="0" w:line="273" w:lineRule="auto"/>
        <w:tabs>
          <w:tab w:leader="none" w:pos="5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its subsidiaries possess all licenses, certificates, permits and other authorizations issued by all applicable authorities necessary to conduct their respective businesses as presently conducted, except where the failure to possess the same would not reasonably be expected to have a Material Adverse Effect,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Final Prospectus (exclusive of any amendment or supplement thereto).</w:t>
      </w:r>
    </w:p>
    <w:p>
      <w:pPr>
        <w:spacing w:after="0" w:line="178" w:lineRule="exact"/>
        <w:rPr>
          <w:sz w:val="20"/>
          <w:szCs w:val="20"/>
          <w:color w:val="auto"/>
        </w:rPr>
      </w:pPr>
    </w:p>
    <w:p>
      <w:pPr>
        <w:ind w:left="-460" w:firstLine="644"/>
        <w:spacing w:after="0" w:line="289" w:lineRule="auto"/>
        <w:tabs>
          <w:tab w:leader="none" w:pos="6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designed to, and which the Company believes is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or incorporated by reference in the Registration Statement, the Preliminary Prospectus and the Final Prospectus is in compliance with the SEC’s published rules, regulations and guidelines applicable thereto. The Company’s and its subsidiaries’ internal controls over financial reporting are effective and the Company and its subsidiaries are not aware of any material weakness in their internal controls over financial reporting.</w:t>
      </w:r>
    </w:p>
    <w:p>
      <w:pPr>
        <w:spacing w:after="0" w:line="166" w:lineRule="exact"/>
        <w:rPr>
          <w:rFonts w:ascii="Arial" w:cs="Arial" w:eastAsia="Arial" w:hAnsi="Arial"/>
          <w:sz w:val="16"/>
          <w:szCs w:val="16"/>
          <w:color w:val="auto"/>
        </w:rPr>
      </w:pPr>
    </w:p>
    <w:p>
      <w:pPr>
        <w:ind w:left="-460" w:right="100" w:firstLine="644"/>
        <w:spacing w:after="0" w:line="277" w:lineRule="auto"/>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170" w:lineRule="exact"/>
        <w:rPr>
          <w:rFonts w:ascii="Arial" w:cs="Arial" w:eastAsia="Arial" w:hAnsi="Arial"/>
          <w:sz w:val="18"/>
          <w:szCs w:val="18"/>
          <w:color w:val="auto"/>
        </w:rPr>
      </w:pPr>
    </w:p>
    <w:p>
      <w:pPr>
        <w:ind w:left="-460" w:right="180" w:firstLine="644"/>
        <w:spacing w:after="0" w:line="263"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would constitute or that would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460" w:right="80" w:firstLine="644"/>
        <w:spacing w:after="0" w:line="289" w:lineRule="auto"/>
        <w:tabs>
          <w:tab w:leader="none" w:pos="6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reasonably be expected to have a Material Adverse Effect, except as set forth in or contemplated in the Disclosure Package and the Final Prospectus (exclusive of any amendment or supplement thereto). Except as set forth in the Disclosure Package and the Final Prospectus, neither the Company nor any of the subsidiaries has been named as a “potentially responsible party” under the Comprehensive Environmental Response, Compensation, and Liability Act of 1980, as amended.</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12" w:name="page13"/>
    <w:bookmarkEnd w:id="12"/>
    <w:p>
      <w:pPr>
        <w:ind w:left="-460" w:right="20" w:firstLine="644"/>
        <w:spacing w:after="0" w:line="272" w:lineRule="auto"/>
        <w:tabs>
          <w:tab w:leader="none" w:pos="6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reasonably be expected to have a Material Adverse Effect, except as set forth in or contemplated in the Disclosure Package and the Final Prospectus (exclusive of any amendment or supplement thereto).</w:t>
      </w:r>
    </w:p>
    <w:p>
      <w:pPr>
        <w:spacing w:after="0" w:line="177" w:lineRule="exact"/>
        <w:rPr>
          <w:rFonts w:ascii="Arial" w:cs="Arial" w:eastAsia="Arial" w:hAnsi="Arial"/>
          <w:sz w:val="17"/>
          <w:szCs w:val="17"/>
          <w:color w:val="auto"/>
        </w:rPr>
      </w:pPr>
    </w:p>
    <w:p>
      <w:pPr>
        <w:ind w:left="-460" w:firstLine="644"/>
        <w:spacing w:after="0" w:line="285" w:lineRule="auto"/>
        <w:tabs>
          <w:tab w:leader="none" w:pos="6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a Plan,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other than increases in the ordinary course resulting from an increase in the number of eligible participants in such Plans or increases resulting from increased participation by eligible participants in such Plans;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Arial" w:cs="Arial" w:eastAsia="Arial" w:hAnsi="Arial"/>
          <w:sz w:val="16"/>
          <w:szCs w:val="16"/>
          <w:u w:val="single" w:color="auto"/>
          <w:color w:val="auto"/>
        </w:rPr>
        <w:t>Plan</w:t>
      </w:r>
      <w:r>
        <w:rPr>
          <w:rFonts w:ascii="Arial" w:cs="Arial" w:eastAsia="Arial" w:hAnsi="Arial"/>
          <w:sz w:val="16"/>
          <w:szCs w:val="16"/>
          <w:color w:val="auto"/>
        </w:rPr>
        <w:t>” means a plan (within the meaning of Section 3(3) of ERISA) subject to Title IV of ERISA with respect to which the Company or any of its subsidiaries may have any liability.</w:t>
      </w:r>
    </w:p>
    <w:p>
      <w:pPr>
        <w:spacing w:after="0" w:line="168" w:lineRule="exact"/>
        <w:rPr>
          <w:rFonts w:ascii="Arial" w:cs="Arial" w:eastAsia="Arial" w:hAnsi="Arial"/>
          <w:sz w:val="16"/>
          <w:szCs w:val="16"/>
          <w:color w:val="auto"/>
        </w:rPr>
      </w:pPr>
    </w:p>
    <w:p>
      <w:pPr>
        <w:ind w:left="-460" w:right="200" w:firstLine="644"/>
        <w:spacing w:after="0" w:line="311" w:lineRule="auto"/>
        <w:tabs>
          <w:tab w:leader="none" w:pos="6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including Section 402 relating to loans and Sections 302 and 906 relating to certifications.</w:t>
      </w:r>
    </w:p>
    <w:p>
      <w:pPr>
        <w:spacing w:after="0" w:line="1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3" w:name="page14"/>
    <w:bookmarkEnd w:id="13"/>
    <w:p>
      <w:pPr>
        <w:ind w:left="-460" w:right="120" w:firstLine="644"/>
        <w:spacing w:after="0" w:line="272" w:lineRule="auto"/>
        <w:tabs>
          <w:tab w:leader="none" w:pos="6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affiliate or other person acting on behalf of the Company or any of its subsidiaries is aware of or has taken any action, directly or indirectly, that would result in a violation or a sanction for violation by such persons of the Foreign Corrupt Practices Act of 1977 or the U.K. Bribery Act 2010, each as may be amended, or similar law of any other relevant jurisdiction, or the rules or regulations thereunder; and the Company and its subsidiaries have instituted and maintain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177" w:lineRule="exact"/>
        <w:rPr>
          <w:rFonts w:ascii="Arial" w:cs="Arial" w:eastAsia="Arial" w:hAnsi="Arial"/>
          <w:sz w:val="17"/>
          <w:szCs w:val="17"/>
          <w:color w:val="auto"/>
        </w:rPr>
      </w:pPr>
    </w:p>
    <w:p>
      <w:pPr>
        <w:ind w:left="-460" w:firstLine="644"/>
        <w:spacing w:after="0" w:line="296"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61" w:lineRule="exact"/>
        <w:rPr>
          <w:rFonts w:ascii="Arial" w:cs="Arial" w:eastAsia="Arial" w:hAnsi="Arial"/>
          <w:sz w:val="16"/>
          <w:szCs w:val="16"/>
          <w:color w:val="auto"/>
        </w:rPr>
      </w:pPr>
    </w:p>
    <w:p>
      <w:pPr>
        <w:ind w:left="-460" w:right="40" w:firstLine="644"/>
        <w:spacing w:after="0" w:line="287" w:lineRule="auto"/>
        <w:tabs>
          <w:tab w:leader="none" w:pos="5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and such persons, “</w:t>
      </w:r>
      <w:r>
        <w:rPr>
          <w:rFonts w:ascii="Arial" w:cs="Arial" w:eastAsia="Arial" w:hAnsi="Arial"/>
          <w:sz w:val="16"/>
          <w:szCs w:val="16"/>
          <w:u w:val="single" w:color="auto"/>
          <w:color w:val="auto"/>
        </w:rPr>
        <w:t>Sanctioned Persons</w:t>
      </w:r>
      <w:r>
        <w:rPr>
          <w:rFonts w:ascii="Arial" w:cs="Arial" w:eastAsia="Arial" w:hAnsi="Arial"/>
          <w:sz w:val="16"/>
          <w:szCs w:val="16"/>
          <w:color w:val="auto"/>
        </w:rPr>
        <w:t>” and each such person, a “</w:t>
      </w:r>
      <w:r>
        <w:rPr>
          <w:rFonts w:ascii="Arial" w:cs="Arial" w:eastAsia="Arial" w:hAnsi="Arial"/>
          <w:sz w:val="16"/>
          <w:szCs w:val="16"/>
          <w:u w:val="single" w:color="auto"/>
          <w:color w:val="auto"/>
        </w:rPr>
        <w:t>Sanctioned Person</w:t>
      </w:r>
      <w:r>
        <w:rPr>
          <w:rFonts w:ascii="Arial" w:cs="Arial" w:eastAsia="Arial" w:hAnsi="Arial"/>
          <w:sz w:val="16"/>
          <w:szCs w:val="16"/>
          <w:color w:val="auto"/>
        </w:rPr>
        <w:t>”), (ii) is located, organized or resident in a country or territory that is, or whose government is, the subject of Sanctions that broadly prohibit dealings with that country or territory (collectively, “</w:t>
      </w:r>
      <w:r>
        <w:rPr>
          <w:rFonts w:ascii="Arial" w:cs="Arial" w:eastAsia="Arial" w:hAnsi="Arial"/>
          <w:sz w:val="16"/>
          <w:szCs w:val="16"/>
          <w:u w:val="single" w:color="auto"/>
          <w:color w:val="auto"/>
        </w:rPr>
        <w:t>Sanctioned Countries</w:t>
      </w:r>
      <w:r>
        <w:rPr>
          <w:rFonts w:ascii="Arial" w:cs="Arial" w:eastAsia="Arial" w:hAnsi="Arial"/>
          <w:sz w:val="16"/>
          <w:szCs w:val="16"/>
          <w:color w:val="auto"/>
        </w:rPr>
        <w:t>” and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would result in the imposition of Sanctions against, any individual or entity (including any individual or entity participating in the offering, whether as underwriter, advisor, investor or otherwise).</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4" w:name="page15"/>
    <w:bookmarkEnd w:id="14"/>
    <w:p>
      <w:pPr>
        <w:ind w:left="-460" w:right="40" w:firstLine="644"/>
        <w:spacing w:after="0" w:line="286" w:lineRule="auto"/>
        <w:tabs>
          <w:tab w:leader="none" w:pos="6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spacing w:after="0" w:line="165" w:lineRule="exact"/>
        <w:rPr>
          <w:rFonts w:ascii="Arial" w:cs="Arial" w:eastAsia="Arial" w:hAnsi="Arial"/>
          <w:sz w:val="17"/>
          <w:szCs w:val="17"/>
          <w:color w:val="auto"/>
        </w:rPr>
      </w:pPr>
    </w:p>
    <w:p>
      <w:pPr>
        <w:ind w:left="-460" w:firstLine="644"/>
        <w:spacing w:after="0" w:line="284" w:lineRule="auto"/>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and its subsidiaries own, possess, or have valid and enforceable licenses or other rights to use, on reasonable terms, all patents, trademarks, service marks, trade names, domain names and other source identifiers, copyrights, mask works, licenses, inventions, trade secrets, technology, know-how and all other intellectual property or proprietary rights (including all registrations and applications for registration of, and all goodwill associated with, the foregoing)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used in, held for use in or necessary for the conduct of the business of the Company and its subsidiaries as now conducted or as proposed in the Disclosure Package or the Final Prospectus to be conducted except where the failure to so own, possess or license would not, individually or in the aggregate, reasonably be expected to have a Material Adverse Effect. Except as would not, singly or in the aggregate, reasonably be expected to have a Material Adverse Effect, (i) there are no rights of third parties to any such Intellectual Property; (ii) to the knowledge of the Company, there has been no infringement, misappropriation or other violation by third parties of any such Intellectual Property; (iii) there is no pending or, to the knowledge of the Company, threatened action, suit, investigation, proceeding or claim by others (A) challenging the Company’s or any of its subsidiaries’ rights in or to, or the validity, enforceability or scope of, any Intellectual Property owned by or licensed to the Company or any of its subsidiaries or (B) alleging that the Company or any of its subsidiaries infringes, misappropriates or otherwise violates any Intellectual Property of others, and, in each case, the Company is unaware of any facts which would form a reasonable basis for any such actions, suits, investigations, proceedings or claims; (iv) the conduct of the business of the Company and its subsidiaries has not conflicted with, infringed, misappropriated or otherwise violated, and the manufacture, sale and other exploitation of any of the products or services described in the Disclosure Package or the Final Prospectus will not conflict with, infringe, misappropriate or otherwise violate, any Intellectual Property of any third party; (v) there is no U.S. patent or published U.S. patent application which contains claims that dominate or may dominate any Intellectual Property described in the Disclosure Package or the Final Prospectus as being owned by or licensed to the Company or any of its subsidiaries or that interferes with the issued or pending claims of any such Intellectual Property; (vi) there is no prior art of which the Company is aware that may render any patent held by the Company or any of its subsidiaries invalid or any patent application held by the Company or any of its subsidiaries un-patentable which has not been disclosed to the U.S. Patent and Trademark Office or similar offices in other jurisdictions; (vii) none of the Intellectual Property owned by or exclusively licensed to the Company or any of its subsidiaries has been adjudged invalid or unenforceable in whole or part, and, to the knowledge of the Company, all such Intellectual Property is valid and enforceable; and (viii) the Company and its subsidiaries have at all times taken reasonable steps in accordance with normal industry practice to maintain the confidentiality of all Intellectual Property, the value of which to the Company or its subsidiaries is contingent upon maintaining the confidentiality thereof.</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15" w:name="page16"/>
    <w:bookmarkEnd w:id="15"/>
    <w:p>
      <w:pPr>
        <w:ind w:left="4" w:right="140" w:firstLine="644"/>
        <w:spacing w:after="0" w:line="286" w:lineRule="auto"/>
        <w:tabs>
          <w:tab w:leader="none" w:pos="1232"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Except as would not, singly or in the aggregate, reasonably be expected to have a Material Adverse Effect,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6"/>
          <w:szCs w:val="16"/>
          <w:u w:val="single" w:color="auto"/>
          <w:color w:val="auto"/>
        </w:rPr>
        <w:t>Open Source Software</w:t>
      </w:r>
      <w:r>
        <w:rPr>
          <w:rFonts w:ascii="Arial" w:cs="Arial" w:eastAsia="Arial" w:hAnsi="Arial"/>
          <w:sz w:val="16"/>
          <w:szCs w:val="16"/>
          <w:color w:val="auto"/>
        </w:rPr>
        <w:t>”) in compliance with all license terms applicable to such Open Source Software.,</w:t>
      </w:r>
    </w:p>
    <w:p>
      <w:pPr>
        <w:spacing w:after="0" w:line="1" w:lineRule="exact"/>
        <w:rPr>
          <w:rFonts w:ascii="Arial" w:cs="Arial" w:eastAsia="Arial" w:hAnsi="Arial"/>
          <w:sz w:val="16"/>
          <w:szCs w:val="16"/>
          <w:color w:val="auto"/>
        </w:rPr>
      </w:pPr>
    </w:p>
    <w:p>
      <w:pPr>
        <w:ind w:left="4" w:right="40" w:hanging="4"/>
        <w:spacing w:after="0" w:line="288" w:lineRule="auto"/>
        <w:tabs>
          <w:tab w:leader="none" w:pos="2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nor any of its subsidiaries use or distribute or have used or distributed any Open Source Software in any manner that, to the knowledge of the Company, requires or has required (A) the Company or any of its subsidiaries to permit reverse-engineering of any software code or other technology owned by the Company or any of its subsidiaries or (B) any software code or other technology owned by the Company or any of its subsidiaries to be disclosed or distributed in source code form, licensed for the purpose of making derivative works or redistributed at no charge, and (iii) except as disclosed in the Registration Statement, the Disclosure Package and the Final Prospectus, neither the Company nor any of its subsidiaries has deposited, nor could be required to deposit, into escrow the source code of any of its software and no such source code has been released to any third party, or is entitled to be released to any third party, by any escrow agent.</w:t>
      </w:r>
    </w:p>
    <w:p>
      <w:pPr>
        <w:spacing w:after="0" w:line="168" w:lineRule="exact"/>
        <w:rPr>
          <w:rFonts w:ascii="Arial" w:cs="Arial" w:eastAsia="Arial" w:hAnsi="Arial"/>
          <w:sz w:val="16"/>
          <w:szCs w:val="16"/>
          <w:color w:val="auto"/>
        </w:rPr>
      </w:pPr>
    </w:p>
    <w:p>
      <w:pPr>
        <w:ind w:left="4" w:firstLine="644"/>
        <w:spacing w:after="0" w:line="285" w:lineRule="auto"/>
        <w:tabs>
          <w:tab w:leader="none" w:pos="1132" w:val="left"/>
        </w:tabs>
        <w:numPr>
          <w:ilvl w:val="1"/>
          <w:numId w:val="1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Disclosure Package and the Prospectus and to the knowledge of the Company, there has been no security breach or incident, unauthorized access or disclosure, or other compromise of or relating to the Company or any of its subsidiaries’ information technology and computer systems, networks, hardware, software, data and databases (including the data and information of their respective customers, employees, suppliers, vendors and any third-party data collected, maintained, used, transmitted, processed or stored by the Company or any of its subsidiaries, and any such data collected, maintained, used, transmitted, processed or stored by third parties on behalf of the Company or any of its subsidiaries),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except for such breach or incident, unauthorized access or disclosure or other compromise which would not, individually or in the aggregate, reasonably be expected to have a Material Adverse Effect. Except as would not, singly or in the aggregate, reasonably be expected have a Material Adverse Effect, (i) neither the Company nor any of its subsidiaries have been notified of, and each of them have no knowledge of any event or condition that could result in, any security breach or incident, unauthorized access or disclosure or other compromise to the IT Systems and Data and (ii) the Company and its subsidiaries have implemented appropriate controls, policies, procedures, and technological safeguards to maintain and protect the integrity, continuous operation, redundancy and security of the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court or arbitrator or governmental or regulatory authority, policies and contractual obligations relating to the collection, maintenance, use, transmission, processing, storage, privacy and security of IT Systems and Data and to the protection of such IT Systems and Data from unauthorized use, access, misappropriation or modification.</w:t>
      </w:r>
    </w:p>
    <w:p>
      <w:pPr>
        <w:spacing w:after="0" w:line="176" w:lineRule="exact"/>
        <w:rPr>
          <w:rFonts w:ascii="Arial" w:cs="Arial" w:eastAsia="Arial" w:hAnsi="Arial"/>
          <w:sz w:val="16"/>
          <w:szCs w:val="16"/>
          <w:color w:val="auto"/>
        </w:rPr>
      </w:pPr>
    </w:p>
    <w:p>
      <w:pPr>
        <w:jc w:val="both"/>
        <w:ind w:left="4" w:firstLine="644"/>
        <w:spacing w:after="0" w:line="286" w:lineRule="auto"/>
        <w:tabs>
          <w:tab w:leader="none" w:pos="1132" w:val="left"/>
        </w:tabs>
        <w:numPr>
          <w:ilvl w:val="1"/>
          <w:numId w:val="18"/>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and the Final Prospectus, the Company (i) does not have any material lending or other relationship with any bank or lending affiliate of the Underwriters and (ii) does not intend to use any of the proceeds from the sale of the Securities hereunder to repay any outstanding debt owed to any affiliate of an Underwriter.</w:t>
      </w:r>
    </w:p>
    <w:p>
      <w:pPr>
        <w:spacing w:after="0" w:line="16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16" w:name="page17"/>
    <w:bookmarkEnd w:id="16"/>
    <w:p>
      <w:pPr>
        <w:ind w:left="660" w:right="120" w:firstLine="644"/>
        <w:spacing w:after="0" w:line="263" w:lineRule="auto"/>
        <w:tabs>
          <w:tab w:leader="none" w:pos="17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statistical and market-related data included or incorporated by reference in the Disclosure Package and the Final Prospectus are based on or derived from sources that the Company believes to be reliable and accurate, and the Company has obtained the written consent to the use of such data from such sources.</w:t>
      </w:r>
    </w:p>
    <w:p>
      <w:pPr>
        <w:spacing w:after="0" w:line="184" w:lineRule="exact"/>
        <w:rPr>
          <w:sz w:val="20"/>
          <w:szCs w:val="20"/>
          <w:color w:val="auto"/>
        </w:rPr>
      </w:pPr>
    </w:p>
    <w:p>
      <w:pPr>
        <w:ind w:right="120" w:firstLine="1296"/>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24" w:lineRule="exact"/>
        <w:rPr>
          <w:sz w:val="20"/>
          <w:szCs w:val="20"/>
          <w:color w:val="auto"/>
        </w:rPr>
      </w:pPr>
    </w:p>
    <w:p>
      <w:pPr>
        <w:ind w:left="1620" w:hanging="316"/>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left="660" w:right="140" w:firstLine="644"/>
        <w:spacing w:after="0" w:line="311" w:lineRule="auto"/>
        <w:tabs>
          <w:tab w:leader="none" w:pos="16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number of Underwritten Securities set forth opposite such Underwriter’s name in Schedule II hereto.</w:t>
      </w:r>
    </w:p>
    <w:p>
      <w:pPr>
        <w:spacing w:after="0" w:line="148" w:lineRule="exact"/>
        <w:rPr>
          <w:rFonts w:ascii="Arial" w:cs="Arial" w:eastAsia="Arial" w:hAnsi="Arial"/>
          <w:sz w:val="16"/>
          <w:szCs w:val="16"/>
          <w:color w:val="auto"/>
        </w:rPr>
      </w:pPr>
    </w:p>
    <w:p>
      <w:pPr>
        <w:ind w:left="660" w:right="20" w:firstLine="644"/>
        <w:spacing w:after="0" w:line="289" w:lineRule="auto"/>
        <w:tabs>
          <w:tab w:leader="none" w:pos="16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Company hereby grants an option to the several Underwriters to purchase, severally and not jointly, up to the number of Option Securities set forth in Schedule I hereto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on or before the 30th day after the date of the Final Prospectus upon written or telegraphic notice by the Representatives to the Company setting forth the number of Option Securities as to which the several Underwriters are exercising the option and the settlement date. The number of Option Securities to be purchased by each Underwriter shall be the same percentage of the total number of Option Securities to be purchased by the several Underwriters as such Underwriter is purchasing of the Underwritten Securities, subject to such adjustments as you in your absolute discretion shall make to eliminate any fractional shares.</w:t>
      </w:r>
    </w:p>
    <w:p>
      <w:pPr>
        <w:spacing w:after="0" w:line="166" w:lineRule="exact"/>
        <w:rPr>
          <w:sz w:val="20"/>
          <w:szCs w:val="20"/>
          <w:color w:val="auto"/>
        </w:rPr>
      </w:pPr>
    </w:p>
    <w:p>
      <w:pPr>
        <w:ind w:firstLine="1304"/>
        <w:spacing w:after="0" w:line="288" w:lineRule="auto"/>
        <w:tabs>
          <w:tab w:leader="none" w:pos="161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Underwritten Securities and the Option Securities (if the option provided for in Section 2(b) hereof shall have been exercised on or before the second Business Day immediately preceding the Closing Date)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 As used herein,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a Sunday or a legal holiday or a day on which banking institutions or trust companies are authorized or obligated by law to close in New York City.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Underwritten Securities and the Option Securities shall be made through the facilities of The Depository Trust Company unless the Representatives shall otherwise instruct.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firstLine="648"/>
        <w:spacing w:after="0" w:line="254" w:lineRule="auto"/>
        <w:rPr>
          <w:sz w:val="20"/>
          <w:szCs w:val="20"/>
          <w:color w:val="auto"/>
        </w:rPr>
      </w:pPr>
      <w:r>
        <w:rPr>
          <w:rFonts w:ascii="Arial" w:cs="Arial" w:eastAsia="Arial" w:hAnsi="Arial"/>
          <w:sz w:val="18"/>
          <w:szCs w:val="18"/>
          <w:color w:val="auto"/>
        </w:rPr>
        <w:t>If the option provided for in Section 2(b) hereof is exercised after the second Business Day immediately preceding the Closing Date, the Company will deliver the Option Securities (at the expense of the Company) to the Representatives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Company by wire transfer payable in same-day funds to an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92" w:lineRule="exact"/>
        <w:rPr>
          <w:sz w:val="20"/>
          <w:szCs w:val="20"/>
          <w:color w:val="auto"/>
        </w:rPr>
      </w:pPr>
    </w:p>
    <w:p>
      <w:pPr>
        <w:ind w:right="260" w:firstLine="1304"/>
        <w:spacing w:after="0" w:line="277" w:lineRule="auto"/>
        <w:tabs>
          <w:tab w:leader="none" w:pos="161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Final Prospectus.</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sz w:val="20"/>
          <w:szCs w:val="20"/>
          <w:color w:val="auto"/>
        </w:rPr>
      </w:pPr>
    </w:p>
    <w:p>
      <w:pPr>
        <w:ind w:left="660" w:firstLine="644"/>
        <w:spacing w:after="0" w:line="267" w:lineRule="auto"/>
        <w:tabs>
          <w:tab w:leader="none" w:pos="1688"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the termination of the offering of the Securities, the Company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Representatives with the SEC pursuant to the applicable paragraph of Rule 424(b) within the time period prescribed and will provide evidence satisfactory to the Representatives of such timely filing. The Company will promptly advise the Representatives (i) when the Final Prospectus, and any supplement thereto, shall have been filed (if required) with the SEC pursuant to Rule 424(b), (ii) when, prior to termination of the offering of the Securities, any amendment to the Registration Statement shall have been filed or become effective, (iii) of any request by the SEC or its staff for any amendment of the Registration Statement, or any Rule 462(b) Registration Statement, or for any supplement to the Final Prospectus or for any additional information, (iv) of the issuance by the SEC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ind w:left="4" w:right="240" w:firstLine="644"/>
        <w:spacing w:after="0" w:line="286" w:lineRule="auto"/>
        <w:tabs>
          <w:tab w:leader="none" w:pos="10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at any time prior to the filing of the Final Prospectus pursuant to Rule 424(b) ,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w:t>
      </w:r>
    </w:p>
    <w:p>
      <w:pPr>
        <w:spacing w:after="0" w:line="1" w:lineRule="exact"/>
        <w:rPr>
          <w:rFonts w:ascii="Arial" w:cs="Arial" w:eastAsia="Arial" w:hAnsi="Arial"/>
          <w:sz w:val="16"/>
          <w:szCs w:val="16"/>
          <w:color w:val="auto"/>
        </w:rPr>
      </w:pPr>
    </w:p>
    <w:p>
      <w:pPr>
        <w:ind w:left="4" w:right="180" w:hanging="4"/>
        <w:spacing w:after="0" w:line="260"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 or supplement the Disclosure Package to correct such statement or omission; and (iii) supply any amendment or supplement to you in such quantities as you may reasonably request.</w:t>
      </w:r>
    </w:p>
    <w:p>
      <w:pPr>
        <w:spacing w:after="0" w:line="185" w:lineRule="exact"/>
        <w:rPr>
          <w:rFonts w:ascii="Arial" w:cs="Arial" w:eastAsia="Arial" w:hAnsi="Arial"/>
          <w:sz w:val="18"/>
          <w:szCs w:val="18"/>
          <w:color w:val="auto"/>
        </w:rPr>
      </w:pPr>
    </w:p>
    <w:p>
      <w:pPr>
        <w:ind w:left="4" w:firstLine="644"/>
        <w:spacing w:after="0" w:line="269" w:lineRule="auto"/>
        <w:tabs>
          <w:tab w:leader="none" w:pos="1032"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at any time when a prospectus relating to the Securities is required to be delivered under the Securities Act (including in circumstances where such requirement may be satisfied pursuant to Rule 172), any event occurs as a result of which the Final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to comply with the Securities Act or the Exchange Act or the respective rules thereunder, including in connection with use or delivery of the Final Prospectus, the Company promptly will (i) notify the Representatives of any such event, (ii) prepare and file with the SEC, subject to the second sentence of paragraph (a) of this Section 5,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181" w:lineRule="exact"/>
        <w:rPr>
          <w:rFonts w:ascii="Arial" w:cs="Arial" w:eastAsia="Arial" w:hAnsi="Arial"/>
          <w:sz w:val="17"/>
          <w:szCs w:val="17"/>
          <w:color w:val="auto"/>
        </w:rPr>
      </w:pPr>
    </w:p>
    <w:p>
      <w:pPr>
        <w:ind w:left="4" w:right="180" w:firstLine="644"/>
        <w:spacing w:after="0" w:line="263" w:lineRule="auto"/>
        <w:tabs>
          <w:tab w:leader="none" w:pos="10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Securities Act and Rule 158 under the Securities Act.</w:t>
      </w:r>
    </w:p>
    <w:p>
      <w:pPr>
        <w:spacing w:after="0" w:line="183" w:lineRule="exact"/>
        <w:rPr>
          <w:rFonts w:ascii="Arial" w:cs="Arial" w:eastAsia="Arial" w:hAnsi="Arial"/>
          <w:sz w:val="18"/>
          <w:szCs w:val="18"/>
          <w:color w:val="auto"/>
        </w:rPr>
      </w:pPr>
    </w:p>
    <w:p>
      <w:pPr>
        <w:ind w:left="4" w:right="100" w:firstLine="644"/>
        <w:spacing w:after="0" w:line="273" w:lineRule="auto"/>
        <w:tabs>
          <w:tab w:leader="none" w:pos="1028"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Company will furnish to the Representatives and counsel for the Underwriters, without charge, signed copies of the Registration Statement with conformed signatures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the Final Prospectus and each Issuer Free Writing Prospectus and any supplement thereto as the Representatives may reasonably request. The Company will pay the expenses of printing or other production of all documents relating to the offering.</w:t>
      </w:r>
    </w:p>
    <w:p>
      <w:pPr>
        <w:spacing w:after="0" w:line="1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19" w:name="page20"/>
    <w:bookmarkEnd w:id="19"/>
    <w:p>
      <w:pPr>
        <w:ind w:left="-460" w:right="60" w:firstLine="644"/>
        <w:spacing w:after="0" w:line="257"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 Representatives may reasonably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7" w:lineRule="exact"/>
        <w:rPr>
          <w:rFonts w:ascii="Arial" w:cs="Arial" w:eastAsia="Arial" w:hAnsi="Arial"/>
          <w:sz w:val="18"/>
          <w:szCs w:val="18"/>
          <w:color w:val="auto"/>
        </w:rPr>
      </w:pPr>
    </w:p>
    <w:p>
      <w:pPr>
        <w:ind w:left="-460" w:firstLine="644"/>
        <w:spacing w:after="0" w:line="285" w:lineRule="auto"/>
        <w:tabs>
          <w:tab w:leader="none" w:pos="57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for, shares Common Stock; or publicly announce an intention to effect any such transaction, until the Business Day set forth on Schedule I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(i) issue and sell Common Stock, or any securities convertible into or exercisable or exchangeable for shares of Common Stock, pursuant to any employee stock option plan, incentive plan, employee stock purchase plan, stock ownership plan or dividend reinvestment plan of the Company in effect at the Execution Time, (ii) issue Common Stock issuable upon the conversion of securities or the exercise of warrants outstanding at the Execution Time, (iii) file one or more registration statements on Form S-8 and issue shares of Common Stock, or any securities convertible into or exercisable or exchangeable for, Common Stock, or (iv) enter into an agreement to issue shares of Common Stock, or any securities convertible into or exercisable or exchangeable for, shares of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aggregate number of shares of Common Stock, or securities convertible into or exercisable or exchangeable for shares of Common Stock, that the Company may issue or agree to issue pursuant to this clause (iv) shall not exceed 5.0% of the total outstanding shares of Common Stock immediately following the issuance of the Underwritten Securities and provided, </w:t>
      </w:r>
      <w:r>
        <w:rPr>
          <w:rFonts w:ascii="Arial" w:cs="Arial" w:eastAsia="Arial" w:hAnsi="Arial"/>
          <w:sz w:val="16"/>
          <w:szCs w:val="16"/>
          <w:u w:val="single" w:color="auto"/>
          <w:color w:val="auto"/>
        </w:rPr>
        <w:t>further</w:t>
      </w:r>
      <w:r>
        <w:rPr>
          <w:rFonts w:ascii="Arial" w:cs="Arial" w:eastAsia="Arial" w:hAnsi="Arial"/>
          <w:sz w:val="16"/>
          <w:szCs w:val="16"/>
          <w:color w:val="auto"/>
        </w:rPr>
        <w:t>, that the recipients thereof provide to the Representatives a signed lock-up letter in the form described in Section 6(k) hereof.</w:t>
      </w:r>
    </w:p>
    <w:p>
      <w:pPr>
        <w:spacing w:after="0" w:line="168" w:lineRule="exact"/>
        <w:rPr>
          <w:rFonts w:ascii="Arial" w:cs="Arial" w:eastAsia="Arial" w:hAnsi="Arial"/>
          <w:sz w:val="16"/>
          <w:szCs w:val="16"/>
          <w:color w:val="auto"/>
        </w:rPr>
      </w:pPr>
    </w:p>
    <w:p>
      <w:pPr>
        <w:ind w:left="-460" w:firstLine="644"/>
        <w:spacing w:after="0" w:line="263" w:lineRule="auto"/>
        <w:tabs>
          <w:tab w:leader="none" w:pos="5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not take, directly or indirectly (without giving effect to activities by the Underwriters), any action designed to or that would constitute or that would reasonably be expected to cause or result in, under the Exchange Act or otherwise, stabilization or manipulation of the price of any security of the Company to facilitate the sale or resale of the Securities.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440" w:top="584" w:right="419" w:bottom="1440" w:gutter="0" w:footer="0" w:header="0"/>
        </w:sectPr>
      </w:pPr>
    </w:p>
    <w:bookmarkStart w:id="20" w:name="page21"/>
    <w:bookmarkEnd w:id="20"/>
    <w:p>
      <w:pPr>
        <w:ind w:left="660" w:firstLine="644"/>
        <w:spacing w:after="0" w:line="267" w:lineRule="auto"/>
        <w:tabs>
          <w:tab w:leader="none" w:pos="1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agrees to pay the costs and expenses relating to the following matters: (i) the preparation, printing or reproduction and filing with the SEC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the Nasdaq Stock Market; (vi) any registration or 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xml:space="preserve">”) (including filing fees and the reasonable fees and expenses of counsel for the Underwriters relating to such filings), with such fees and expenses of counsel pursuant to clauses (vi) and (vii) not to exceed $35,000 in the aggregate; (viii) the transportation and other expenses incurred by or on behalf of Company representatives in connection with presentations to prospective purchasers of the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Representatives and the Company mutually agree that an aircraft shall be chartered in connection with the road show for the Securities, the Company shall only be responsible for one-half of the cost and expenses of such aircraft and the Underwriters shall be responsible for the balance; (ix) the fees and expenses of the Company’s accountants and the fees and expenses of counsel (including local and special counsel) for the Company; and (x) all other costs and expenses incident to the performance by the Company of its obligations hereunder.</w:t>
      </w:r>
    </w:p>
    <w:p>
      <w:pPr>
        <w:spacing w:after="0" w:line="186" w:lineRule="exact"/>
        <w:rPr>
          <w:rFonts w:ascii="Arial" w:cs="Arial" w:eastAsia="Arial" w:hAnsi="Arial"/>
          <w:sz w:val="17"/>
          <w:szCs w:val="17"/>
          <w:color w:val="auto"/>
        </w:rPr>
      </w:pPr>
    </w:p>
    <w:p>
      <w:pPr>
        <w:ind w:left="660" w:firstLine="644"/>
        <w:spacing w:after="0" w:line="288" w:lineRule="auto"/>
        <w:tabs>
          <w:tab w:leader="none" w:pos="1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under the Securities Act (“</w:t>
      </w:r>
      <w:r>
        <w:rPr>
          <w:rFonts w:ascii="Arial" w:cs="Arial" w:eastAsia="Arial" w:hAnsi="Arial"/>
          <w:sz w:val="16"/>
          <w:szCs w:val="16"/>
          <w:u w:val="single" w:color="auto"/>
          <w:color w:val="auto"/>
        </w:rPr>
        <w:t>Rule 433</w:t>
      </w:r>
      <w:r>
        <w:rPr>
          <w:rFonts w:ascii="Arial" w:cs="Arial" w:eastAsia="Arial" w:hAnsi="Arial"/>
          <w:sz w:val="16"/>
          <w:szCs w:val="16"/>
          <w:color w:val="auto"/>
        </w:rPr>
        <w:t>”); provided that the prior written consent of the parties hereto shall be deemed to have been given in respect of the Free Writing Prospectuses included in Schedule III hereto and any electronic road show. Any such free writing prospectus consented to by the Representatives or the Company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Arial" w:cs="Arial" w:eastAsia="Arial" w:hAnsi="Arial"/>
          <w:sz w:val="16"/>
          <w:szCs w:val="16"/>
          <w:u w:val="single" w:color="auto"/>
          <w:color w:val="auto"/>
        </w:rPr>
        <w:t>Rule 164</w:t>
      </w:r>
      <w:r>
        <w:rPr>
          <w:rFonts w:ascii="Arial" w:cs="Arial" w:eastAsia="Arial" w:hAnsi="Arial"/>
          <w:sz w:val="16"/>
          <w:szCs w:val="16"/>
          <w:color w:val="auto"/>
        </w:rPr>
        <w:t>”) and Rule 433 applicable to any Permitted Free Writing Prospectus, including in respect of timely filing with the SEC, legending and record keeping.</w:t>
      </w:r>
    </w:p>
    <w:p>
      <w:pPr>
        <w:spacing w:after="0" w:line="168" w:lineRule="exact"/>
        <w:rPr>
          <w:sz w:val="20"/>
          <w:szCs w:val="20"/>
          <w:color w:val="auto"/>
        </w:rPr>
      </w:pPr>
    </w:p>
    <w:p>
      <w:pPr>
        <w:ind w:firstLine="1304"/>
        <w:spacing w:after="0" w:line="257" w:lineRule="auto"/>
        <w:tabs>
          <w:tab w:leader="none" w:pos="161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center"/>
        <w:ind w:right="280"/>
        <w:spacing w:after="0"/>
        <w:tabs>
          <w:tab w:leader="none" w:pos="1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Final Prospectus, and any supplement thereto, have been filed in the manner and within the time period required by</w:t>
      </w:r>
    </w:p>
    <w:p>
      <w:pPr>
        <w:spacing w:after="0" w:line="23"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Rule 424(b); any material required to be filed by the Company pursuant to Rule 433(d)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55" w:lineRule="exact"/>
        <w:rPr>
          <w:sz w:val="20"/>
          <w:szCs w:val="20"/>
          <w:color w:val="auto"/>
        </w:rPr>
      </w:pPr>
    </w:p>
    <w:p>
      <w:pPr>
        <w:ind w:right="240" w:firstLine="644"/>
        <w:spacing w:after="0" w:line="263" w:lineRule="auto"/>
        <w:tabs>
          <w:tab w:leader="none" w:pos="10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requested and caused DLA Piper LLP (US), counsel for the Company, to have furnished to the Representatives their opinion and negative assurance letter, dated the Closing Date and addressed to the Representatives, in form and substance reasonably satisfactory to the Representatives.</w:t>
      </w:r>
    </w:p>
    <w:p>
      <w:pPr>
        <w:spacing w:after="0" w:line="183" w:lineRule="exact"/>
        <w:rPr>
          <w:rFonts w:ascii="Arial" w:cs="Arial" w:eastAsia="Arial" w:hAnsi="Arial"/>
          <w:sz w:val="18"/>
          <w:szCs w:val="18"/>
          <w:color w:val="auto"/>
        </w:rPr>
      </w:pPr>
    </w:p>
    <w:p>
      <w:pPr>
        <w:ind w:firstLine="644"/>
        <w:spacing w:after="0" w:line="257" w:lineRule="auto"/>
        <w:tabs>
          <w:tab w:leader="none" w:pos="10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Representatives shall have received from Davis Polk &amp; Wardwell LLP, counsel for the Underwriters, such opinion or opinions, dated the Closing Date and addressed to the Representatives, with respect to the issuance and sale of the Securities, the Registration Statement, the Disclosure Package,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ind w:right="60" w:firstLine="644"/>
        <w:spacing w:after="0" w:line="301" w:lineRule="auto"/>
        <w:tabs>
          <w:tab w:leader="none" w:pos="103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a certificate of the Company, signed by the Chairman of the Board, Chief Executive Officer or the President and the principal financial or accounting officer of the Company, dated the Closing Date, to the effect that the signers of such certificate have carefully examined the Registration Statement, the Disclosure Package, the Final Prospectus and any amendments or supplements thereto, as well as each electronic road show used in connection with the offering of the Securities, and this Agreement and that:</w:t>
      </w:r>
    </w:p>
    <w:p>
      <w:pPr>
        <w:spacing w:after="0" w:line="157" w:lineRule="exact"/>
        <w:rPr>
          <w:rFonts w:ascii="Arial" w:cs="Arial" w:eastAsia="Arial" w:hAnsi="Arial"/>
          <w:sz w:val="16"/>
          <w:szCs w:val="16"/>
          <w:color w:val="auto"/>
        </w:rPr>
      </w:pPr>
    </w:p>
    <w:p>
      <w:pPr>
        <w:ind w:left="640" w:right="320" w:firstLine="652"/>
        <w:spacing w:after="0" w:line="263" w:lineRule="auto"/>
        <w:tabs>
          <w:tab w:leader="none" w:pos="16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ind w:left="640" w:right="120" w:firstLine="652"/>
        <w:spacing w:after="0" w:line="308" w:lineRule="auto"/>
        <w:tabs>
          <w:tab w:leader="none" w:pos="1688" w:val="left"/>
        </w:tabs>
        <w:numPr>
          <w:ilvl w:val="1"/>
          <w:numId w:val="30"/>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46" w:lineRule="exact"/>
        <w:rPr>
          <w:rFonts w:ascii="Arial" w:cs="Arial" w:eastAsia="Arial" w:hAnsi="Arial"/>
          <w:sz w:val="17"/>
          <w:szCs w:val="17"/>
          <w:color w:val="auto"/>
        </w:rPr>
      </w:pPr>
    </w:p>
    <w:p>
      <w:pPr>
        <w:ind w:left="640" w:right="60" w:firstLine="652"/>
        <w:spacing w:after="0" w:line="275" w:lineRule="auto"/>
        <w:tabs>
          <w:tab w:leader="none" w:pos="1738" w:val="left"/>
        </w:tabs>
        <w:numPr>
          <w:ilvl w:val="1"/>
          <w:numId w:val="30"/>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or incorporated by reference in the Disclosure Package and the Final Prospectus (exclusive of any amendment or supplement thereto), there has been no material adverse change in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w:t>
      </w:r>
    </w:p>
    <w:p>
      <w:pPr>
        <w:spacing w:after="0" w:line="176" w:lineRule="exact"/>
        <w:rPr>
          <w:rFonts w:ascii="Arial" w:cs="Arial" w:eastAsia="Arial" w:hAnsi="Arial"/>
          <w:sz w:val="17"/>
          <w:szCs w:val="17"/>
          <w:color w:val="auto"/>
        </w:rPr>
      </w:pPr>
    </w:p>
    <w:p>
      <w:pPr>
        <w:ind w:firstLine="644"/>
        <w:spacing w:after="0" w:line="277" w:lineRule="auto"/>
        <w:tabs>
          <w:tab w:leader="none" w:pos="10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Representatives shall have received a certificate, dated as of the date hereof and the Closing Date, signed by the Chief Financial Officer of the Company in the form and substance reasonably satisfactory to the Representatives.</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22" w:name="page23"/>
    <w:bookmarkEnd w:id="22"/>
    <w:p>
      <w:pPr>
        <w:ind w:left="-460" w:right="40" w:firstLine="644"/>
        <w:spacing w:after="0" w:line="279" w:lineRule="auto"/>
        <w:tabs>
          <w:tab w:leader="none" w:pos="5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shall have requested and caused Ernst &amp; Young LLP to have furnished to the Representatives, at the Execution Time and at the Closing Date, letters (which may refer to letters previously delivered to one or more of the Representatives), dated respectively as of the Execution Time and as of the Closing Date, in form and substance satisfactory to the Representatives, containing statements and information of the type ordinarily included in accountants “comfort letters” to underwriters.</w:t>
      </w:r>
    </w:p>
    <w:p>
      <w:pPr>
        <w:spacing w:after="0" w:line="171" w:lineRule="exact"/>
        <w:rPr>
          <w:rFonts w:ascii="Arial" w:cs="Arial" w:eastAsia="Arial" w:hAnsi="Arial"/>
          <w:sz w:val="17"/>
          <w:szCs w:val="17"/>
          <w:color w:val="auto"/>
        </w:rPr>
      </w:pPr>
    </w:p>
    <w:p>
      <w:pPr>
        <w:ind w:left="-460" w:firstLine="644"/>
        <w:spacing w:after="0" w:line="270" w:lineRule="auto"/>
        <w:tabs>
          <w:tab w:leader="none" w:pos="578"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and the Final Prospectus (exclusive of any supplement thereto), there shall not have been (i) any change or decrease specified in the letter or letters referred to in paragraph (e)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180" w:lineRule="exact"/>
        <w:rPr>
          <w:rFonts w:ascii="Arial" w:cs="Arial" w:eastAsia="Arial" w:hAnsi="Arial"/>
          <w:sz w:val="17"/>
          <w:szCs w:val="17"/>
          <w:color w:val="auto"/>
        </w:rPr>
      </w:pPr>
    </w:p>
    <w:p>
      <w:pPr>
        <w:ind w:left="-460" w:right="580" w:firstLine="644"/>
        <w:spacing w:after="0" w:line="277" w:lineRule="auto"/>
        <w:tabs>
          <w:tab w:leader="none" w:pos="5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70" w:lineRule="exact"/>
        <w:rPr>
          <w:rFonts w:ascii="Arial" w:cs="Arial" w:eastAsia="Arial" w:hAnsi="Arial"/>
          <w:sz w:val="18"/>
          <w:szCs w:val="18"/>
          <w:color w:val="auto"/>
        </w:rPr>
      </w:pPr>
    </w:p>
    <w:p>
      <w:pPr>
        <w:jc w:val="both"/>
        <w:ind w:left="-460" w:right="180" w:firstLine="644"/>
        <w:spacing w:after="0" w:line="259" w:lineRule="auto"/>
        <w:tabs>
          <w:tab w:leader="none" w:pos="5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the Execution Time, there shall not have been any decrease in the rating of any of the Company’s debt securities by any “nationally recognized statistical rating organization” (as defined for purposes of Rule 3(a)(62) under the Exchange Act) or any notice given of any intended or potential decrease in any such rating or of a possible change in any such rating that does not indicate the direction of the possible change.</w:t>
      </w:r>
    </w:p>
    <w:p>
      <w:pPr>
        <w:spacing w:after="0" w:line="186" w:lineRule="exact"/>
        <w:rPr>
          <w:rFonts w:ascii="Arial" w:cs="Arial" w:eastAsia="Arial" w:hAnsi="Arial"/>
          <w:sz w:val="18"/>
          <w:szCs w:val="18"/>
          <w:color w:val="auto"/>
        </w:rPr>
      </w:pPr>
    </w:p>
    <w:p>
      <w:pPr>
        <w:ind w:left="-460" w:right="60" w:firstLine="644"/>
        <w:spacing w:after="0" w:line="277" w:lineRule="auto"/>
        <w:tabs>
          <w:tab w:leader="none" w:pos="5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Securities shall have been listed and admitted and authorized for trading on the Nasdaq Stock Market, and satisfactory evidence of such actions shall have been provided to the Representatives.</w:t>
      </w:r>
    </w:p>
    <w:p>
      <w:pPr>
        <w:spacing w:after="0" w:line="170" w:lineRule="exact"/>
        <w:rPr>
          <w:rFonts w:ascii="Arial" w:cs="Arial" w:eastAsia="Arial" w:hAnsi="Arial"/>
          <w:sz w:val="18"/>
          <w:szCs w:val="18"/>
          <w:color w:val="auto"/>
        </w:rPr>
      </w:pPr>
    </w:p>
    <w:p>
      <w:pPr>
        <w:ind w:left="-460" w:right="460" w:firstLine="644"/>
        <w:spacing w:after="0" w:line="277" w:lineRule="auto"/>
        <w:tabs>
          <w:tab w:leader="none" w:pos="5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Execution Time, the Company shall have furnished to the Representatives a letter substantially in the form of Exhibit A hereto from each executive officer and director of the Company and addressed to the Representatives.</w:t>
      </w:r>
    </w:p>
    <w:p>
      <w:pPr>
        <w:spacing w:after="0" w:line="170" w:lineRule="exact"/>
        <w:rPr>
          <w:rFonts w:ascii="Arial" w:cs="Arial" w:eastAsia="Arial" w:hAnsi="Arial"/>
          <w:sz w:val="18"/>
          <w:szCs w:val="18"/>
          <w:color w:val="auto"/>
        </w:rPr>
      </w:pPr>
    </w:p>
    <w:p>
      <w:pPr>
        <w:ind w:left="-460" w:right="120" w:firstLine="644"/>
        <w:spacing w:after="0" w:line="259" w:lineRule="auto"/>
        <w:tabs>
          <w:tab w:leader="none" w:pos="5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Representatives shall have received on and as of the Closing Date, reasonably satisfactory evidence of the good standing of the Company and its subsidiaries in their respective jurisdictions of organization and their good standing (where such concept exists) as foreign entities in such other jurisdictions as the Representatives may reasonably request, in each case in writing or any standard form of telecommunication from the appropriate governmental authorities of such jurisdictions.</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23" w:name="page24"/>
    <w:bookmarkEnd w:id="23"/>
    <w:p>
      <w:pPr>
        <w:ind w:right="40" w:firstLine="1296"/>
        <w:spacing w:after="0" w:line="301"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57"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Davis Polk &amp; Wardwell LLP, counsel for the Underwriters, at 1600 El Camino Real, Menlo Park, CA 94025, on the Closing Date.</w:t>
      </w:r>
    </w:p>
    <w:p>
      <w:pPr>
        <w:spacing w:after="0" w:line="170" w:lineRule="exact"/>
        <w:rPr>
          <w:sz w:val="20"/>
          <w:szCs w:val="20"/>
          <w:color w:val="auto"/>
        </w:rPr>
      </w:pPr>
    </w:p>
    <w:p>
      <w:pPr>
        <w:ind w:right="120" w:firstLine="1304"/>
        <w:spacing w:after="0" w:line="255" w:lineRule="auto"/>
        <w:tabs>
          <w:tab w:leader="none" w:pos="161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Expenses</w:t>
      </w:r>
      <w:r>
        <w:rPr>
          <w:rFonts w:ascii="Arial" w:cs="Arial" w:eastAsia="Arial" w:hAnsi="Arial"/>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Citigroup Global Markets Inc. on demand for all reasonable and documented expenses (including reasonable fees and disbursements of counsel) that shall have been incurred by them in connection with the proposed purchase and sale of the Securities.</w:t>
      </w:r>
    </w:p>
    <w:p>
      <w:pPr>
        <w:spacing w:after="0" w:line="192" w:lineRule="exact"/>
        <w:rPr>
          <w:rFonts w:ascii="Arial" w:cs="Arial" w:eastAsia="Arial" w:hAnsi="Arial"/>
          <w:sz w:val="18"/>
          <w:szCs w:val="18"/>
          <w:color w:val="auto"/>
        </w:rPr>
      </w:pPr>
    </w:p>
    <w:p>
      <w:pPr>
        <w:ind w:left="1620" w:hanging="316"/>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660" w:firstLine="644"/>
        <w:spacing w:after="0" w:line="268" w:lineRule="auto"/>
        <w:tabs>
          <w:tab w:leader="none" w:pos="1684"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Company agrees to indemnify and hold harmless each Underwriter, the directors, officers, employees, affiliates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Base Prospectus, any Preliminary Prospectus or any other preliminary prospectus supplement relating to the Securities, the Final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specifically for inclusion therein, it being understood and agreed that such information furnished by or on behalf of any Underwriter consists solely of the information described as such in Section 8(b) hereof. This indemnity agreement will be in addition to any liability which the Company may otherwise have.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4" w:name="page25"/>
    <w:bookmarkEnd w:id="24"/>
    <w:p>
      <w:pPr>
        <w:ind w:left="-460" w:firstLine="644"/>
        <w:spacing w:after="0" w:line="269" w:lineRule="auto"/>
        <w:tabs>
          <w:tab w:leader="none" w:pos="578"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Underwriter, but only with reference to written information relating to such Underwriter furnished to the Company by or on behalf of such Underwriter specifically for inclusion in the documents referred to in the foregoing indemnity. This indemnity agreement will be in addition to any liability which any Underwriter may otherwise have. The Company acknowledges that the statements set forth (i) in the second to last sentence of the cover page regarding delivery of the Securities and (ii) under the heading “Underwriting,” the list of Underwriters and their respective participation in the sale of the Securities, paragraph 13 and the two last sentences of paragraph 14, concerning the purchase and sale of shares of Common Stock in the open market and other stabilizing transactions by the Underwriters in any Preliminary Prospectus and the Final Prospectus constitute the only information furnished in writing by or on behalf of the several Underwriters for inclusion in any Preliminary Prospectus, the Final Prospectus, any Issuer Free Writing Prospectus, or in any amendment thereof or supplement to the foregoing.</w:t>
      </w:r>
    </w:p>
    <w:p>
      <w:pPr>
        <w:spacing w:after="0" w:line="181" w:lineRule="exact"/>
        <w:rPr>
          <w:rFonts w:ascii="Arial" w:cs="Arial" w:eastAsia="Arial" w:hAnsi="Arial"/>
          <w:sz w:val="17"/>
          <w:szCs w:val="17"/>
          <w:color w:val="auto"/>
        </w:rPr>
      </w:pPr>
    </w:p>
    <w:p>
      <w:pPr>
        <w:ind w:left="-460" w:right="60" w:firstLine="644"/>
        <w:spacing w:after="0" w:line="284" w:lineRule="auto"/>
        <w:tabs>
          <w:tab w:leader="none" w:pos="56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(it being understood, however, that the indemnifying party shall not be liable for the fees and expenses of more than one separate counsel (together with local counsel), representing the indemnified parties who are parties to such action)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25" w:name="page26"/>
    <w:bookmarkEnd w:id="25"/>
    <w:p>
      <w:pPr>
        <w:ind w:left="-460" w:firstLine="644"/>
        <w:spacing w:after="0" w:line="284" w:lineRule="auto"/>
        <w:tabs>
          <w:tab w:leader="none" w:pos="578"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the Company and one or more of the Underwriters may be subject in such proportion as is appropriate to reflect the relative benefits received by the Company on the one hand and by the Underwriters on the other from the offering of the Securities.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26" w:name="page27"/>
    <w:bookmarkEnd w:id="26"/>
    <w:p>
      <w:pPr>
        <w:ind w:left="-40" w:right="80" w:firstLine="1304"/>
        <w:spacing w:after="0" w:line="268" w:lineRule="auto"/>
        <w:tabs>
          <w:tab w:leader="none" w:pos="157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II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aggregate amount of Securities which the defaulting Underwriter or Underwriters agreed but failed to purchase shall exceed 10% of the aggregate amount of Securities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6" w:lineRule="exact"/>
        <w:rPr>
          <w:rFonts w:ascii="Arial" w:cs="Arial" w:eastAsia="Arial" w:hAnsi="Arial"/>
          <w:sz w:val="17"/>
          <w:szCs w:val="17"/>
          <w:color w:val="auto"/>
        </w:rPr>
      </w:pPr>
    </w:p>
    <w:p>
      <w:pPr>
        <w:ind w:left="-40" w:firstLine="1304"/>
        <w:spacing w:after="0" w:line="270" w:lineRule="auto"/>
        <w:tabs>
          <w:tab w:leader="none" w:pos="166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delivery and payment (i) trading in the Company’s Common Stock shall have been suspended by the SEC or the Nasdaq Stock Market or trading in securities generally on the New York Stock Exchange or the Nasdaq Stock Market shall have been suspended or limited or minimum prices shall have been established on either of such exchanges,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27" w:name="page28"/>
    <w:bookmarkEnd w:id="27"/>
    <w:p>
      <w:pPr>
        <w:ind w:left="-80" w:right="140" w:firstLine="1304"/>
        <w:spacing w:after="0" w:line="257" w:lineRule="auto"/>
        <w:tabs>
          <w:tab w:leader="none" w:pos="161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187" w:lineRule="exact"/>
        <w:rPr>
          <w:rFonts w:ascii="Arial" w:cs="Arial" w:eastAsia="Arial" w:hAnsi="Arial"/>
          <w:sz w:val="18"/>
          <w:szCs w:val="18"/>
          <w:color w:val="auto"/>
        </w:rPr>
      </w:pPr>
    </w:p>
    <w:p>
      <w:pPr>
        <w:ind w:left="-80" w:right="80" w:firstLine="1304"/>
        <w:spacing w:after="0" w:line="257" w:lineRule="auto"/>
        <w:tabs>
          <w:tab w:leader="none" w:pos="16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c/o Citigroup Global Markets Inc. at 388 Greenwich Street, New York, New York 10013, Attention: General Counsel, facsimile number: +1 (646) 291-1469 and c/o Goldman, Sachs &amp; Co. LLC at 200 West Street, New York, New York, Attention: Registration Department; or, if sent to Cohu, Inc., will be mailed or delivered to 12367 Crosthwaite Circle, Poway, California, 92064, Attention: Vice President, Finance and Chief Financial Officer.</w:t>
      </w:r>
    </w:p>
    <w:p>
      <w:pPr>
        <w:spacing w:after="0" w:line="187" w:lineRule="exact"/>
        <w:rPr>
          <w:rFonts w:ascii="Arial" w:cs="Arial" w:eastAsia="Arial" w:hAnsi="Arial"/>
          <w:sz w:val="18"/>
          <w:szCs w:val="18"/>
          <w:color w:val="auto"/>
        </w:rPr>
      </w:pPr>
    </w:p>
    <w:p>
      <w:pPr>
        <w:ind w:left="-80" w:right="120" w:firstLine="1304"/>
        <w:spacing w:after="0" w:line="263" w:lineRule="auto"/>
        <w:tabs>
          <w:tab w:leader="none" w:pos="16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ind w:left="-80" w:firstLine="1304"/>
        <w:spacing w:after="0" w:line="272" w:lineRule="auto"/>
        <w:tabs>
          <w:tab w:leader="none" w:pos="162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Notwithstanding the foregoing, any action arising out of or based upon this Agreement may be instituted by any Underwriter, the directors, officers, employees, affiliates and agents of any Underwriter, or by any person who controls any Underwriter, in any court of competent jurisdiction in Delaware.</w:t>
      </w:r>
    </w:p>
    <w:p>
      <w:pPr>
        <w:spacing w:after="0" w:line="177" w:lineRule="exact"/>
        <w:rPr>
          <w:rFonts w:ascii="Arial" w:cs="Arial" w:eastAsia="Arial" w:hAnsi="Arial"/>
          <w:sz w:val="17"/>
          <w:szCs w:val="17"/>
          <w:color w:val="auto"/>
        </w:rPr>
      </w:pPr>
    </w:p>
    <w:p>
      <w:pPr>
        <w:ind w:left="1620" w:hanging="396"/>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left="580" w:firstLine="644"/>
        <w:spacing w:after="0" w:line="259" w:lineRule="auto"/>
        <w:tabs>
          <w:tab w:leader="none" w:pos="18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580" w:right="280" w:firstLine="644"/>
        <w:spacing w:after="0" w:line="279" w:lineRule="auto"/>
        <w:tabs>
          <w:tab w:leader="none" w:pos="188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584" w:right="419" w:bottom="1440" w:gutter="0" w:footer="0" w:header="0"/>
        </w:sectPr>
      </w:pPr>
    </w:p>
    <w:bookmarkStart w:id="28" w:name="page29"/>
    <w:bookmarkEnd w:id="28"/>
    <w:p>
      <w:pPr>
        <w:ind w:firstLine="1296"/>
        <w:spacing w:after="0" w:line="254" w:lineRule="auto"/>
        <w:rPr>
          <w:sz w:val="20"/>
          <w:szCs w:val="20"/>
          <w:color w:val="auto"/>
        </w:rPr>
      </w:pPr>
      <w:r>
        <w:rPr>
          <w:rFonts w:ascii="Arial" w:cs="Arial" w:eastAsia="Arial" w:hAnsi="Arial"/>
          <w:sz w:val="18"/>
          <w:szCs w:val="18"/>
          <w:color w:val="auto"/>
        </w:rPr>
        <w:t>As used in this Section 15,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ind w:firstLine="1304"/>
        <w:spacing w:after="0" w:line="254" w:lineRule="auto"/>
        <w:tabs>
          <w:tab w:leader="none" w:pos="170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1" w:lineRule="exact"/>
        <w:rPr>
          <w:rFonts w:ascii="Arial" w:cs="Arial" w:eastAsia="Arial" w:hAnsi="Arial"/>
          <w:sz w:val="18"/>
          <w:szCs w:val="18"/>
          <w:color w:val="auto"/>
        </w:rPr>
      </w:pPr>
    </w:p>
    <w:p>
      <w:pPr>
        <w:ind w:right="240" w:firstLine="1304"/>
        <w:spacing w:after="0" w:line="277" w:lineRule="auto"/>
        <w:tabs>
          <w:tab w:leader="none" w:pos="170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right="700" w:firstLine="1304"/>
        <w:spacing w:after="0" w:line="277" w:lineRule="auto"/>
        <w:tabs>
          <w:tab w:leader="none" w:pos="170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right="280" w:firstLine="1304"/>
        <w:spacing w:after="0" w:line="342" w:lineRule="auto"/>
        <w:tabs>
          <w:tab w:leader="none" w:pos="170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23" w:lineRule="exact"/>
        <w:rPr>
          <w:rFonts w:ascii="Arial" w:cs="Arial" w:eastAsia="Arial" w:hAnsi="Arial"/>
          <w:sz w:val="16"/>
          <w:szCs w:val="16"/>
          <w:color w:val="auto"/>
        </w:rPr>
      </w:pPr>
    </w:p>
    <w:p>
      <w:pPr>
        <w:ind w:right="20" w:firstLine="1304"/>
        <w:spacing w:after="0" w:line="271" w:lineRule="auto"/>
        <w:tabs>
          <w:tab w:leader="none" w:pos="170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each of which shall constitute an original and all of which together shall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8" w:lineRule="exact"/>
        <w:rPr>
          <w:rFonts w:ascii="Arial" w:cs="Arial" w:eastAsia="Arial" w:hAnsi="Arial"/>
          <w:sz w:val="17"/>
          <w:szCs w:val="17"/>
          <w:color w:val="auto"/>
        </w:rPr>
      </w:pPr>
    </w:p>
    <w:p>
      <w:pPr>
        <w:ind w:left="1700" w:hanging="396"/>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ind w:firstLine="1296"/>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Luis A.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-10160</wp:posOffset>
            </wp:positionV>
            <wp:extent cx="1532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Luis A. Muller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84" w:right="61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The foregoing Agreement is hereby</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confirmed and accepted as of the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specified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 Mallegni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995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58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Dan Mallegni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William Connolly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9881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881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William Connolly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the other several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Underwriters named in Schedule II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u w:val="single" w:color="auto"/>
          <w:color w:val="auto"/>
        </w:rPr>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dated March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333-237067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Citigroup Global Markets Inc. and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Common Stock, $1.00 par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Underwritten Securities to be sold by the Company: 4,950,000 shares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Option Securities to be sold by the Company: 742,500 shares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 per Share to Public (include accrued dividends, if any): $41.00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 per Share to the Underwriters – total: $39.2575 per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Closing Date, Time and Location: March 8, 2021 at 10:00 a.m. Eastern Time at Davis Polk &amp; Wardwell LLP, 1600 El Camino Real, Menlo Park, CA 94025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Type of Offering: Non-Delayed</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Date referred to in Section 5(g) after which the Company may offer or sell securities issued by the Company without the consent of the Representatives: 90 days from the date of the Underwriting Agreement. For the avoidance of doubt, the Company lock-up will remain in effect through the 90th day following the date of the Underwriting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SCHEDULE II</w:t>
            </w:r>
          </w:p>
        </w:tc>
      </w:tr>
      <w:tr>
        <w:trPr>
          <w:trHeight w:val="434"/>
        </w:trPr>
        <w:tc>
          <w:tcPr>
            <w:tcW w:w="50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00" w:type="dxa"/>
            <w:vAlign w:val="bottom"/>
          </w:tcPr>
          <w:p>
            <w:pPr>
              <w:ind w:left="860"/>
              <w:spacing w:after="0"/>
              <w:rPr>
                <w:sz w:val="20"/>
                <w:szCs w:val="20"/>
                <w:color w:val="auto"/>
              </w:rPr>
            </w:pPr>
            <w:r>
              <w:rPr>
                <w:rFonts w:ascii="Arial" w:cs="Arial" w:eastAsia="Arial" w:hAnsi="Arial"/>
                <w:sz w:val="18"/>
                <w:szCs w:val="18"/>
                <w:b w:val="1"/>
                <w:bCs w:val="1"/>
                <w:color w:val="auto"/>
              </w:rPr>
              <w:t>Number of Underwritten</w:t>
            </w:r>
          </w:p>
        </w:tc>
      </w:tr>
      <w:tr>
        <w:trPr>
          <w:trHeight w:val="234"/>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Underwriters</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37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Securities to be Purchased</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160" w:type="dxa"/>
            <w:vAlign w:val="bottom"/>
            <w:gridSpan w:val="4"/>
            <w:shd w:val="clear" w:color="auto" w:fill="CCEEFF"/>
          </w:tcPr>
          <w:p>
            <w:pPr>
              <w:jc w:val="center"/>
              <w:ind w:left="2390"/>
              <w:spacing w:after="0"/>
              <w:rPr>
                <w:sz w:val="20"/>
                <w:szCs w:val="20"/>
                <w:color w:val="auto"/>
              </w:rPr>
            </w:pPr>
            <w:r>
              <w:rPr>
                <w:rFonts w:ascii="Arial" w:cs="Arial" w:eastAsia="Arial" w:hAnsi="Arial"/>
                <w:sz w:val="18"/>
                <w:szCs w:val="18"/>
                <w:color w:val="auto"/>
                <w:w w:val="89"/>
              </w:rPr>
              <w:t>1,980,000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6160" w:type="dxa"/>
            <w:vAlign w:val="bottom"/>
            <w:gridSpan w:val="4"/>
          </w:tcPr>
          <w:p>
            <w:pPr>
              <w:jc w:val="center"/>
              <w:ind w:left="2390"/>
              <w:spacing w:after="0"/>
              <w:rPr>
                <w:sz w:val="20"/>
                <w:szCs w:val="20"/>
                <w:color w:val="auto"/>
              </w:rPr>
            </w:pPr>
            <w:r>
              <w:rPr>
                <w:rFonts w:ascii="Arial" w:cs="Arial" w:eastAsia="Arial" w:hAnsi="Arial"/>
                <w:sz w:val="18"/>
                <w:szCs w:val="18"/>
                <w:color w:val="auto"/>
                <w:w w:val="89"/>
              </w:rPr>
              <w:t>1,485,000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6160" w:type="dxa"/>
            <w:vAlign w:val="bottom"/>
            <w:gridSpan w:val="4"/>
            <w:shd w:val="clear" w:color="auto" w:fill="CCEEFF"/>
          </w:tcPr>
          <w:p>
            <w:pPr>
              <w:jc w:val="center"/>
              <w:ind w:left="2370"/>
              <w:spacing w:after="0"/>
              <w:rPr>
                <w:sz w:val="20"/>
                <w:szCs w:val="20"/>
                <w:color w:val="auto"/>
              </w:rPr>
            </w:pPr>
            <w:r>
              <w:rPr>
                <w:rFonts w:ascii="Arial" w:cs="Arial" w:eastAsia="Arial" w:hAnsi="Arial"/>
                <w:sz w:val="18"/>
                <w:szCs w:val="18"/>
                <w:color w:val="auto"/>
                <w:w w:val="89"/>
              </w:rPr>
              <w:t>742,500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 Riley Securities, Inc.</w:t>
            </w:r>
          </w:p>
        </w:tc>
        <w:tc>
          <w:tcPr>
            <w:tcW w:w="6160" w:type="dxa"/>
            <w:vAlign w:val="bottom"/>
            <w:gridSpan w:val="4"/>
          </w:tcPr>
          <w:p>
            <w:pPr>
              <w:jc w:val="center"/>
              <w:ind w:left="2370"/>
              <w:spacing w:after="0"/>
              <w:rPr>
                <w:sz w:val="20"/>
                <w:szCs w:val="20"/>
                <w:color w:val="auto"/>
              </w:rPr>
            </w:pPr>
            <w:r>
              <w:rPr>
                <w:rFonts w:ascii="Arial" w:cs="Arial" w:eastAsia="Arial" w:hAnsi="Arial"/>
                <w:sz w:val="18"/>
                <w:szCs w:val="18"/>
                <w:color w:val="auto"/>
                <w:w w:val="89"/>
              </w:rPr>
              <w:t>346,500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Craig-Hallum Capital Group LLC</w:t>
            </w:r>
          </w:p>
        </w:tc>
        <w:tc>
          <w:tcPr>
            <w:tcW w:w="6160" w:type="dxa"/>
            <w:vAlign w:val="bottom"/>
            <w:gridSpan w:val="4"/>
            <w:shd w:val="clear" w:color="auto" w:fill="CCEEFF"/>
          </w:tcPr>
          <w:p>
            <w:pPr>
              <w:jc w:val="center"/>
              <w:ind w:left="2370"/>
              <w:spacing w:after="0"/>
              <w:rPr>
                <w:sz w:val="20"/>
                <w:szCs w:val="20"/>
                <w:color w:val="auto"/>
              </w:rPr>
            </w:pPr>
            <w:r>
              <w:rPr>
                <w:rFonts w:ascii="Arial" w:cs="Arial" w:eastAsia="Arial" w:hAnsi="Arial"/>
                <w:sz w:val="18"/>
                <w:szCs w:val="18"/>
                <w:color w:val="auto"/>
                <w:w w:val="89"/>
              </w:rPr>
              <w:t>198,000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D.A. Davidson &amp; Co</w:t>
            </w:r>
          </w:p>
        </w:tc>
        <w:tc>
          <w:tcPr>
            <w:tcW w:w="6160" w:type="dxa"/>
            <w:vAlign w:val="bottom"/>
            <w:gridSpan w:val="4"/>
          </w:tcPr>
          <w:p>
            <w:pPr>
              <w:jc w:val="center"/>
              <w:ind w:left="2370"/>
              <w:spacing w:after="0"/>
              <w:rPr>
                <w:sz w:val="20"/>
                <w:szCs w:val="20"/>
                <w:color w:val="auto"/>
              </w:rPr>
            </w:pPr>
            <w:r>
              <w:rPr>
                <w:rFonts w:ascii="Arial" w:cs="Arial" w:eastAsia="Arial" w:hAnsi="Arial"/>
                <w:sz w:val="18"/>
                <w:szCs w:val="18"/>
                <w:color w:val="auto"/>
                <w:w w:val="89"/>
              </w:rPr>
              <w:t>198,000</w:t>
            </w:r>
          </w:p>
        </w:tc>
      </w:tr>
      <w:tr>
        <w:trPr>
          <w:trHeight w:val="224"/>
        </w:trPr>
        <w:tc>
          <w:tcPr>
            <w:tcW w:w="5080" w:type="dxa"/>
            <w:vAlign w:val="bottom"/>
          </w:tcPr>
          <w:p>
            <w:pPr>
              <w:ind w:left="66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4,950,000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3" w:name="page34"/>
    <w:bookmarkEnd w:id="33"/>
    <w:p>
      <w:pPr>
        <w:jc w:val="center"/>
        <w:ind w:right="-1100"/>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34" w:name="page35"/>
    <w:bookmarkEnd w:id="34"/>
    <w:p>
      <w:pPr>
        <w:spacing w:after="0"/>
        <w:tabs>
          <w:tab w:leader="none" w:pos="1032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___,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letter is being delivered to you in connection with the proposed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between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Cohu,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you as representatives (together,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of a group of underwriters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Underwriters</w:t>
      </w:r>
      <w:r>
        <w:rPr>
          <w:rFonts w:ascii="Arial" w:cs="Arial" w:eastAsia="Arial" w:hAnsi="Arial"/>
          <w:sz w:val="16"/>
          <w:szCs w:val="16"/>
          <w:color w:val="auto"/>
        </w:rPr>
        <w:t>”) named therein, relating to an underwritten public offering of Common Stock, $1.00 par value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211" w:lineRule="exact"/>
        <w:rPr>
          <w:sz w:val="20"/>
          <w:szCs w:val="20"/>
          <w:color w:val="auto"/>
        </w:rPr>
      </w:pPr>
    </w:p>
    <w:p>
      <w:pPr>
        <w:ind w:right="100" w:firstLine="1296"/>
        <w:spacing w:after="0" w:line="269" w:lineRule="auto"/>
        <w:rPr>
          <w:sz w:val="20"/>
          <w:szCs w:val="20"/>
          <w:color w:val="auto"/>
        </w:rPr>
      </w:pPr>
      <w:r>
        <w:rPr>
          <w:rFonts w:ascii="Arial" w:cs="Arial" w:eastAsia="Arial" w:hAnsi="Arial"/>
          <w:sz w:val="17"/>
          <w:szCs w:val="17"/>
          <w:color w:val="auto"/>
        </w:rPr>
        <w:t>In order to induce you and the other Underwriters to enter into the Underwriting Agreement, the undersigned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and regulations of the Securities and Exchange Commission promulgated thereunder with respect to, any shares of capital stock of the Company or any securities convertible into, or exercisable or exchangeable for such capital stock, or publicly announce an intention to effect any such transaction, for a period from the date hereof until ninety (90) days after the date of the Underwriting Agreement (the “</w:t>
      </w:r>
      <w:r>
        <w:rPr>
          <w:rFonts w:ascii="Arial" w:cs="Arial" w:eastAsia="Arial" w:hAnsi="Arial"/>
          <w:sz w:val="17"/>
          <w:szCs w:val="17"/>
          <w:u w:val="single" w:color="auto"/>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such restrictions shall not apply to:</w:t>
      </w:r>
    </w:p>
    <w:p>
      <w:pPr>
        <w:spacing w:after="0" w:line="185" w:lineRule="exact"/>
        <w:rPr>
          <w:sz w:val="20"/>
          <w:szCs w:val="20"/>
          <w:color w:val="auto"/>
        </w:rPr>
      </w:pPr>
    </w:p>
    <w:p>
      <w:pPr>
        <w:ind w:left="800" w:right="460"/>
        <w:spacing w:after="0" w:line="257"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undersigned is a natural person, any transfers made by the undersigned (a) as a bona fide gift to any member of the immediate family (as defined below) of the undersigned or to a trust the beneficiaries of which are exclusively the undersigned or members of the undersigned’s immediate family, (b) by will or intestate succession upon the death of the undersigned, (c) as a bona fide gift to a charity or educational institution or (d) pursuant to a court order or settlement agreement related to the distribution of assets in connection with the dissolution of a marriage or civil union;</w:t>
      </w:r>
    </w:p>
    <w:p>
      <w:pPr>
        <w:spacing w:after="0" w:line="187" w:lineRule="exact"/>
        <w:rPr>
          <w:rFonts w:ascii="Arial" w:cs="Arial" w:eastAsia="Arial" w:hAnsi="Arial"/>
          <w:sz w:val="18"/>
          <w:szCs w:val="18"/>
          <w:color w:val="auto"/>
        </w:rPr>
      </w:pPr>
    </w:p>
    <w:p>
      <w:pPr>
        <w:ind w:left="800"/>
        <w:spacing w:after="0" w:line="342" w:lineRule="auto"/>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business entity, any transfers to any stockholder, partner or member of, or owner of a similar equity interest in, the undersigned, as the case may be, if, in any such case, such transfer is not for value;</w:t>
      </w:r>
    </w:p>
    <w:p>
      <w:pPr>
        <w:spacing w:after="0" w:line="123" w:lineRule="exact"/>
        <w:rPr>
          <w:rFonts w:ascii="Arial" w:cs="Arial" w:eastAsia="Arial" w:hAnsi="Arial"/>
          <w:sz w:val="16"/>
          <w:szCs w:val="16"/>
          <w:color w:val="auto"/>
        </w:rPr>
      </w:pPr>
    </w:p>
    <w:p>
      <w:pPr>
        <w:ind w:left="1280" w:hanging="480"/>
        <w:spacing w:after="0"/>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business entity, any transfer made by the undersigned</w:t>
      </w:r>
    </w:p>
    <w:p>
      <w:pPr>
        <w:spacing w:after="0" w:line="46" w:lineRule="exact"/>
        <w:rPr>
          <w:rFonts w:ascii="Arial" w:cs="Arial" w:eastAsia="Arial" w:hAnsi="Arial"/>
          <w:sz w:val="16"/>
          <w:szCs w:val="16"/>
          <w:color w:val="auto"/>
        </w:rPr>
      </w:pPr>
    </w:p>
    <w:p>
      <w:pPr>
        <w:ind w:left="800" w:right="160"/>
        <w:spacing w:after="0" w:line="253" w:lineRule="auto"/>
        <w:rPr>
          <w:rFonts w:ascii="Arial" w:cs="Arial" w:eastAsia="Arial" w:hAnsi="Arial"/>
          <w:sz w:val="16"/>
          <w:szCs w:val="16"/>
          <w:color w:val="auto"/>
        </w:rPr>
      </w:pPr>
      <w:r>
        <w:rPr>
          <w:rFonts w:ascii="Arial" w:cs="Arial" w:eastAsia="Arial" w:hAnsi="Arial"/>
          <w:sz w:val="18"/>
          <w:szCs w:val="18"/>
          <w:color w:val="auto"/>
        </w:rPr>
        <w:t>(a)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in any such case not undertaken for the purpose of avoiding the restrictions imposed by this Agreement or (b) to another corporation, partnership, limited liability company or other business entity so long as the transferee is an affiliate (as defined below) of the undersigned and such transfer is not for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ind w:left="800" w:right="100"/>
        <w:spacing w:after="0" w:line="263"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transactions relating to Common Stock or other securities convertible into or exercisable or exchangeable for Common Stock acquired in open market transactions after completion of the offering of the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transaction is required to be, or is, publicly announced (whether on Form 4, Form 5 or otherwise) during the Lock-Up Period;</w:t>
      </w:r>
    </w:p>
    <w:p>
      <w:pPr>
        <w:spacing w:after="0" w:line="183" w:lineRule="exact"/>
        <w:rPr>
          <w:rFonts w:ascii="Arial" w:cs="Arial" w:eastAsia="Arial" w:hAnsi="Arial"/>
          <w:sz w:val="18"/>
          <w:szCs w:val="18"/>
          <w:color w:val="auto"/>
        </w:rPr>
      </w:pPr>
    </w:p>
    <w:p>
      <w:pPr>
        <w:ind w:left="800" w:right="100"/>
        <w:spacing w:after="0" w:line="342" w:lineRule="auto"/>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sale of Common Stock by the undersigned pursuant to any trading plan that meets the of Rule 10b5-1(c) under the Exchange Act (the “</w:t>
      </w:r>
      <w:r>
        <w:rPr>
          <w:rFonts w:ascii="Arial" w:cs="Arial" w:eastAsia="Arial" w:hAnsi="Arial"/>
          <w:sz w:val="16"/>
          <w:szCs w:val="16"/>
          <w:u w:val="single" w:color="auto"/>
          <w:color w:val="auto"/>
        </w:rPr>
        <w:t>10b5-1 Plan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plan was adopted by the undersigned prior to the commencement of the Lock-up Period;</w:t>
      </w:r>
    </w:p>
    <w:p>
      <w:pPr>
        <w:spacing w:after="0" w:line="123" w:lineRule="exact"/>
        <w:rPr>
          <w:rFonts w:ascii="Arial" w:cs="Arial" w:eastAsia="Arial" w:hAnsi="Arial"/>
          <w:sz w:val="16"/>
          <w:szCs w:val="16"/>
          <w:color w:val="auto"/>
        </w:rPr>
      </w:pPr>
    </w:p>
    <w:p>
      <w:pPr>
        <w:ind w:left="800" w:right="20"/>
        <w:spacing w:after="0" w:line="311" w:lineRule="auto"/>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entry, by the undersigned, at any time on or after the date of the Underwriting Agreement, of any 10b5-1 Plan providing for the sale of Common Stock by the undersigned,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10b5-1 Plan does not provide for, or permit, the sale of any Common Stock during the Lock-up Period and no public announcement or filing is voluntarily made or required regarding such plan during the Lock-Up Period;</w:t>
      </w:r>
    </w:p>
    <w:p>
      <w:pPr>
        <w:spacing w:after="0" w:line="148" w:lineRule="exact"/>
        <w:rPr>
          <w:rFonts w:ascii="Arial" w:cs="Arial" w:eastAsia="Arial" w:hAnsi="Arial"/>
          <w:sz w:val="16"/>
          <w:szCs w:val="16"/>
          <w:color w:val="auto"/>
        </w:rPr>
      </w:pPr>
    </w:p>
    <w:p>
      <w:pPr>
        <w:jc w:val="both"/>
        <w:ind w:left="800" w:right="140"/>
        <w:spacing w:after="0" w:line="263"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transfers made by the undersigned to the Company, or any sales made by, or on behalf of, the undersigned, of equity issued pursuant to the Company’s equity incentive plans or arrangements disclosed in the Prospectus (as defined in the Underwriting Agreement), in each case, to satisfy tax obligations in respect of the receipt of such equity;</w:t>
      </w:r>
    </w:p>
    <w:p>
      <w:pPr>
        <w:spacing w:after="0" w:line="183" w:lineRule="exact"/>
        <w:rPr>
          <w:rFonts w:ascii="Arial" w:cs="Arial" w:eastAsia="Arial" w:hAnsi="Arial"/>
          <w:sz w:val="18"/>
          <w:szCs w:val="18"/>
          <w:color w:val="auto"/>
        </w:rPr>
      </w:pPr>
    </w:p>
    <w:p>
      <w:pPr>
        <w:jc w:val="both"/>
        <w:ind w:left="800" w:right="60"/>
        <w:spacing w:after="0" w:line="259"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transfers made by the undersigned to the Company, or any sales made on behalf of the undersigned, in each case, based on securities that are convertible into or exercisable or exchangeable for Common Stock that would otherwise expire if otherwise not convertible, exercisable or exchangeable for Common Stock during the Lock-up Period pursuant to the Company’s equity incentive plans or arrangements disclosed in the Prospectus (as defined in the Underwriting Agreement);</w:t>
      </w:r>
    </w:p>
    <w:p>
      <w:pPr>
        <w:spacing w:after="0" w:line="186" w:lineRule="exact"/>
        <w:rPr>
          <w:rFonts w:ascii="Arial" w:cs="Arial" w:eastAsia="Arial" w:hAnsi="Arial"/>
          <w:sz w:val="18"/>
          <w:szCs w:val="18"/>
          <w:color w:val="auto"/>
        </w:rPr>
      </w:pPr>
    </w:p>
    <w:p>
      <w:pPr>
        <w:ind w:left="800" w:right="400"/>
        <w:spacing w:after="0" w:line="286" w:lineRule="auto"/>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transactions relating to Common Stock acquired upon exercise by the undersigned of any option to purchase Common Stock granted under the Company’s equity incentive plans and outstanding on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transaction is required to be, or is, publicly announced (other than on any required Form 4 or Form 5) during the Lock-Up Period; and</w:t>
      </w:r>
    </w:p>
    <w:p>
      <w:pPr>
        <w:spacing w:after="0" w:line="165" w:lineRule="exact"/>
        <w:rPr>
          <w:rFonts w:ascii="Arial" w:cs="Arial" w:eastAsia="Arial" w:hAnsi="Arial"/>
          <w:sz w:val="17"/>
          <w:szCs w:val="17"/>
          <w:color w:val="auto"/>
        </w:rPr>
      </w:pPr>
    </w:p>
    <w:p>
      <w:pPr>
        <w:ind w:left="800" w:right="240"/>
        <w:spacing w:after="0" w:line="286" w:lineRule="auto"/>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grant by the Company of stock options or other stock-based awards to the Undersigned pursuant to the Company’s equity incentive plans or arrangements disclosed in the Prospectus (as defined in the Underwriting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any such case, any shares of Common Stock acquired shall remain subject to the restrictions set forth in this letter;</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provided, however, that in the case of any transfer described in clause (1), (2) or (3) above, it shall be a condition to the transfer that</w:t>
      </w:r>
    </w:p>
    <w:p>
      <w:pPr>
        <w:spacing w:after="0" w:line="35" w:lineRule="exact"/>
        <w:rPr>
          <w:sz w:val="20"/>
          <w:szCs w:val="20"/>
          <w:color w:val="auto"/>
        </w:rPr>
      </w:pPr>
    </w:p>
    <w:p>
      <w:pPr>
        <w:ind w:right="20" w:firstLine="8"/>
        <w:spacing w:after="0" w:line="284" w:lineRule="auto"/>
        <w:tabs>
          <w:tab w:leader="none" w:pos="2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transferee executes and delivers to the Representatives, not later than one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the Representatives, and (B) in the case of any transfer described in clause (1), (2), (3), (5) or (7) above, no public announcement or filing is voluntarily made regarding such transfer during the Lock-Up Period and if the undersigned is required to file a report under Section 16(a) of the Exchange Act, reporting a reduction in beneficial ownership of shares of Common Stock or any securities convertible into or exercisable or exchangeable for Common Stock during the Lock-Up Period, the undersigned shall include a statement in such report to the effect that, (A) in the case of any transfer pursuant to clause (1) above, such transfer is being made as a gift or by will or intestate succession, (B) in the case of any transfer pursuant to clause (2) above, such transfer is being made to a stockholder, partner or member of, or owner of a similar equity interest in, the undersigned and is not a transfer for value, (C) in the case of any transfer pursuant to clause (3) above, such transfer is being made either (a)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or (b) to another corporation, partnership, limited liability company or other business entity that is an affiliate of the undersigned and such transfer is not for value, (D) in the case of any transfer pursuant to clause (5) above, such transfer is being made pursuant to a 10b5-1 Plan; and (E) in the case of any transfer pursuant to clause (7) above, such transfer is being made to satisfy tax obligations. For purposes of this paragraph, “immediate family” shall mean a spouse, child, grandchild or other lineal descendant (including by adoption), father, mother, brother or sister of the undersigned; and “affiliate” shall have the meaning set forth in Rule 405 under the Securities Act.</w:t>
      </w:r>
    </w:p>
    <w:p>
      <w:pPr>
        <w:spacing w:after="0" w:line="174"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For avoidance of doubt, nothing in this Agreement prohibits the undersigned from accepting any Common Stock based on the settlement of any deferred equity award that is about to expire or exercising any options or warrants to purchase Common Stock (which exercises may be effected on a cashless basis to the extent the instruments representing such options or warrants permit exercises on a cashless basis), it being understood that any Common Stock issued upon such acceptance or exercises will be subject to the restrictions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public announcement or filing is voluntarily made regarding such exercise during the Lock-Up Period and provided that if the undersigned is required to file a report under Section 16(a) of the Exchange Act reporting a reduction in beneficial ownership of such deferred equity award, options or warrants during the Lock-Up Period, the undersigned shall include a statement in such report to the effect that the disposition relates to the settlement of the deferred equity award or exercise of an option or warrant, as applicable, and that the shares of Common Stock received upon exercise are subject to the restrictions of this Agreement.</w:t>
      </w:r>
    </w:p>
    <w:p>
      <w:pPr>
        <w:spacing w:after="0" w:line="196"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Securities Exchange Act of 1934, as amended),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7"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The undersigned acknowledges and agrees that the Underwriters have not made any recommendation or provided any investment advice to the undersigned with respect to this lock-up agreement or the subject matter hereof, and the undersigned has consulted its own legal, accounting, financial, regulatory and tax advisors with respect to this lock-up agreement and the subject matter hereof to the extent the undersigned has deemed appropriate.</w:t>
      </w:r>
    </w:p>
    <w:p>
      <w:pPr>
        <w:spacing w:after="0" w:line="187"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323"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rPr>
              <w:t>Very truly yours,</w:t>
            </w: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IF A NATURAL PERSON:</w:t>
            </w:r>
          </w:p>
        </w:tc>
        <w:tc>
          <w:tcPr>
            <w:tcW w:w="23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IF AN ENTITY OR TRUST:</w:t>
            </w:r>
          </w:p>
        </w:tc>
      </w:tr>
      <w:tr>
        <w:trPr>
          <w:trHeight w:val="391"/>
        </w:trPr>
        <w:tc>
          <w:tcPr>
            <w:tcW w:w="3320" w:type="dxa"/>
            <w:vAlign w:val="bottom"/>
            <w:gridSpan w:val="2"/>
          </w:tcPr>
          <w:p>
            <w:pPr>
              <w:spacing w:after="0"/>
              <w:rPr>
                <w:sz w:val="20"/>
                <w:szCs w:val="20"/>
                <w:color w:val="auto"/>
              </w:rPr>
            </w:pPr>
            <w:r>
              <w:rPr>
                <w:rFonts w:ascii="Arial" w:cs="Arial" w:eastAsia="Arial" w:hAnsi="Arial"/>
                <w:sz w:val="18"/>
                <w:szCs w:val="18"/>
                <w:color w:val="auto"/>
              </w:rPr>
              <w:t>By:</w:t>
            </w:r>
          </w:p>
        </w:tc>
        <w:tc>
          <w:tcPr>
            <w:tcW w:w="23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000" w:type="dxa"/>
            <w:vAlign w:val="bottom"/>
            <w:tcBorders>
              <w:top w:val="single" w:sz="8" w:color="auto"/>
            </w:tcBorders>
          </w:tcPr>
          <w:p>
            <w:pPr>
              <w:ind w:left="180"/>
              <w:spacing w:after="0"/>
              <w:rPr>
                <w:sz w:val="20"/>
                <w:szCs w:val="20"/>
                <w:color w:val="auto"/>
              </w:rPr>
            </w:pPr>
            <w:r>
              <w:rPr>
                <w:rFonts w:ascii="Arial" w:cs="Arial" w:eastAsia="Arial" w:hAnsi="Arial"/>
                <w:sz w:val="18"/>
                <w:szCs w:val="18"/>
                <w:i w:val="1"/>
                <w:iCs w:val="1"/>
                <w:color w:val="auto"/>
              </w:rPr>
              <w:t>(Duly authorized signature)</w:t>
            </w:r>
          </w:p>
        </w:tc>
        <w:tc>
          <w:tcPr>
            <w:tcW w:w="2300" w:type="dxa"/>
            <w:vAlign w:val="bottom"/>
          </w:tcPr>
          <w:p>
            <w:pPr>
              <w:spacing w:after="0"/>
              <w:rPr>
                <w:sz w:val="20"/>
                <w:szCs w:val="20"/>
                <w:color w:val="auto"/>
              </w:rPr>
            </w:pPr>
          </w:p>
        </w:tc>
        <w:tc>
          <w:tcPr>
            <w:tcW w:w="3740" w:type="dxa"/>
            <w:vAlign w:val="bottom"/>
            <w:tcBorders>
              <w:top w:val="single" w:sz="8" w:color="auto"/>
            </w:tcBorders>
          </w:tcPr>
          <w:p>
            <w:pPr>
              <w:ind w:left="320"/>
              <w:spacing w:after="0"/>
              <w:rPr>
                <w:sz w:val="20"/>
                <w:szCs w:val="20"/>
                <w:color w:val="auto"/>
              </w:rPr>
            </w:pPr>
            <w:r>
              <w:rPr>
                <w:rFonts w:ascii="Arial" w:cs="Arial" w:eastAsia="Arial" w:hAnsi="Arial"/>
                <w:sz w:val="18"/>
                <w:szCs w:val="18"/>
                <w:i w:val="1"/>
                <w:iCs w:val="1"/>
                <w:color w:val="auto"/>
              </w:rPr>
              <w:t>(Please print complete name of entity)</w:t>
            </w:r>
          </w:p>
        </w:tc>
      </w:tr>
    </w:tbl>
    <w:p>
      <w:pPr>
        <w:spacing w:after="0" w:line="200" w:lineRule="exact"/>
        <w:rPr>
          <w:sz w:val="20"/>
          <w:szCs w:val="20"/>
          <w:color w:val="auto"/>
        </w:rPr>
      </w:pPr>
    </w:p>
    <w:p>
      <w:pPr>
        <w:sectPr>
          <w:pgSz w:w="11900" w:h="16838" w:orient="portrait"/>
          <w:cols w:equalWidth="0" w:num="1">
            <w:col w:w="10139"/>
          </w:cols>
          <w:pgMar w:left="320" w:top="584" w:right="1440"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-10160</wp:posOffset>
            </wp:positionV>
            <wp:extent cx="177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3" w:lineRule="exact"/>
        <w:rPr>
          <w:sz w:val="20"/>
          <w:szCs w:val="20"/>
          <w:color w:val="auto"/>
        </w:rPr>
      </w:pPr>
    </w:p>
    <w:p>
      <w:pPr>
        <w:jc w:val="right"/>
        <w:ind w:right="2520"/>
        <w:spacing w:after="0"/>
        <w:rPr>
          <w:sz w:val="20"/>
          <w:szCs w:val="20"/>
          <w:color w:val="auto"/>
        </w:rPr>
      </w:pPr>
      <w:r>
        <w:rPr>
          <w:rFonts w:ascii="Arial" w:cs="Arial" w:eastAsia="Arial" w:hAnsi="Arial"/>
          <w:sz w:val="18"/>
          <w:szCs w:val="18"/>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3704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70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23704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-10160</wp:posOffset>
            </wp:positionV>
            <wp:extent cx="21996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(Duly authorized signature)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2056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line="3" w:lineRule="exact"/>
        <w:rPr>
          <w:sz w:val="20"/>
          <w:szCs w:val="20"/>
          <w:color w:val="auto"/>
        </w:rPr>
      </w:pPr>
    </w:p>
    <w:p>
      <w:pPr>
        <w:jc w:val="right"/>
        <w:ind w:right="1819"/>
        <w:spacing w:after="0"/>
        <w:rPr>
          <w:sz w:val="20"/>
          <w:szCs w:val="20"/>
          <w:color w:val="auto"/>
        </w:rPr>
      </w:pPr>
      <w:r>
        <w:rPr>
          <w:rFonts w:ascii="Arial" w:cs="Arial" w:eastAsia="Arial" w:hAnsi="Arial"/>
          <w:sz w:val="18"/>
          <w:szCs w:val="18"/>
          <w:i w:val="1"/>
          <w:iCs w:val="1"/>
          <w:color w:val="auto"/>
        </w:rPr>
        <w:t>(Please print full 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-10160</wp:posOffset>
            </wp:positionV>
            <wp:extent cx="21139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(Please print full 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23704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04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537845</wp:posOffset>
            </wp:positionV>
            <wp:extent cx="23996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4519"/>
          </w:cols>
          <w:pgMar w:left="320" w:top="5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-10160</wp:posOffset>
            </wp:positionV>
            <wp:extent cx="1971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71040" cy="8255"/>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-10160</wp:posOffset>
            </wp:positionV>
            <wp:extent cx="1971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198" w:lineRule="exact"/>
        <w:rPr>
          <w:sz w:val="20"/>
          <w:szCs w:val="20"/>
          <w:color w:val="auto"/>
        </w:rPr>
      </w:pPr>
    </w:p>
    <w:p>
      <w:pPr>
        <w:jc w:val="right"/>
        <w:ind w:right="27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Lock-Up Agreement</w:t>
      </w:r>
      <w:r>
        <w:rPr>
          <w:rFonts w:ascii="Arial" w:cs="Arial" w:eastAsia="Arial" w:hAnsi="Arial"/>
          <w:sz w:val="22"/>
          <w:szCs w:val="22"/>
          <w:color w:val="auto"/>
        </w:rPr>
        <w:t>]</w:t>
      </w:r>
    </w:p>
    <w:p>
      <w:pPr>
        <w:sectPr>
          <w:pgSz w:w="11900" w:h="16838" w:orient="portrait"/>
          <w:cols w:equalWidth="0" w:num="1">
            <w:col w:w="10139"/>
          </w:cols>
          <w:pgMar w:left="320" w:top="584" w:right="1440"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97000" cy="754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97000" cy="7543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4365 Executive Drive, Suite 1100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 Diego, California 92121-2133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www.dlapiper.com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858.677.1400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858.677.1401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 92064</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S-3ASR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acted as counsel to Cohu, Inc., a Delaware corporation (the “Company”), in connection with the offering by the Company of up to 5,692,500 shares of common stock, par value $1.00 per share (the “Shares”), including up to 742,500 shares that may be sold pursuant to the exercise of an option by the underwriters, pursuant to an underwriting agreement dated March 3, 2021, by and among the Company and Citigroup Global Markets Inc. and Goldman Sachs &amp; Co. LLC, as representatives of the several underwriters named therein (the “Underwriting Agreement”), and the Company’s Registration Statement on Form S-3ASR (File No. 333-237067) and accompanying Prospectus Supplement dated March 3, 2021 (the “Prospectus Supplement”), each filed under the Securities Act of 1933, as amended (the “Act”), with the Securities and Exchange Commission (the “SEC”). The number of Shares shall include all shares of the Company’s common stock registered in connection with the offering contemplated by the Registration Statement.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this opinion letter, we have examined the Registration Statement, the Prospectus Supplement, the Underwriting Agreement and originals, or copies certified or otherwise identified to our satisfaction, of the Certificate of Incorporation, as amended, of the Company as filed with the Secretary of State of the State of Delaware, the Bylaws of the Company and the minutes of meetings of the stockholders and the Board of Directors of the Company, and the Pricing Committee thereof, as provided to us by the Company and such other documents, records and other instruments as we have deemed appropriate for purposes of the opinion set forth herein.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duly authorized by the Company and when issued and sold by the Company and delivered by the Company against receipt of the purchase price therefor, in the manner contemplated by the Registration Statement and the Prospectus Supplement, will be validly issued, fully paid and non-assessable.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hereby consent to the use of this opinion as Exhibit 5.1 to the Registration Statement and to the reference to us under the caption “Legal Matters” in the base prospectus included in the Registration Statement and the Prospectus Supplement. In giving such consent, we do not hereby admit that we are acting within the category of persons whose consent is required under Section 7 of the Act or the rules or regulations of the SEC thereunder.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DLA Piper LLP (US)</w:t>
      </w:r>
    </w:p>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154305</wp:posOffset>
            </wp:positionV>
            <wp:extent cx="3780155" cy="702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801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www.cohu.com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Announces Proposed Public Offering of 4,500,000 Shares of Common Stock</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POWAY, Calif., March 1, 2021 -- Cohu, Inc. (NASDAQ: COHU), a global leader in back-end semiconductor equipment and services, today announced that it has commenced an underwritten public offering of 4,500,000 shares of its common stock. All of the shares in the proposed offering will be sold by Cohu. In addition, Cohu expects to grant the underwriters a 30-day option to purchase up to an additional 675,000 shares of its common stock in the proposed offering at the public offering price, less underwriting discounts and commissions. The proposed offering is subject to market and other conditions, and there can be no assurance as to whether or when the proposed offering may be completed, or as to the actual size or terms of the offering. Cohu intends to use the anticipated net proceeds of this proposed offering to repay outstanding principal on its term loan facility and for general corporate purposes, including to fund future growth initiatives.</w:t>
      </w:r>
    </w:p>
    <w:p>
      <w:pPr>
        <w:spacing w:after="0" w:line="1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Citigroup, Goldman Sachs &amp; Co. LLC and Stifel are acting as joint book-running managers for the proposed offering. B. Riley Securities, Craig-Hallum Capital Group and D.A. Davidson &amp; Co. are acting as co-managers for the offering.</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shares are being offered by Cohu pursuant to an effective shelf registration statement on Form S-3ASR that was filed with the Securities and Exchange Commission (“SEC”) and became on effective on March 10, 2020.</w:t>
      </w:r>
    </w:p>
    <w:p>
      <w:pPr>
        <w:spacing w:after="0" w:line="170" w:lineRule="exact"/>
        <w:rPr>
          <w:sz w:val="20"/>
          <w:szCs w:val="20"/>
          <w:color w:val="auto"/>
        </w:rPr>
      </w:pPr>
    </w:p>
    <w:p>
      <w:pPr>
        <w:ind w:right="260"/>
        <w:spacing w:after="0" w:line="219" w:lineRule="exact"/>
        <w:rPr>
          <w:sz w:val="20"/>
          <w:szCs w:val="20"/>
          <w:color w:val="auto"/>
        </w:rPr>
      </w:pPr>
      <w:r>
        <w:rPr>
          <w:rFonts w:ascii="Arial" w:cs="Arial" w:eastAsia="Arial" w:hAnsi="Arial"/>
          <w:sz w:val="17"/>
          <w:szCs w:val="17"/>
          <w:color w:val="auto"/>
        </w:rPr>
        <w:t>Copies of the preliminary prospectus supplement and accompanying prospectus relating to the offering may be obtained from Citigroup Global Markets Inc., c/o Broadridge Financial Solutions, 1155 Long Island Avenue, Edgewood, New York 11717, or by telephone at (800) 831-9146; Goldman Sachs &amp; Co. LLC, Attention: Prospectus Department, 200 West Street, New York, New York 10282, by telephone at (866) 471</w:t>
      </w:r>
      <w:r>
        <w:rPr>
          <w:rFonts w:ascii="MS PGothic" w:cs="MS PGothic" w:eastAsia="MS PGothic" w:hAnsi="MS PGothic"/>
          <w:sz w:val="17"/>
          <w:szCs w:val="17"/>
          <w:color w:val="auto"/>
        </w:rPr>
        <w:t>‐</w:t>
      </w:r>
      <w:r>
        <w:rPr>
          <w:rFonts w:ascii="Arial" w:cs="Arial" w:eastAsia="Arial" w:hAnsi="Arial"/>
          <w:sz w:val="17"/>
          <w:szCs w:val="17"/>
          <w:color w:val="auto"/>
        </w:rPr>
        <w:t>2526 or by email at prospectus-ny@ny.email.gs.com; or Stifel, Nicolaus &amp; Company, Incorporated, Attention: Prospectus Department, One Montgomery Street, Suite 3700, San Francisco, CA 94104, by telephone at 415-364-2720 or by email at syndprospectus@stifel.com.</w:t>
      </w:r>
    </w:p>
    <w:p>
      <w:pPr>
        <w:spacing w:after="0" w:line="20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press release contains forward-looking statements made pursuant to the safe harbor provisions of the Private Securities Litigation Reform Act of 1995. Forward-looking statements are information of a non-historical nature and include statements regarding the timing, size and completion of the proposed public offering of common stock and granting the underwriters a 30-day option to purchase additional shares, and use of proceeds of the proposed public offering. Such forward-looking statements involve risks and uncertainties, including, without limitation, risks and uncertainties related to market conditions and the satisfaction of closing conditions related to the proposed public offering, which are beyond Cohu’s ability to control. For a further description of the risks and uncertainties that could cause actual results to differ from those expressed in these forward-looking statements, as well as risks relating to Cohu’s business in general, please refer to Cohu’s Annual Report on Form 10-K for the year ended December 26, 2020, together with all of the other information contained in the preliminary prospectus supplement filed with the SEC on March 1, 2021. Cohu cautions stockholders and prospective investors that actual results may differ materially from those indicated by the forward-looking statements. Any forward-looking statements contained in this press release speak only as of the date hereof, and Cohu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Cohu (NASDAQ: COHU) is a global leader in back-end semiconductor equipment and services, delivering leading-edge solutions for the manufacturing of semiconductors and printed circuit boards.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ectPr>
          <w:pgSz w:w="11900" w:h="16838" w:orient="portrait"/>
          <w:cols w:equalWidth="0" w:num="1">
            <w:col w:w="11220"/>
          </w:cols>
          <w:pgMar w:left="320" w:top="580"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80155" cy="702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801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www.cohu.com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Announces Pricing of Upsized Public Offering of 4,950,000 Shares of Common Stock</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POWAY, Calif., March 3, 2021 -- Cohu, Inc. (NASDAQ: COHU), a global leader in back-end semiconductor equipment and services, today announced the pricing of an underwritten public offering of 4,950,000 shares of its common stock at a public offering price of $41.00 per share. The offering was upsized from the previously announced public offering of 4,500,000 shares of common stock. All of the shares are being offered by Cohu. The gross proceeds to Cohu, before deducting underwriting discounts and commissions and estimated offering expenses payable by Cohu, are expected to be approximately $203 million. In addition, Cohu has granted the underwriters a 30-day option to purchase up to an additional 742,500 shares of its common stock in the offering at the public offering price, less underwriting discounts and commissions.</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Cohu intends to use the net proceeds of this offering to repay outstanding principal on its term loan facility and for general corporate purposes, including to fund future growth initiatives. The offering is expected to close on March 8, 2021, subject to the satisfaction of customary closing conditions.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Citigroup, Goldman Sachs &amp; Co. LLC and Stifel are acting as joint book-running managers for the offering. B. Riley Securities, Craig-Hallum Capital Group and D.A. Davidson &amp; Co. are acting as co-managers for the offering.</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shares are being offered by Cohu pursuant to an effective shelf registration statement on Form S-3ASR that was filed with the Securities and Exchange Commission (“SEC”) and became on effective on March 10, 2020. A preliminary prospectus supplement and accompanying prospectus relating to the offering have been filed with the SEC and are available on the SEC’s website at http://www.sec.gov. A final prospectus supplement and accompanying prospectus will be filed with the SEC.</w:t>
      </w:r>
    </w:p>
    <w:p>
      <w:pPr>
        <w:spacing w:after="0" w:line="187" w:lineRule="exact"/>
        <w:rPr>
          <w:sz w:val="20"/>
          <w:szCs w:val="20"/>
          <w:color w:val="auto"/>
        </w:rPr>
      </w:pPr>
    </w:p>
    <w:p>
      <w:pPr>
        <w:ind w:right="220"/>
        <w:spacing w:after="0" w:line="219" w:lineRule="exact"/>
        <w:rPr>
          <w:sz w:val="20"/>
          <w:szCs w:val="20"/>
          <w:color w:val="auto"/>
        </w:rPr>
      </w:pPr>
      <w:r>
        <w:rPr>
          <w:rFonts w:ascii="Arial" w:cs="Arial" w:eastAsia="Arial" w:hAnsi="Arial"/>
          <w:sz w:val="17"/>
          <w:szCs w:val="17"/>
          <w:color w:val="auto"/>
        </w:rPr>
        <w:t>Copies of the final prospectus supplement and accompanying prospectus relating to the offering, when available, may be obtained from Citigroup Global Markets Inc., c/o Broadridge Financial Solutions, 1155 Long Island Avenue, Edgewood, New York 11717, or by telephone at (800) 831-9146; Goldman Sachs &amp; Co. LLC, Attention: Prospectus Department, 200 West Street, New York, New York 10282, by telephone at (866) 471</w:t>
      </w:r>
      <w:r>
        <w:rPr>
          <w:rFonts w:ascii="MS PGothic" w:cs="MS PGothic" w:eastAsia="MS PGothic" w:hAnsi="MS PGothic"/>
          <w:sz w:val="17"/>
          <w:szCs w:val="17"/>
          <w:color w:val="auto"/>
        </w:rPr>
        <w:t>‐</w:t>
      </w:r>
      <w:r>
        <w:rPr>
          <w:rFonts w:ascii="Arial" w:cs="Arial" w:eastAsia="Arial" w:hAnsi="Arial"/>
          <w:sz w:val="17"/>
          <w:szCs w:val="17"/>
          <w:color w:val="auto"/>
        </w:rPr>
        <w:t>2526 or by email at prospectus-ny@ny.email.gs.com; or Stifel, Nicolaus &amp; Company, Incorporated, Attention: Prospectus Department, One Montgomery Street, Suite 3700, San Francisco, CA 94104, by telephone at 415-364-2720 or by email at syndprospectus@stifel.com.</w:t>
      </w:r>
    </w:p>
    <w:p>
      <w:pPr>
        <w:spacing w:after="0" w:line="20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press release contains forward-looking statements made pursuant to the safe harbor provisions of the Private Securities Litigation Reform Act of 1995. Forward-looking statements are information of a non-historical nature and include statements regarding the timing and completion and use of proceeds of the public offering of common stock. Such forward-looking statements involve risks and uncertainties, including, without limitation, risks and uncertainties related to market conditions and the satisfaction of closing conditions related to the public offering, which are beyond Cohu’s ability to control. For a further description of the risks and uncertainties that could cause actual results to differ from those expressed in these forward-looking statements, as well as risks relating to Cohu’s business in general, please refer to Cohu’s Annual Report on Form 10-K for the year ended December 26, 2020, together with all of the other information contained in the preliminary prospectus supplement filed with the SEC on March 1, 2021. Cohu cautions stockholders and prospective investors that actual results may differ materially from those indicated by the forward-looking statements. Any forward-looking statements contained in this press release speak only as of the date hereof, and Cohu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Cohu (NASDAQ: COHU) is a global leader in back-end semiconductor equipment and services, delivering leading-edge solutions for the manufacturing of semiconductors and printed circuit boards.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2"/>
    </w:lvl>
  </w:abstractNum>
  <w:abstractNum w:abstractNumId="4">
    <w:nsid w:val="6763845E"/>
    <w:multiLevelType w:val="hybridMultilevel"/>
    <w:lvl w:ilvl="0">
      <w:lvlJc w:val="left"/>
      <w:lvlText w:val="%1"/>
      <w:numFmt w:val="lowerRoman"/>
      <w:start w:val="1"/>
    </w:lvl>
    <w:lvl w:ilvl="1">
      <w:lvlJc w:val="left"/>
      <w:lvlText w:val="(%2)"/>
      <w:numFmt w:val="lowerLetter"/>
      <w:start w:val="4"/>
    </w:lvl>
  </w:abstractNum>
  <w:abstractNum w:abstractNumId="5">
    <w:nsid w:val="75A2A8D4"/>
    <w:multiLevelType w:val="hybridMultilevel"/>
    <w:lvl w:ilvl="0">
      <w:lvlJc w:val="left"/>
      <w:lvlText w:val="(%1)"/>
      <w:numFmt w:val="lowerRoman"/>
      <w:start w:val="4"/>
    </w:lvl>
    <w:lvl w:ilvl="1">
      <w:lvlJc w:val="left"/>
      <w:lvlText w:val="(%2)"/>
      <w:numFmt w:val="lowerLetter"/>
      <w:start w:val="5"/>
    </w:lvl>
  </w:abstractNum>
  <w:abstractNum w:abstractNumId="6">
    <w:nsid w:val="8EDBDAB"/>
    <w:multiLevelType w:val="hybridMultilevel"/>
    <w:lvl w:ilvl="0">
      <w:lvlJc w:val="left"/>
      <w:lvlText w:val="%1"/>
      <w:numFmt w:val="lowerLetter"/>
      <w:start w:val="1"/>
    </w:lvl>
    <w:lvl w:ilvl="1">
      <w:lvlJc w:val="left"/>
      <w:lvlText w:val="(%2)"/>
      <w:numFmt w:val="lowerLetter"/>
      <w:start w:val="9"/>
    </w:lvl>
  </w:abstractNum>
  <w:abstractNum w:abstractNumId="7">
    <w:nsid w:val="79838CB2"/>
    <w:multiLevelType w:val="hybridMultilevel"/>
    <w:lvl w:ilvl="0">
      <w:lvlJc w:val="left"/>
      <w:lvlText w:val="(%1)"/>
      <w:numFmt w:val="lowerLetter"/>
      <w:start w:val="35"/>
    </w:lvl>
    <w:lvl w:ilvl="1">
      <w:lvlJc w:val="left"/>
      <w:lvlText w:val="%2"/>
      <w:numFmt w:val="lowerLetter"/>
      <w:start w:val="1"/>
    </w:lvl>
  </w:abstractNum>
  <w:abstractNum w:abstractNumId="8">
    <w:nsid w:val="4353D0CD"/>
    <w:multiLevelType w:val="hybridMultilevel"/>
    <w:lvl w:ilvl="0">
      <w:lvlJc w:val="left"/>
      <w:lvlText w:val="(%1)"/>
      <w:numFmt w:val="lowerLetter"/>
      <w:start w:val="15"/>
    </w:lvl>
  </w:abstractNum>
  <w:abstractNum w:abstractNumId="9">
    <w:nsid w:val="B03E0C6"/>
    <w:multiLevelType w:val="hybridMultilevel"/>
    <w:lvl w:ilvl="0">
      <w:lvlJc w:val="left"/>
      <w:lvlText w:val="(%1)"/>
      <w:numFmt w:val="lowerLetter"/>
      <w:start w:val="21"/>
    </w:lvl>
  </w:abstractNum>
  <w:abstractNum w:abstractNumId="10">
    <w:nsid w:val="189A769B"/>
    <w:multiLevelType w:val="hybridMultilevel"/>
    <w:lvl w:ilvl="0">
      <w:lvlJc w:val="left"/>
      <w:lvlText w:val="(%1)"/>
      <w:numFmt w:val="lowerLetter"/>
      <w:start w:val="24"/>
    </w:lvl>
  </w:abstractNum>
  <w:abstractNum w:abstractNumId="11">
    <w:nsid w:val="54E49EB4"/>
    <w:multiLevelType w:val="hybridMultilevel"/>
    <w:lvl w:ilvl="0">
      <w:lvlJc w:val="left"/>
      <w:lvlText w:val="(%1)"/>
      <w:numFmt w:val="lowerLetter"/>
      <w:start w:val="26"/>
    </w:lvl>
  </w:abstractNum>
  <w:abstractNum w:abstractNumId="12">
    <w:nsid w:val="71F32454"/>
    <w:multiLevelType w:val="hybridMultilevel"/>
    <w:lvl w:ilvl="0">
      <w:lvlJc w:val="left"/>
      <w:lvlText w:val="(%1)"/>
      <w:numFmt w:val="lowerLetter"/>
      <w:start w:val="27"/>
    </w:lvl>
  </w:abstractNum>
  <w:abstractNum w:abstractNumId="13">
    <w:nsid w:val="2CA88611"/>
    <w:multiLevelType w:val="hybridMultilevel"/>
    <w:lvl w:ilvl="0">
      <w:lvlJc w:val="left"/>
      <w:lvlText w:val="(%1)"/>
      <w:numFmt w:val="lowerLetter"/>
      <w:start w:val="31"/>
    </w:lvl>
  </w:abstractNum>
  <w:abstractNum w:abstractNumId="14">
    <w:nsid w:val="836C40E"/>
    <w:multiLevelType w:val="hybridMultilevel"/>
    <w:lvl w:ilvl="0">
      <w:lvlJc w:val="left"/>
      <w:lvlText w:val="(%1)"/>
      <w:numFmt w:val="lowerLetter"/>
      <w:start w:val="34"/>
    </w:lvl>
  </w:abstractNum>
  <w:abstractNum w:abstractNumId="15">
    <w:nsid w:val="2901D82"/>
    <w:multiLevelType w:val="hybridMultilevel"/>
    <w:lvl w:ilvl="0">
      <w:lvlJc w:val="left"/>
      <w:lvlText w:val="(%1)"/>
      <w:numFmt w:val="lowerLetter"/>
      <w:start w:val="37"/>
    </w:lvl>
  </w:abstractNum>
  <w:abstractNum w:abstractNumId="16">
    <w:nsid w:val="3A95F874"/>
    <w:multiLevelType w:val="hybridMultilevel"/>
    <w:lvl w:ilvl="0">
      <w:lvlJc w:val="left"/>
      <w:lvlText w:val="%1"/>
      <w:numFmt w:val="lowerLetter"/>
      <w:start w:val="1"/>
    </w:lvl>
    <w:lvl w:ilvl="1">
      <w:lvlJc w:val="left"/>
      <w:lvlText w:val="(%2)"/>
      <w:numFmt w:val="lowerLetter"/>
      <w:start w:val="39"/>
    </w:lvl>
  </w:abstractNum>
  <w:abstractNum w:abstractNumId="17">
    <w:nsid w:val="8138641"/>
    <w:multiLevelType w:val="hybridMultilevel"/>
    <w:lvl w:ilvl="0">
      <w:lvlJc w:val="left"/>
      <w:lvlText w:val="(%1)"/>
      <w:numFmt w:val="lowerLetter"/>
      <w:start w:val="35"/>
    </w:lvl>
    <w:lvl w:ilvl="1">
      <w:lvlJc w:val="left"/>
      <w:lvlText w:val="(%2)"/>
      <w:numFmt w:val="lowerLetter"/>
      <w:start w:val="40"/>
    </w:lvl>
  </w:abstractNum>
  <w:abstractNum w:abstractNumId="18">
    <w:nsid w:val="1E7FF521"/>
    <w:multiLevelType w:val="hybridMultilevel"/>
    <w:lvl w:ilvl="0">
      <w:lvlJc w:val="left"/>
      <w:lvlText w:val="(%1)"/>
      <w:numFmt w:val="lowerLetter"/>
      <w:start w:val="42"/>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decimal"/>
      <w:start w:val="3"/>
    </w:lvl>
  </w:abstractNum>
  <w:abstractNum w:abstractNumId="22">
    <w:nsid w:val="22221A70"/>
    <w:multiLevelType w:val="hybridMultilevel"/>
    <w:lvl w:ilvl="0">
      <w:lvlJc w:val="left"/>
      <w:lvlText w:val="%1."/>
      <w:numFmt w:val="decimal"/>
      <w:start w:val="4"/>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1"/>
    </w:lvl>
    <w:lvl w:ilvl="1">
      <w:lvlJc w:val="left"/>
      <w:lvlText w:val="(%2)"/>
      <w:numFmt w:val="lowerLetter"/>
      <w:start w:val="2"/>
    </w:lvl>
  </w:abstractNum>
  <w:abstractNum w:abstractNumId="25">
    <w:nsid w:val="614FD4A1"/>
    <w:multiLevelType w:val="hybridMultilevel"/>
    <w:lvl w:ilvl="0">
      <w:lvlJc w:val="left"/>
      <w:lvlText w:val="(%1)"/>
      <w:numFmt w:val="lowerLetter"/>
      <w:start w:val="35"/>
    </w:lvl>
    <w:lvl w:ilvl="1">
      <w:lvlJc w:val="left"/>
      <w:lvlText w:val="(%2)"/>
      <w:numFmt w:val="lowerLetter"/>
      <w:start w:val="3"/>
    </w:lvl>
  </w:abstractNum>
  <w:abstractNum w:abstractNumId="26">
    <w:nsid w:val="419AC241"/>
    <w:multiLevelType w:val="hybridMultilevel"/>
    <w:lvl w:ilvl="0">
      <w:lvlJc w:val="left"/>
      <w:lvlText w:val="(%1)"/>
      <w:numFmt w:val="lowerLetter"/>
      <w:start w:val="6"/>
    </w:lvl>
  </w:abstractNum>
  <w:abstractNum w:abstractNumId="27">
    <w:nsid w:val="5577F8E1"/>
    <w:multiLevelType w:val="hybridMultilevel"/>
    <w:lvl w:ilvl="0">
      <w:lvlJc w:val="left"/>
      <w:lvlText w:val="(%1)"/>
      <w:numFmt w:val="lowerLetter"/>
      <w:start w:val="9"/>
    </w:lvl>
  </w:abstractNum>
  <w:abstractNum w:abstractNumId="28">
    <w:nsid w:val="440BADFC"/>
    <w:multiLevelType w:val="hybridMultilevel"/>
    <w:lvl w:ilvl="0">
      <w:lvlJc w:val="left"/>
      <w:lvlText w:val="%1."/>
      <w:numFmt w:val="decimal"/>
      <w:start w:val="6"/>
    </w:lvl>
  </w:abstractNum>
  <w:abstractNum w:abstractNumId="29">
    <w:nsid w:val="5072367"/>
    <w:multiLevelType w:val="hybridMultilevel"/>
    <w:lvl w:ilvl="0">
      <w:lvlJc w:val="left"/>
      <w:lvlText w:val="(%1)"/>
      <w:numFmt w:val="lowerLetter"/>
      <w:start w:val="2"/>
    </w:lvl>
    <w:lvl w:ilvl="1">
      <w:lvlJc w:val="left"/>
      <w:lvlText w:val="(%2)"/>
      <w:numFmt w:val="lowerRoman"/>
      <w:start w:val="1"/>
    </w:lvl>
  </w:abstractNum>
  <w:abstractNum w:abstractNumId="30">
    <w:nsid w:val="3804823E"/>
    <w:multiLevelType w:val="hybridMultilevel"/>
    <w:lvl w:ilvl="0">
      <w:lvlJc w:val="left"/>
      <w:lvlText w:val="(%1)"/>
      <w:numFmt w:val="lowerLetter"/>
      <w:start w:val="6"/>
    </w:lvl>
  </w:abstractNum>
  <w:abstractNum w:abstractNumId="31">
    <w:nsid w:val="77465F01"/>
    <w:multiLevelType w:val="hybridMultilevel"/>
    <w:lvl w:ilvl="0">
      <w:lvlJc w:val="left"/>
      <w:lvlText w:val="%1."/>
      <w:numFmt w:val="decimal"/>
      <w:start w:val="7"/>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2"/>
    </w:lvl>
  </w:abstractNum>
  <w:abstractNum w:abstractNumId="34">
    <w:nsid w:val="2463B9EA"/>
    <w:multiLevelType w:val="hybridMultilevel"/>
    <w:lvl w:ilvl="0">
      <w:lvlJc w:val="left"/>
      <w:lvlText w:val="(%1)"/>
      <w:numFmt w:val="lowerLetter"/>
      <w:start w:val="4"/>
    </w:lvl>
  </w:abstractNum>
  <w:abstractNum w:abstractNumId="35">
    <w:nsid w:val="5E884ADC"/>
    <w:multiLevelType w:val="hybridMultilevel"/>
    <w:lvl w:ilvl="0">
      <w:lvlJc w:val="left"/>
      <w:lvlText w:val="%1."/>
      <w:numFmt w:val="decimal"/>
      <w:start w:val="9"/>
    </w:lvl>
  </w:abstractNum>
  <w:abstractNum w:abstractNumId="36">
    <w:nsid w:val="51EAD36B"/>
    <w:multiLevelType w:val="hybridMultilevel"/>
    <w:lvl w:ilvl="0">
      <w:lvlJc w:val="left"/>
      <w:lvlText w:val="%1."/>
      <w:numFmt w:val="decimal"/>
      <w:start w:val="1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6"/>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4"/>
    </w:lvl>
  </w:abstractNum>
  <w:abstractNum w:abstractNumId="41">
    <w:nsid w:val="70A64E2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2021-03-04T07:47:31Z</dcterms:created>
  <dcterms:modified xsi:type="dcterms:W3CDTF">2021-03-04T07:47:31Z</dcterms:modified>
</cp:coreProperties>
</file>