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920" w:right="1800" w:hanging="3912"/>
        <w:spacing w:after="0" w:line="261" w:lineRule="auto"/>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26, 2020</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360" w:right="1420" w:hanging="4352"/>
        <w:spacing w:after="0" w:line="261" w:lineRule="auto"/>
        <w:tabs>
          <w:tab w:leader="none" w:pos="6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ind w:left="4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1-4298</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r>
        <w:rPr>
          <w:rFonts w:ascii="Arial" w:cs="Arial" w:eastAsia="Arial" w:hAnsi="Arial"/>
          <w:sz w:val="32"/>
          <w:szCs w:val="32"/>
          <w:color w:val="auto"/>
        </w:rPr>
        <w:t>.</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7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6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500" w:type="dxa"/>
            <w:vAlign w:val="bottom"/>
          </w:tcPr>
          <w:p>
            <w:pPr>
              <w:spacing w:after="0"/>
              <w:rPr>
                <w:sz w:val="18"/>
                <w:szCs w:val="18"/>
                <w:color w:val="auto"/>
              </w:rPr>
            </w:pPr>
          </w:p>
        </w:tc>
        <w:tc>
          <w:tcPr>
            <w:tcW w:w="3740" w:type="dxa"/>
            <w:vAlign w:val="bottom"/>
            <w:gridSpan w:val="2"/>
          </w:tcPr>
          <w:p>
            <w:pPr>
              <w:ind w:left="560"/>
              <w:spacing w:after="0"/>
              <w:rPr>
                <w:sz w:val="20"/>
                <w:szCs w:val="20"/>
                <w:color w:val="auto"/>
              </w:rPr>
            </w:pPr>
            <w:r>
              <w:rPr>
                <w:rFonts w:ascii="Arial" w:cs="Arial" w:eastAsia="Arial" w:hAnsi="Arial"/>
                <w:sz w:val="18"/>
                <w:szCs w:val="18"/>
                <w:i w:val="1"/>
                <w:iCs w:val="1"/>
                <w:color w:val="auto"/>
              </w:rPr>
              <w:t>(State or other jurisdiction of</w:t>
            </w: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60" w:type="dxa"/>
            <w:vAlign w:val="bottom"/>
            <w:gridSpan w:val="2"/>
          </w:tcPr>
          <w:p>
            <w:pPr>
              <w:jc w:val="center"/>
              <w:ind w:right="6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500" w:type="dxa"/>
            <w:vAlign w:val="bottom"/>
          </w:tcPr>
          <w:p>
            <w:pPr>
              <w:spacing w:after="0"/>
              <w:rPr>
                <w:sz w:val="20"/>
                <w:szCs w:val="20"/>
                <w:color w:val="auto"/>
              </w:rPr>
            </w:pPr>
          </w:p>
        </w:tc>
        <w:tc>
          <w:tcPr>
            <w:tcW w:w="3740" w:type="dxa"/>
            <w:vAlign w:val="bottom"/>
            <w:gridSpan w:val="2"/>
          </w:tcPr>
          <w:p>
            <w:pPr>
              <w:jc w:val="center"/>
              <w:ind w:right="33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500" w:type="dxa"/>
            <w:vAlign w:val="bottom"/>
          </w:tcPr>
          <w:p>
            <w:pPr>
              <w:spacing w:after="0"/>
              <w:rPr>
                <w:sz w:val="20"/>
                <w:szCs w:val="20"/>
                <w:color w:val="auto"/>
              </w:rPr>
            </w:pPr>
          </w:p>
        </w:tc>
        <w:tc>
          <w:tcPr>
            <w:tcW w:w="3740" w:type="dxa"/>
            <w:vAlign w:val="bottom"/>
            <w:gridSpan w:val="2"/>
          </w:tcPr>
          <w:p>
            <w:pPr>
              <w:jc w:val="center"/>
              <w:ind w:right="3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80" w:type="dxa"/>
            <w:vAlign w:val="bottom"/>
          </w:tcPr>
          <w:p>
            <w:pPr>
              <w:jc w:val="center"/>
              <w:ind w:right="177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300" w:type="dxa"/>
            <w:vAlign w:val="bottom"/>
            <w:gridSpan w:val="5"/>
          </w:tcPr>
          <w:p>
            <w:pPr>
              <w:jc w:val="center"/>
              <w:ind w:right="2170"/>
              <w:spacing w:after="0"/>
              <w:rPr>
                <w:sz w:val="20"/>
                <w:szCs w:val="20"/>
                <w:color w:val="auto"/>
              </w:rPr>
            </w:pPr>
            <w:r>
              <w:rPr>
                <w:rFonts w:ascii="Arial" w:cs="Arial" w:eastAsia="Arial" w:hAnsi="Arial"/>
                <w:sz w:val="18"/>
                <w:szCs w:val="18"/>
                <w:b w:val="1"/>
                <w:bCs w:val="1"/>
                <w:color w:val="auto"/>
                <w:w w:val="89"/>
              </w:rPr>
              <w:t>Registrant’s telephone number, including area code: (858) 848-8100</w:t>
            </w:r>
          </w:p>
        </w:tc>
      </w:tr>
      <w:tr>
        <w:trPr>
          <w:trHeight w:val="414"/>
        </w:trPr>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300" w:type="dxa"/>
            <w:vAlign w:val="bottom"/>
            <w:gridSpan w:val="5"/>
          </w:tcPr>
          <w:p>
            <w:pPr>
              <w:jc w:val="center"/>
              <w:ind w:right="21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00" w:type="dxa"/>
            <w:vAlign w:val="bottom"/>
          </w:tcPr>
          <w:p>
            <w:pPr>
              <w:spacing w:after="0"/>
              <w:rPr>
                <w:sz w:val="16"/>
                <w:szCs w:val="16"/>
                <w:color w:val="auto"/>
              </w:rPr>
            </w:pPr>
          </w:p>
        </w:tc>
        <w:tc>
          <w:tcPr>
            <w:tcW w:w="14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Title of Each Class</w:t>
            </w:r>
          </w:p>
        </w:tc>
        <w:tc>
          <w:tcPr>
            <w:tcW w:w="2300" w:type="dxa"/>
            <w:vAlign w:val="bottom"/>
          </w:tcPr>
          <w:p>
            <w:pPr>
              <w:spacing w:after="0"/>
              <w:rPr>
                <w:sz w:val="16"/>
                <w:szCs w:val="16"/>
                <w:color w:val="auto"/>
              </w:rPr>
            </w:pPr>
          </w:p>
        </w:tc>
        <w:tc>
          <w:tcPr>
            <w:tcW w:w="14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Name of Exchange on Which Registered</w:t>
            </w:r>
          </w:p>
        </w:tc>
      </w:tr>
      <w:tr>
        <w:trPr>
          <w:trHeight w:val="236"/>
        </w:trPr>
        <w:tc>
          <w:tcPr>
            <w:tcW w:w="4240" w:type="dxa"/>
            <w:vAlign w:val="bottom"/>
            <w:gridSpan w:val="3"/>
          </w:tcPr>
          <w:p>
            <w:pPr>
              <w:jc w:val="center"/>
              <w:ind w:right="1710"/>
              <w:spacing w:after="0"/>
              <w:rPr>
                <w:sz w:val="20"/>
                <w:szCs w:val="20"/>
                <w:color w:val="auto"/>
              </w:rPr>
            </w:pPr>
            <w:r>
              <w:rPr>
                <w:rFonts w:ascii="Arial" w:cs="Arial" w:eastAsia="Arial" w:hAnsi="Arial"/>
                <w:sz w:val="18"/>
                <w:szCs w:val="18"/>
                <w:b w:val="1"/>
                <w:bCs w:val="1"/>
                <w:color w:val="auto"/>
                <w:w w:val="89"/>
              </w:rPr>
              <w:t>Common Stock, $1.00 par value</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COHU</w:t>
            </w:r>
          </w:p>
        </w:tc>
        <w:tc>
          <w:tcPr>
            <w:tcW w:w="108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20"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60" w:firstLine="16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39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tc>
        <w:tc>
          <w:tcPr>
            <w:tcW w:w="2400" w:type="dxa"/>
            <w:vAlign w:val="bottom"/>
            <w:vMerge w:val="restart"/>
          </w:tcPr>
          <w:p>
            <w:pPr>
              <w:ind w:left="3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300" w:type="dxa"/>
            <w:vAlign w:val="bottom"/>
          </w:tcPr>
          <w:p>
            <w:pPr>
              <w:ind w:left="200"/>
              <w:spacing w:after="0"/>
              <w:rPr>
                <w:sz w:val="20"/>
                <w:szCs w:val="20"/>
                <w:color w:val="auto"/>
              </w:rPr>
            </w:pPr>
            <w:r>
              <w:rPr>
                <w:rFonts w:ascii="Arial" w:cs="Arial" w:eastAsia="Arial" w:hAnsi="Arial"/>
                <w:sz w:val="18"/>
                <w:szCs w:val="18"/>
                <w:color w:val="auto"/>
                <w:w w:val="96"/>
              </w:rPr>
              <w:t>Smaller reporting company</w:t>
            </w:r>
          </w:p>
        </w:tc>
        <w:tc>
          <w:tcPr>
            <w:tcW w:w="2140" w:type="dxa"/>
            <w:vAlign w:val="bottom"/>
            <w:vMerge w:val="restart"/>
          </w:tcPr>
          <w:p>
            <w:pPr>
              <w:ind w:left="140"/>
              <w:spacing w:after="0"/>
              <w:rPr>
                <w:sz w:val="20"/>
                <w:szCs w:val="20"/>
                <w:color w:val="auto"/>
              </w:rPr>
            </w:pPr>
            <w:r>
              <w:rPr>
                <w:rFonts w:ascii="Arial" w:cs="Arial" w:eastAsia="Arial" w:hAnsi="Arial"/>
                <w:sz w:val="18"/>
                <w:szCs w:val="18"/>
                <w:color w:val="auto"/>
                <w:w w:val="92"/>
              </w:rPr>
              <w:t>Emerging growth company</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5"/>
        </w:trPr>
        <w:tc>
          <w:tcPr>
            <w:tcW w:w="3980" w:type="dxa"/>
            <w:vAlign w:val="bottom"/>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23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168"/>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$655,000,000 based on the closing stock price as reported by the Nasdaq Stock Market LLC as of June 26, 2020.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8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18, 2021, the Registrant had 42,223,006 shares of its $1.00 par value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240"/>
          </w:cols>
          <w:pgMar w:left="320" w:top="692" w:right="339" w:bottom="0" w:gutter="0" w:footer="0" w:header="0"/>
        </w:sectPr>
      </w:pPr>
    </w:p>
    <w:bookmarkStart w:id="1" w:name="page2"/>
    <w:bookmarkEnd w:id="1"/>
    <w:p>
      <w:pPr>
        <w:ind w:firstLine="168"/>
        <w:spacing w:after="0" w:line="308" w:lineRule="auto"/>
        <w:rPr>
          <w:sz w:val="20"/>
          <w:szCs w:val="20"/>
          <w:color w:val="auto"/>
        </w:rPr>
      </w:pPr>
      <w:r>
        <w:rPr>
          <w:rFonts w:ascii="Arial" w:cs="Arial" w:eastAsia="Arial" w:hAnsi="Arial"/>
          <w:sz w:val="17"/>
          <w:szCs w:val="17"/>
          <w:color w:val="auto"/>
        </w:rPr>
        <w:t>Portions of the Proxy Statement for Cohu, Inc.’s 2021 Annual Meeting of Stockholders to be held on May 5, 2021, and to be filed pursuant to Regulation 14A within 120 days after registrant’s fiscal year ended December 26, 2020,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960" w:type="dxa"/>
            <w:vAlign w:val="bottom"/>
          </w:tcPr>
          <w:p>
            <w:pPr>
              <w:spacing w:after="0"/>
              <w:rPr>
                <w:sz w:val="24"/>
                <w:szCs w:val="24"/>
                <w:color w:val="auto"/>
              </w:rPr>
            </w:pPr>
          </w:p>
        </w:tc>
        <w:tc>
          <w:tcPr>
            <w:tcW w:w="9080" w:type="dxa"/>
            <w:vAlign w:val="bottom"/>
          </w:tcPr>
          <w:p>
            <w:pPr>
              <w:jc w:val="center"/>
              <w:ind w:left="150"/>
              <w:spacing w:after="0"/>
              <w:rPr>
                <w:sz w:val="20"/>
                <w:szCs w:val="20"/>
                <w:color w:val="auto"/>
              </w:rPr>
            </w:pPr>
            <w:r>
              <w:rPr>
                <w:rFonts w:ascii="Arial" w:cs="Arial" w:eastAsia="Arial" w:hAnsi="Arial"/>
                <w:sz w:val="18"/>
                <w:szCs w:val="18"/>
                <w:b w:val="1"/>
                <w:bCs w:val="1"/>
                <w:color w:val="auto"/>
              </w:rPr>
              <w:t>COHU, INC.</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08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FORM 10-K FOR THE FISCAL YEAR ENDED DECEMBER 26, 2020</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08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6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90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08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08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08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Unresolved Staff Comments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08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Properties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08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08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Mine Safety Disclosures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8"/>
        </w:trPr>
        <w:tc>
          <w:tcPr>
            <w:tcW w:w="960" w:type="dxa"/>
            <w:vAlign w:val="bottom"/>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PART II</w:t>
              </w:r>
            </w:hyperlink>
          </w:p>
        </w:tc>
        <w:tc>
          <w:tcPr>
            <w:tcW w:w="9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080" w:type="dxa"/>
            <w:vAlign w:val="bottom"/>
          </w:tcPr>
          <w:p>
            <w:pPr>
              <w:ind w:left="180"/>
              <w:spacing w:after="0"/>
              <w:rPr>
                <w:rFonts w:ascii="Arial" w:cs="Arial" w:eastAsia="Arial" w:hAnsi="Arial"/>
                <w:sz w:val="18"/>
                <w:szCs w:val="18"/>
                <w:u w:val="single" w:color="auto"/>
                <w:color w:val="0000EE"/>
                <w:w w:val="99"/>
              </w:rPr>
            </w:pPr>
            <w:hyperlink w:anchor="page20">
              <w:r>
                <w:rPr>
                  <w:rFonts w:ascii="Arial" w:cs="Arial" w:eastAsia="Arial" w:hAnsi="Arial"/>
                  <w:sz w:val="18"/>
                  <w:szCs w:val="18"/>
                  <w:u w:val="single" w:color="auto"/>
                  <w:color w:val="0000EE"/>
                  <w:w w:val="99"/>
                </w:rPr>
                <w:t>Market for Registrant’s Common Equity, Related Stockholder Matters and Issuer Purchases of Equity Securities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08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Selected Financial Data</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9080" w:type="dxa"/>
            <w:vAlign w:val="bottom"/>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9080" w:type="dxa"/>
            <w:vAlign w:val="bottom"/>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9080" w:type="dxa"/>
            <w:vAlign w:val="bottom"/>
          </w:tcPr>
          <w:p>
            <w:pPr>
              <w:ind w:left="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Financial Statements and Supplementary Data</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9080" w:type="dxa"/>
            <w:vAlign w:val="bottom"/>
          </w:tcPr>
          <w:p>
            <w:pPr>
              <w:ind w:left="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Changes in and Disagreements with Accountants on Accounting and Financial Disclosure</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9080" w:type="dxa"/>
            <w:vAlign w:val="bottom"/>
          </w:tcPr>
          <w:p>
            <w:pPr>
              <w:ind w:left="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9080" w:type="dxa"/>
            <w:vAlign w:val="bottom"/>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96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III</w:t>
              </w:r>
            </w:hyperlink>
          </w:p>
        </w:tc>
        <w:tc>
          <w:tcPr>
            <w:tcW w:w="9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9080" w:type="dxa"/>
            <w:vAlign w:val="bottom"/>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Directors, Executive Officers and Corporate Governance</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908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Executive Compensation</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908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Security Ownership of Certain Beneficial Owners and Management and Related Stockholder Matters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908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Certain Relationships and Related Transactions, and Director Independence</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908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Principal Accounting Fees and Services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96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IV</w:t>
              </w:r>
            </w:hyperlink>
          </w:p>
        </w:tc>
        <w:tc>
          <w:tcPr>
            <w:tcW w:w="9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15.</w:t>
            </w:r>
          </w:p>
        </w:tc>
        <w:tc>
          <w:tcPr>
            <w:tcW w:w="908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 Financial Statement Schedules</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9080" w:type="dxa"/>
            <w:vAlign w:val="bottom"/>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Form 10-K Summary</w:t>
              </w:r>
            </w:hyperlink>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Signatures</w:t>
              </w:r>
            </w:hyperlink>
          </w:p>
        </w:tc>
        <w:tc>
          <w:tcPr>
            <w:tcW w:w="90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Annual Report on Form 10-K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results, operating results, revenues, gross margin, operating expenses, products, projected costs and capital expenditures, research and development programs, sales and marketing initiatives, acquisitions and competition. In some cases, you can identify these statements by our use of forward-looking words, such as “may,” “might,” “will,” “could,” “should,” “expect,” “plan,” “anticipate,” “believe,” “estimate,” “predict,” “intend” and “continue,” the negative or plural of these words and other comparable terminology. Forward-looking statements are based on information available to us as of the filing date of this Annual Report on Form 10-K and our current expectations about future events, which are inherently subject to change and involve known and unknown risks and uncertainties. You should not place undue reliance on these forward-looking statements. We have no obligation to update any of these statements, and we assume no obligation to do so. Actual events or results may differ materially from those expressed or implied by these statements due to various factors, including but not limited to the matters discussed below in the section entitled “Item 1A: Risk Factors,” and elsewhere in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Cohu is a leading supplier of semiconductor test and inspection handlers, micro-electromechanical system (MEMS) test modules, test contactors, thermal sub-systems, semiconductor automated test equipment and bare board PCB test systems used by global semiconductor and electronics manufacturers and semiconductor test subcontractors.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PCBs and the products that incorporate them. Our recurring revenues are driven by an increase in the number of semiconductor devices and PCBs that are tested and by the continuous introduction of new products and technologies by our customers.</w:t>
      </w:r>
    </w:p>
    <w:p>
      <w:pPr>
        <w:spacing w:after="0" w:line="17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October 1, 2018, we acquired Xcerra Corporation (“Xcerra”), a Massachusetts-based company. Xcerra, formerly known as LTX-Credence Corporation, is a global provider of test and handling capital equipment, interface products and related services to the semiconductor and electronics manufacturing industries. Xcerra operated in semiconductor and electronics manufacturing test markets through its atg-Luther &amp; Maelzer, Everett Charles Technologies</w:t>
      </w:r>
    </w:p>
    <w:p>
      <w:pPr>
        <w:sectPr>
          <w:pgSz w:w="11900" w:h="16971" w:orient="portrait"/>
          <w:cols w:equalWidth="0" w:num="1">
            <w:col w:w="11240"/>
          </w:cols>
          <w:pgMar w:left="320" w:top="125" w:right="339" w:bottom="0" w:gutter="0" w:footer="0" w:header="0"/>
        </w:sectPr>
      </w:pPr>
    </w:p>
    <w:bookmarkStart w:id="3" w:name="page4"/>
    <w:bookmarkEnd w:id="3"/>
    <w:p>
      <w:pPr>
        <w:spacing w:after="0" w:line="5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(ECT), LTX-Credence and Multitest businesses. The acquisition of Xcerra extended Cohu’s market position in the test handler and test contactor markets and expanded Cohu’s addressable market with our entry into semiconductor automated test equipment (ATE) and bare board PCB test. The results of Xcerra’s operations have been included in our consolidated results since October 1, 2018. As a result of the timing of the acquisition, our fiscal 2020 and 2019 results include Xcerra for the entire year whereas fiscal 2018 amounts only include Xcerra for the three months ended December 29, 2018. This acquisition helped transform our business into a broader semiconductor test, inspection and test handling market leader with greater scale, diversification and market opportunities.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previously determined that Xcerra’s fixtures services business did not align with Cohu’s long-term strategic plan and engaged in a process to divest this portion of the business. As a result, as of December 28, 2019 and December 29, 2018, the assets of our fixtures business are considered “held for sale” and the operations of our fixtures business were presented as “discontinued operations”. This business was sold in February 2020. Unless otherwise noted, all amounts presented are from continuing operations.</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determined that we have two reportable segments, Semiconductor Test and Inspection Equipment (“Semiconductor Test &amp; Inspection”) and PCB Test Equipment (“PCB Test”). Financial information on our reportable segments for each of the last three years is included in Note 10, “Segment and Geographic Information” in Part IV, Item 15(a) of this Form 10-K.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7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93%</w:t>
            </w:r>
          </w:p>
        </w:tc>
        <w:tc>
          <w:tcPr>
            <w:tcW w:w="15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98%</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PCB Test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1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2%</w:t>
            </w:r>
          </w:p>
        </w:tc>
        <w:tc>
          <w:tcPr>
            <w:tcW w:w="80" w:type="dxa"/>
            <w:vAlign w:val="bottom"/>
          </w:tcPr>
          <w:p>
            <w:pPr>
              <w:spacing w:after="0"/>
              <w:rPr>
                <w:sz w:val="18"/>
                <w:szCs w:val="18"/>
                <w:color w:val="auto"/>
              </w:rPr>
            </w:pPr>
          </w:p>
        </w:tc>
      </w:tr>
      <w:tr>
        <w:trPr>
          <w:trHeight w:val="250"/>
        </w:trPr>
        <w:tc>
          <w:tcPr>
            <w:tcW w:w="39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56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100%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Cohu, Inc. (“Cohu”, “we”, “our”, “us” and the “Company”)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Semiconductor Test. </w:t>
      </w:r>
      <w:r>
        <w:rPr>
          <w:rFonts w:ascii="Arial" w:cs="Arial" w:eastAsia="Arial" w:hAnsi="Arial"/>
          <w:sz w:val="18"/>
          <w:szCs w:val="18"/>
          <w:color w:val="auto"/>
        </w:rPr>
        <w:t>Semiconductor ATE (Automated Test Equipment) is used both for wafer level and device package testing. Our semiconductor ATE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consist primarily of two platforms focused on the system on a chip (SoC) device market. The Diamond series platform, which includes the flagship Diamondx test system, offers high-density instrumentation for low-cost testing of microcontrollers, application specific standard products (ASSP), power management, display drivers, sensors and other mixed signal devices. The PAx series of testers is focused primarily on the RF Front End IC and Module market.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Semiconductor Handlers. </w:t>
      </w:r>
      <w:r>
        <w:rPr>
          <w:rFonts w:ascii="Arial" w:cs="Arial" w:eastAsia="Arial" w:hAnsi="Arial"/>
          <w:sz w:val="18"/>
          <w:szCs w:val="18"/>
          <w:color w:val="auto"/>
        </w:rPr>
        <w:t>Semiconductor test handlers are used in conjunction with semiconductor ATE to automate the testing of packaged semiconductor</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Our handlers support a variety of package sizes and device types, including those used in automotive, mobile, industrial, computing applications, among others. We offer a broad range of test handlers, including pick-and-place, turret, gravity, strip, MEMS and thermal sub-systems, along with inspection handlers that perform automated optical inspection of semiconductor devices.</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Interface Products. </w:t>
      </w:r>
      <w:r>
        <w:rPr>
          <w:rFonts w:ascii="Arial" w:cs="Arial" w:eastAsia="Arial" w:hAnsi="Arial"/>
          <w:sz w:val="17"/>
          <w:szCs w:val="17"/>
          <w:color w:val="auto"/>
        </w:rPr>
        <w:t>Our interface products are comprised of test contactors, probe heads and probe pins. Test contactors serve as the interface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test handler and the 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Spares and Kits. </w:t>
      </w:r>
      <w:r>
        <w:rPr>
          <w:rFonts w:ascii="Arial" w:cs="Arial" w:eastAsia="Arial" w:hAnsi="Arial"/>
          <w:sz w:val="17"/>
          <w:szCs w:val="17"/>
          <w:color w:val="auto"/>
        </w:rPr>
        <w:t>We provide consumable, non-consumable and spare items that are used to maintain, sustain or otherwise enable customers’ equipment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its 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Services</w:t>
      </w:r>
      <w:r>
        <w:rPr>
          <w:rFonts w:ascii="Arial" w:cs="Arial" w:eastAsia="Arial" w:hAnsi="Arial"/>
          <w:sz w:val="16"/>
          <w:szCs w:val="16"/>
          <w:color w:val="auto"/>
        </w:rPr>
        <w:t>. Our worldwide service organization performs installations and necessary maintenance of systems sold. We provide various parts and labor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on test and handling systems and instruments designed and manufactured by us and warranties on certain components that have been purchased from other manufacturers and incorporated into our test and handling systems. We also provide training on the maintenance and operation of our systems as well as application, data management software and consulting services on our products. Our InSight test cell enterprise software platform provides our customers with a centralized data management system to monitor equipment performance. Services are included in our recurring revenues.</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Bare Board PCB Test Systems. </w:t>
      </w:r>
      <w:r>
        <w:rPr>
          <w:rFonts w:ascii="Arial" w:cs="Arial" w:eastAsia="Arial" w:hAnsi="Arial"/>
          <w:sz w:val="17"/>
          <w:szCs w:val="17"/>
          <w:color w:val="auto"/>
        </w:rPr>
        <w:t>Bare board PCB test systems are used to test pre-assembly printed circuit boards. Our PCB test systems include flying probe</w:t>
      </w:r>
      <w:r>
        <w:rPr>
          <w:rFonts w:ascii="Arial" w:cs="Arial" w:eastAsia="Arial" w:hAnsi="Arial"/>
          <w:sz w:val="17"/>
          <w:szCs w:val="17"/>
          <w:i w:val="1"/>
          <w:iCs w:val="1"/>
          <w:color w:val="auto"/>
        </w:rPr>
        <w:t xml:space="preserve"> </w:t>
      </w:r>
      <w:r>
        <w:rPr>
          <w:rFonts w:ascii="Arial" w:cs="Arial" w:eastAsia="Arial" w:hAnsi="Arial"/>
          <w:sz w:val="17"/>
          <w:szCs w:val="17"/>
          <w:color w:val="auto"/>
        </w:rPr>
        <w:t>testers, which are used to test low-volume, highly complex circuit boards and do not require the use of a separate test fixture, as well as universal grid testers, which require the use of a custom test fixture and are well-suited for circuit boards in high volume manufacturing.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6140" w:type="dxa"/>
            <w:vAlign w:val="bottom"/>
          </w:tcPr>
          <w:p>
            <w:pPr>
              <w:spacing w:after="0"/>
              <w:rPr>
                <w:sz w:val="20"/>
                <w:szCs w:val="20"/>
                <w:color w:val="auto"/>
              </w:rPr>
            </w:pPr>
            <w:r>
              <w:rPr>
                <w:rFonts w:ascii="Arial" w:cs="Arial" w:eastAsia="Arial" w:hAnsi="Arial"/>
                <w:sz w:val="18"/>
                <w:szCs w:val="18"/>
                <w:b w:val="1"/>
                <w:bCs w:val="1"/>
                <w:color w:val="auto"/>
              </w:rPr>
              <w:t>Sales by Product Line</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6140" w:type="dxa"/>
            <w:vAlign w:val="bottom"/>
          </w:tcPr>
          <w:p>
            <w:pPr>
              <w:spacing w:after="0"/>
              <w:rPr>
                <w:sz w:val="20"/>
                <w:szCs w:val="20"/>
                <w:color w:val="auto"/>
              </w:rPr>
            </w:pPr>
            <w:r>
              <w:rPr>
                <w:rFonts w:ascii="Arial" w:cs="Arial" w:eastAsia="Arial" w:hAnsi="Arial"/>
                <w:sz w:val="18"/>
                <w:szCs w:val="18"/>
                <w:color w:val="auto"/>
                <w:w w:val="93"/>
              </w:rPr>
              <w:t>During the last three years, our consolidated net sales were distributed as follows:</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1"/>
        </w:trPr>
        <w:tc>
          <w:tcPr>
            <w:tcW w:w="6140" w:type="dxa"/>
            <w:vAlign w:val="bottom"/>
          </w:tcPr>
          <w:p>
            <w:pPr>
              <w:spacing w:after="0"/>
              <w:rPr>
                <w:sz w:val="24"/>
                <w:szCs w:val="24"/>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106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Semiconductor test &amp; inspection systems (including kits)</w:t>
            </w: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50%</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51%</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-144780</wp:posOffset>
            </wp:positionV>
            <wp:extent cx="67722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ectPr>
          <w:pgSz w:w="11900" w:h="16891" w:orient="portrait"/>
          <w:cols w:equalWidth="0" w:num="1">
            <w:col w:w="11220"/>
          </w:cols>
          <w:pgMar w:left="320" w:top="125" w:right="359" w:bottom="0" w:gutter="0" w:footer="0" w:header="0"/>
        </w:sectPr>
      </w:pPr>
    </w:p>
    <w:bookmarkStart w:id="4" w:name="page5"/>
    <w:bookmarkEnd w:id="4"/>
    <w:p>
      <w:pPr>
        <w:spacing w:after="0" w:line="9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w w:val="97"/>
              </w:rPr>
              <w:t>Interface products, spares, kits (not as part of systems sales) and services</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45%</w:t>
            </w:r>
          </w:p>
        </w:tc>
        <w:tc>
          <w:tcPr>
            <w:tcW w:w="1720" w:type="dxa"/>
            <w:vAlign w:val="bottom"/>
          </w:tcPr>
          <w:p>
            <w:pPr>
              <w:jc w:val="right"/>
              <w:ind w:right="610"/>
              <w:spacing w:after="0"/>
              <w:rPr>
                <w:sz w:val="20"/>
                <w:szCs w:val="20"/>
                <w:color w:val="auto"/>
              </w:rPr>
            </w:pPr>
            <w:r>
              <w:rPr>
                <w:rFonts w:ascii="Arial" w:cs="Arial" w:eastAsia="Arial" w:hAnsi="Arial"/>
                <w:sz w:val="18"/>
                <w:szCs w:val="18"/>
                <w:color w:val="auto"/>
              </w:rPr>
              <w:t>44%</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43%</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PCB test systems</w:t>
            </w:r>
          </w:p>
        </w:tc>
        <w:tc>
          <w:tcPr>
            <w:tcW w:w="15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w:t>
            </w:r>
          </w:p>
        </w:tc>
        <w:tc>
          <w:tcPr>
            <w:tcW w:w="17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w:t>
            </w:r>
          </w:p>
        </w:tc>
        <w:tc>
          <w:tcPr>
            <w:tcW w:w="16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customers include semiconductor integrated device manufacturers, fabless design houses, PCB manufacturers, and test subcontractors throughout the world. Repeat sales to existing customers represent a significant portion of our sales. During the last three years, customers of our Semiconductor Test &amp; Inspection segment that comprised 10% or greater of our consolidated net sales were as follows:</w:t>
      </w:r>
    </w:p>
    <w:p>
      <w:pPr>
        <w:spacing w:after="0" w:line="16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10"/>
        </w:trPr>
        <w:tc>
          <w:tcPr>
            <w:tcW w:w="5140" w:type="dxa"/>
            <w:vAlign w:val="bottom"/>
            <w:gridSpan w:val="2"/>
            <w:shd w:val="clear" w:color="auto" w:fill="CCEEFF"/>
          </w:tcPr>
          <w:p>
            <w:pPr>
              <w:jc w:val="right"/>
              <w:ind w:right="4730"/>
              <w:spacing w:after="0"/>
              <w:rPr>
                <w:sz w:val="20"/>
                <w:szCs w:val="20"/>
                <w:color w:val="auto"/>
              </w:rPr>
            </w:pPr>
            <w:r>
              <w:rPr>
                <w:rFonts w:ascii="Arial" w:cs="Arial" w:eastAsia="Arial" w:hAnsi="Arial"/>
                <w:sz w:val="18"/>
                <w:szCs w:val="18"/>
                <w:color w:val="auto"/>
                <w:w w:val="88"/>
              </w:rPr>
              <w:t>Intel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1140" w:right="1460"/>
        <w:spacing w:after="0" w:line="277" w:lineRule="auto"/>
        <w:rPr>
          <w:sz w:val="20"/>
          <w:szCs w:val="20"/>
          <w:color w:val="auto"/>
        </w:rPr>
      </w:pPr>
      <w:r>
        <w:rPr>
          <w:rFonts w:ascii="Arial" w:cs="Arial" w:eastAsia="Arial" w:hAnsi="Arial"/>
          <w:sz w:val="18"/>
          <w:szCs w:val="18"/>
          <w:color w:val="auto"/>
        </w:rPr>
        <w:t>*No single customer exceeded 10% of consolidated net sales for the years ended December 26, 2020 and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-302260</wp:posOffset>
            </wp:positionV>
            <wp:extent cx="5700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customer of our PCB Test segment exceeded 10% of consolidated net sales for the years ended December 26, 2020, December 28, 2019 or December 29, 2018.</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10, “Segment and Geographic Information” in Part IV, Item 15(a)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Our United States, (U.S.) sales offices are located in Poway and Milpitas, California, Lincoln, Rhode Island and Norwood, Massachusetts. Our European sales offices are located in Wertheim and Kolbermoor, Germany; Grenoble, France; Agrate, Italy and La Chaux-de-Fonds, Switzerland. We operate in Asia with sales and service offices in Singapore, Malaysia, Thailand, Philippines, Taiwan, China, South Korea and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semiconductor equipment and PCB test industries are intensely competitive and are characterized by rapid technological change and demanding worldwide service requirements. Significant competitive factors include product performance, price, reliability, lead-time, customer support and installed base of products. While we believe that we are the leading worldwide supplier of semiconductor test handling equipment, we face substantial competition in Japan and Taiwan which represent a significant percentage of the worldwide market. Test subcontractors in Asia also purchase mostly from local Asian competitors. In the semiconductor test market, we face competition from two dominant suppliers headquartered in the U.S. and Japan, both of which are substantially larger than Cohu’s test business. While we are among the leading worldwide suppliers of test contactors, this market is fragmented with a large number of global and local competitors. Further, the PCB test industry is characterized by significant Asia-based competition and intense price competition. To remain competitive within the industries we serve, we believe we will require significant financial resources to offer a broad range of products, maintain localized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26, 2020 and December 28, 2019 was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PCB Test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consolidated backlog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Backlog is generally expected to ship within the next twelve months. Our backlog at any point in time may not be representative of actual sales in any future period due to the possibility of customer changes in delivery schedules, cancellation of orders, potential delays in product shipments, and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Our principal manufacturing operations are currently located in Malacca, Malaysia (handler operations and kits); Laguna, Philippines (kits and test contactors); Lincoln, Rhode Island (connectors); Osaka, Japan (probe pins); and Wertheim, Germany (bare board PCB test systems).</w:t>
      </w:r>
    </w:p>
    <w:p>
      <w:pPr>
        <w:spacing w:after="0" w:line="12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outsource the manufacturing of many of our semiconductor automated test equipment products to Jabil Circuit, Inc’s facility in Penang, Malaysia. Our contract manufacturing partner is responsible for significant material procurement, assembly and testing. We continue to manage product design through pilot production for the subcontracted products, and we are directly involved in qualifying suppliers and key components used in all our products. Our contract manufacturer is responsible for funding the capital expenses incurred in connection with the manufacture of our products, except with regard to end-of-line testing equipment and other specific manufacturing equipment utilized in assembling our products or sub-components which are financed and</w:t>
      </w:r>
    </w:p>
    <w:p>
      <w:pPr>
        <w:sectPr>
          <w:pgSz w:w="11900" w:h="16931" w:orient="portrait"/>
          <w:cols w:equalWidth="0" w:num="1">
            <w:col w:w="11220"/>
          </w:cols>
          <w:pgMar w:left="320" w:top="125" w:right="359" w:bottom="0" w:gutter="0" w:footer="0" w:header="0"/>
        </w:sectPr>
      </w:pPr>
    </w:p>
    <w:bookmarkStart w:id="5" w:name="page6"/>
    <w:bookmarkEnd w:id="5"/>
    <w:p>
      <w:pPr>
        <w:spacing w:after="0" w:line="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owned by Cohu. Contracting with a global provider such as Jabil, gives us added flexibility to manufacture certain products closer to target markets in Asia, potentially increasing responsiveness to customers while reducing costs and delivery times.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technology is protected by various intellectual property laws including patent, license, trademark, copyright and trade secret laws. In addition, we believe that, due to the rapid pace of technological change in the semiconductor and electronic equipment industries,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$86.2 million in 2020, $86.1 million in 2019 and $56.4 million in 2018. The increase in research and development expense in 2019 was primarily associated with the acquisition of Xcerra on October 1, 2018. Incremental research and development expense directly attributed to Xcerra in 2020, 2019 and 2018 was $44.2 million, $45.4 million and $11.5 million,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be subject to similar cycles and severe downturns. Any significant reductions in capital equipment investment by semiconductor integrated device manufacturers and test subcontractors will materially and adversely affect our business, financial position and results of operations. See the risk factor entitled “The semiconductor industry we serve is seasonal, volatile and unpredictable.”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18, 2021. Executive Officers serve at the discretion of the Board of Directors, until their successors are appointed.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Luis A. Müller</w:t>
            </w:r>
          </w:p>
        </w:tc>
        <w:tc>
          <w:tcPr>
            <w:tcW w:w="9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51</w:t>
            </w:r>
          </w:p>
        </w:tc>
        <w:tc>
          <w:tcPr>
            <w:tcW w:w="7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600" w:type="dxa"/>
            <w:vAlign w:val="bottom"/>
          </w:tcPr>
          <w:p>
            <w:pPr>
              <w:ind w:left="180"/>
              <w:spacing w:after="0"/>
              <w:rPr>
                <w:sz w:val="20"/>
                <w:szCs w:val="20"/>
                <w:color w:val="auto"/>
              </w:rPr>
            </w:pPr>
            <w:r>
              <w:rPr>
                <w:rFonts w:ascii="Arial" w:cs="Arial" w:eastAsia="Arial" w:hAnsi="Arial"/>
                <w:sz w:val="18"/>
                <w:szCs w:val="18"/>
                <w:color w:val="auto"/>
              </w:rPr>
              <w:t>Jeffrey D. Jones</w:t>
            </w:r>
          </w:p>
        </w:tc>
        <w:tc>
          <w:tcPr>
            <w:tcW w:w="90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59</w:t>
            </w:r>
          </w:p>
        </w:tc>
        <w:tc>
          <w:tcPr>
            <w:tcW w:w="7740" w:type="dxa"/>
            <w:vAlign w:val="bottom"/>
            <w:gridSpan w:val="2"/>
          </w:tcPr>
          <w:p>
            <w:pPr>
              <w:ind w:left="320"/>
              <w:spacing w:after="0"/>
              <w:rPr>
                <w:sz w:val="20"/>
                <w:szCs w:val="20"/>
                <w:color w:val="auto"/>
              </w:rPr>
            </w:pPr>
            <w:r>
              <w:rPr>
                <w:rFonts w:ascii="Arial" w:cs="Arial" w:eastAsia="Arial" w:hAnsi="Arial"/>
                <w:sz w:val="18"/>
                <w:szCs w:val="18"/>
                <w:color w:val="auto"/>
              </w:rPr>
              <w:t>Vice President, Finance and Chief Financial Officer</w:t>
            </w:r>
          </w:p>
        </w:tc>
      </w:tr>
      <w:tr>
        <w:trPr>
          <w:trHeight w:val="216"/>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Christopher G. Bohrson</w:t>
            </w:r>
          </w:p>
        </w:tc>
        <w:tc>
          <w:tcPr>
            <w:tcW w:w="9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61</w:t>
            </w:r>
          </w:p>
        </w:tc>
        <w:tc>
          <w:tcPr>
            <w:tcW w:w="7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Senior Vice President, Global Customer Group</w:t>
            </w:r>
          </w:p>
        </w:tc>
      </w:tr>
      <w:tr>
        <w:trPr>
          <w:trHeight w:val="216"/>
        </w:trPr>
        <w:tc>
          <w:tcPr>
            <w:tcW w:w="2600" w:type="dxa"/>
            <w:vAlign w:val="bottom"/>
          </w:tcPr>
          <w:p>
            <w:pPr>
              <w:ind w:left="180"/>
              <w:spacing w:after="0"/>
              <w:rPr>
                <w:sz w:val="20"/>
                <w:szCs w:val="20"/>
                <w:color w:val="auto"/>
              </w:rPr>
            </w:pPr>
            <w:r>
              <w:rPr>
                <w:rFonts w:ascii="Arial" w:cs="Arial" w:eastAsia="Arial" w:hAnsi="Arial"/>
                <w:sz w:val="18"/>
                <w:szCs w:val="18"/>
                <w:color w:val="auto"/>
              </w:rPr>
              <w:t>Thomas D. Kampfer</w:t>
            </w:r>
          </w:p>
        </w:tc>
        <w:tc>
          <w:tcPr>
            <w:tcW w:w="90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57</w:t>
            </w:r>
          </w:p>
        </w:tc>
        <w:tc>
          <w:tcPr>
            <w:tcW w:w="7740" w:type="dxa"/>
            <w:vAlign w:val="bottom"/>
            <w:gridSpan w:val="2"/>
          </w:tcPr>
          <w:p>
            <w:pPr>
              <w:ind w:left="320"/>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16"/>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Ian P. Lawee</w:t>
            </w:r>
          </w:p>
        </w:tc>
        <w:tc>
          <w:tcPr>
            <w:tcW w:w="9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54</w:t>
            </w:r>
          </w:p>
        </w:tc>
        <w:tc>
          <w:tcPr>
            <w:tcW w:w="7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Senior Vice President and General Manager, Semiconductor Test Group</w:t>
            </w: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Dr. Müller has been the President and Chief Executive Officer of Cohu since December 28, 2014. His previous roles at Cohu include serving as President of Cohu’s Semiconductor Equipment Group (“SEG”) from 2011 to 2014; Managing Director of Rasco GmbH (“Rasco”) from 2009 to 2011; Vice President of Delta Design’s High Speed Handling Group from 2008 to 2011; and Director of Engineering at Delta Design from 2005 to 2008. Prior to joining Cohu, Dr. Müller spent nine years at Teradyne Inc., where he held management positions in engineering and business development.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Mr. Jones joined Cohu’s Delta Design subsidiary in July 2005 as Vice President Finance and Controller. In November 2007, Mr. Jones was named Vice President, Finance and Chief Financial Officer of Cohu. Prior to joining Delta Design, Mr. Jones, was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Mr. Bohrson was appointed Senior Vice President, Global Customer Group on February 8, 2021. Previously, Mr. Bohrson served as Sr. Vice President and General Manager, Test Handler Group beginning in October 2018 and was Vice President and General Manager for Digital Test Handlers from January 2017 until October 2018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spacing w:after="0" w:line="17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Mr. Kampfer joined Cohu in May 2017 as Vice President Corporate Development, General Counsel and Secretary. Mr. Kampfer previously served from June 2015 to May 2017 as Executive Vice President and Chief Financial Officer of Multi-Fineline Electronix, Inc. Prior to that, Mr. Kampfer served from 2012 to 2015 as President of CohuHD, formerly a division of Cohu, which was divested in 2014. Previously, Mr. Kampfer spent eight years with Iomega</w:t>
      </w:r>
    </w:p>
    <w:p>
      <w:pPr>
        <w:sectPr>
          <w:pgSz w:w="11900" w:h="16849" w:orient="portrait"/>
          <w:cols w:equalWidth="0" w:num="1">
            <w:col w:w="11240"/>
          </w:cols>
          <w:pgMar w:left="320" w:top="125" w:right="339" w:bottom="0" w:gutter="0" w:footer="0" w:header="0"/>
        </w:sectPr>
      </w:pPr>
    </w:p>
    <w:bookmarkStart w:id="6" w:name="page7"/>
    <w:bookmarkEnd w:id="6"/>
    <w:p>
      <w:pPr>
        <w:ind w:right="380"/>
        <w:spacing w:after="0" w:line="263" w:lineRule="auto"/>
        <w:rPr>
          <w:sz w:val="20"/>
          <w:szCs w:val="20"/>
          <w:color w:val="auto"/>
        </w:rPr>
      </w:pPr>
      <w:r>
        <w:rPr>
          <w:rFonts w:ascii="Arial" w:cs="Arial" w:eastAsia="Arial" w:hAnsi="Arial"/>
          <w:sz w:val="18"/>
          <w:szCs w:val="18"/>
          <w:color w:val="auto"/>
        </w:rPr>
        <w:t>Corporation, holding several executive positions, including President and Chief Operating Officer and Vice President, General Counsel and Secretary. Earlier, Mr. Kampfer served in various legal and business development executive roles with Proxima Corporation, and also held various positions in manufacturing engineering and legal at IBM.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Mr. Lawee joined Cohu in May 2019 as Vice President and General Manager of Cohu’s Semiconductor Test Group and subsequently promoted to Senior Vice President and General Manager on February 9, 2021. Mr. Lawee has more than 25 years of experience in multiple management positions at both semiconductor and test instrumentation companies. Between 2009 and 2019, he served in multiple General Manager and Senior Director roles at Analog Devices, with responsibilities spanning Interface, Isolation and Precision Converter semiconductor franchises, as well as Business Unit responsibility for semiconductors sold into the Energy market. Prior to that, Mr. Lawee spent 15 years working in a variety of product, marketing and engineering management roles at Teradyne’s semiconductor test division.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Our business activities are worldwide and are subject to various federal, state, local, and foreign laws and our products and services are governed by a number of rules and regulations.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government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products and operations are, or may in the future be, subject to various federal, state, local, and foreign laws and regulations concerning the environment. Compliance with federal, state, local and international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 We believe we are in compliance and are committed to maintaining compliance with all environmental laws applicable to our operations, products and services, and to reducing our environmental impact across all aspects of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Trade</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a global company, the import and export of our products and services are subject to laws and regulations including international treaties, U.S. export controls and sanctions laws, customs regulations, and local trade rules around the world. We believe we are in compliance and are committed to maintaining compliance with all global trade laws applicable to our operations, products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Cohu is a global supplier of semiconductor test and inspection handlers, MEMS test modules, test contactors, thermal sub-systems, semiconductor automated test equipment and bare board PCB test systems used by global semiconductor and electronics manufacturers and semiconductor test subcontractors. We believe that the daily commitment and dedication of our workforce in meeting our customers’ needs is one of the significant contributors to our success as an organization. To ensure we maintain our position as a global leader in the semiconductor test space, we are committed to providing a safe and positive work environment for our employees that emphasizes learning and professional development, respect for individuals and ethical conduct, and that is facilitated by a direct management-employee engagement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Inclusion, and Non-discrimination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welcome and value diversity ensuring that our work benefits from a broad range of viewpoints and perspectives. We strive to maintain workplaces that are free from discrimination or harassment based on race, color, religion, gender, gender identity or gender expression, national origin or ancestry, age, disability, veteran status, military service, sexual orientation, genetic information, and any other protected category recognized under applicable laws. Cohu is committed to respecting and protecting all human rights including those of women and minority groups.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26, 2020, we had approximately 3,250 employees, including approximately 100 temporary employees, in 25 countries. Approximately 22% of our employees are located in the Americas, 19% are located in EMEA (Europe, the Middle East and Africa) and 59% are located in China and Asia Pacific. Our employee headcount has fluctuated in the last five years primarily due to the volatile and unpredictable business conditions in the semiconductor equipment industry and has also been impacted by acquisitions and divestitures.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Engagement Practices</w:t>
      </w:r>
    </w:p>
    <w:p>
      <w:pPr>
        <w:spacing w:after="0" w:line="225"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color w:val="auto"/>
        </w:rPr>
        <w:t>We adhere to our core values and Code of Business Conduct and Ethics with a commitment to treating our employees and all our partners with professionalism, dignity and respect. We pride ourselves at fostering an innovative environment and collaborative work relationships. This includes respecting principles of freedom of association and the right to engage in collective bargaining in accordance with applicable laws.</w:t>
      </w:r>
    </w:p>
    <w:p>
      <w:pPr>
        <w:spacing w:after="0" w:line="14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Our employees in the U.S. and most locations in Asia are not covered by collective bargaining agreements. However, certain employees at our operations in Germany are represented by works councils and employees in La Chaux-de-Fonds, Switzerland are members of the microtechnology and Swiss watch trade union. The Collective Bargaining Agreement of “Metallurgie (ingenieurs et cadres)” is applicable to all employees of our French subsidiary and</w:t>
      </w:r>
    </w:p>
    <w:p>
      <w:pPr>
        <w:sectPr>
          <w:pgSz w:w="11900" w:h="16838" w:orient="portrait"/>
          <w:cols w:equalWidth="0" w:num="1">
            <w:col w:w="11200"/>
          </w:cols>
          <w:pgMar w:left="320" w:top="125" w:right="379" w:bottom="0" w:gutter="0" w:footer="0" w:header="0"/>
        </w:sectPr>
      </w:pPr>
    </w:p>
    <w:bookmarkStart w:id="7" w:name="page8"/>
    <w:bookmarkEnd w:id="7"/>
    <w:p>
      <w:pPr>
        <w:ind w:right="540"/>
        <w:spacing w:after="0" w:line="277" w:lineRule="auto"/>
        <w:rPr>
          <w:sz w:val="20"/>
          <w:szCs w:val="20"/>
          <w:color w:val="auto"/>
        </w:rPr>
      </w:pPr>
      <w:r>
        <w:rPr>
          <w:rFonts w:ascii="Arial" w:cs="Arial" w:eastAsia="Arial" w:hAnsi="Arial"/>
          <w:sz w:val="18"/>
          <w:szCs w:val="18"/>
          <w:color w:val="auto"/>
        </w:rPr>
        <w:t>certain employees in our China operation belong to local trade unions. We have not experienced any work stoppages and consider relations with our employees to be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health and safety of our employees is of utmost important to us. Cohu works to protect the health and safety of employees and our customers and intends to conduct all business activities in an environmentally and socially responsible manner. We encourage and strive to have every employee actively champion those behaviors and the attitudes necessary to prevent work-related injuries, illnesses, property damage, and adverse impact to the environment. Our ultimate goal is to achieve a level of work-related injuries as close to zero as possible through continuous investment in our safety programs. We provide protective equipment (e.g. eye protection, masks and gloves) as required by applicable standards and as appropriate given employee job duties.</w:t>
      </w:r>
    </w:p>
    <w:p>
      <w:pPr>
        <w:spacing w:after="0" w:line="16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fiscal 2020, in response to the COVID-19 pandemic, we implemented safety protocols and new procedures to protect our employees, our subcontractors and our customers. These protocols include complying with social distancing, enhanced hygiene and other health and safety standards as required by federal, state and local government agencies, and taking into consideration guidelines of the Centers for Disease Control and Prevention and other public health authorities. In addition, we modified the way we conduct many aspects of our business to reduce the number of in-person interactions. For example, we significantly expanded the use of virtual interactions in all aspects of our business, including customer facing activities. Many of our administrative and operational functions during this time have required modification as well, including most of our workforce working remotely.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Cohu is committed to providing market competitive compensation programs to attract, retain and motivate a high performing workforce critical to our long-term success. As part of our compensation philosophy, we focus Cohu’s workforce on our financial and other business goals to drive and motivate employee performance in key areas through the administration of our management incentive plan, equity incentive plan, global profit-sharing and other local bonus plans, as may be applicable to a given position. Cohu also complies with applicable wage, work hours, overtime and benefits laws.</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foster a stronger sense of ownership and align the interests of our employees with shareholders, grants of restricted stock units are provided to many of our employees on an annual basis and all eligible employees are able to purchase shares of our common stock, at a 15% discount, through our Employee Stock Purchase Plan. Furthermore, we offer comprehensive, locally relevant and innovative benefits to all eligible employees. In the U.S, these include, among other benefits:</w:t>
      </w:r>
    </w:p>
    <w:p>
      <w:pPr>
        <w:spacing w:after="0" w:line="187"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health and wellness insurance coverage is offered to employees working an average of 24 hours or more each week.</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401(k) retirement plan with matching company contributions of up to 4% of eligible compensation.</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Tuition reimbursement program.</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Parental leave is provided to all new parents for birth, adoption or foster placement.</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Paid Time Off Programs covering time away from work due to employee and family illness, holidays, vacation, civic duties, etc.</w:t>
      </w:r>
    </w:p>
    <w:p>
      <w:pPr>
        <w:spacing w:after="0" w:line="22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Outside of the U.S., we have provided other innovative benefits to help address market-specific needs, such as supplemental medical coverage or reimbursements, paid time off programs, wellness and development events and programs, transportation subsidies, etc.</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Succession Planning</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perform succession planning annually to ensure that we develop and sustain a strong bench of talent capable of performing at the highest levels. Not only is talent identified, but potential paths of development are discussed to ensure that employees have an opportunity to build their skills and are well-prepared for future roles. The strength of our succession planning process is evident through our long history of promoting our leaders from within the organization, including 60% of our current executive leadership team.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are also posted on our web site at </w:t>
      </w:r>
      <w:r>
        <w:rPr>
          <w:rFonts w:ascii="Arial" w:cs="Arial" w:eastAsia="Arial" w:hAnsi="Arial"/>
          <w:sz w:val="16"/>
          <w:szCs w:val="16"/>
          <w:u w:val="single" w:color="auto"/>
          <w:color w:val="auto"/>
        </w:rPr>
        <w:t>https://cohu.gcs-web.com/corporate-governance/documents-charters</w:t>
      </w:r>
      <w:r>
        <w:rPr>
          <w:rFonts w:ascii="Arial" w:cs="Arial" w:eastAsia="Arial" w:hAnsi="Arial"/>
          <w:sz w:val="16"/>
          <w:szCs w:val="16"/>
          <w:color w:val="auto"/>
        </w:rPr>
        <w:t>. When required by the rules of the Nasdaq Stock Market, LLC, or Nasdaq, or the Securities and Exchange Commission, or SEC, we will disclose any future amendment to, or waiver of, any provision of the code of conduct for our chief executive officer and principal financial officer or any member or members of our board of directors on our website within four business days following the date of such amendment or waiver. Information contained on our web site is not deemed part of this report.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In addition to the other information in this Annual Report on Form 10-K, you should carefully consider the risk factors discussed in this Annual Report on Form 10-K in evaluating Cohu and our business (the “risk factors”). Many of the following risks and uncertainties are, and will be, exacerbated by the COVID-19 pandemic and any worsening of the global business and economic environment as a result.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w:t>
      </w:r>
    </w:p>
    <w:p>
      <w:pPr>
        <w:sectPr>
          <w:pgSz w:w="11900" w:h="16838" w:orient="portrait"/>
          <w:cols w:equalWidth="0" w:num="1">
            <w:col w:w="11220"/>
          </w:cols>
          <w:pgMar w:left="320" w:top="125" w:right="359" w:bottom="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i w:val="1"/>
          <w:iCs w:val="1"/>
          <w:color w:val="auto"/>
        </w:rPr>
        <w:t>ones we face. Additional risks that we currently do not know about, or that we currently deem to be immaterial, may also impair our business operations or the trading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Summary</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Investing in our securities involves a high degree of risk. The following is a summary of the principal factors that make an investment in our securities speculative or risky, all of which are more fully described below. This summary should be read in conjunction with the “Risk Factors” described below and should not be relied upon as a complete summary of the material risks facing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Business Operations and Industry</w:t>
      </w:r>
    </w:p>
    <w:p>
      <w:pPr>
        <w:spacing w:after="0" w:line="225" w:lineRule="exact"/>
        <w:rPr>
          <w:sz w:val="20"/>
          <w:szCs w:val="20"/>
          <w:color w:val="auto"/>
        </w:rPr>
      </w:pPr>
    </w:p>
    <w:p>
      <w:pPr>
        <w:ind w:left="660" w:right="4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global COVID-19 pandemic has adversely affected, and is continuing to adversely affect, our business, financial condition and results of operations.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making investments in new products and product enhancements, which may adversely affect our operating results; these investments may not be commercially successful.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the risks of operating a global business.</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of critical suppliers to deliver sufficient quantities of parts in a timely and cost-effective manner could adversely impact our operations.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semiconductor industry we serve is seasonal, volatile and unpredictable.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semiconductor equipment and printed circuit board (“PCB”) test industries are intensely competitive.</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seasonal nature of the semiconductor equipment industry places enormous demands on our employees, operations and infrastructure.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limited number of customers account for a substantial percentage of our net sales.</w:t>
      </w:r>
    </w:p>
    <w:p>
      <w:pPr>
        <w:spacing w:after="0" w:line="22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majority of our revenues are generated from exports to foreign countries, primarily in Asia, that are subject to economic and political instability and we compete against a number of Asia-based test contactor, test handler, automated test equipment and PCB test suppliers.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Indebtedness, Financing and Future Access to Capital</w:t>
      </w:r>
    </w:p>
    <w:p>
      <w:pPr>
        <w:spacing w:after="0" w:line="225" w:lineRule="exact"/>
        <w:rPr>
          <w:sz w:val="20"/>
          <w:szCs w:val="20"/>
          <w:color w:val="auto"/>
        </w:rPr>
      </w:pPr>
    </w:p>
    <w:p>
      <w:pPr>
        <w:ind w:left="660" w:right="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w:t>
      </w:r>
    </w:p>
    <w:p>
      <w:pPr>
        <w:spacing w:after="0" w:line="183"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 Agreement contains various representations and negative covenants that limit, subject to certain exceptions and baskets, our ability and/or our subsidiaries’ ability to enter into financing and other transactions relating to our assets.</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Cohu has total consolidated debt of $319.9 million as of December 26, 2020 and because of such high debt levels we may not be able to service our debt obligations in accordance with their terms; the Tax Cuts and Jobs Act severely limits the deductibility of interest expense.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issuance of shares of our common stock in connection with any future offerings of securities by us, will dilute our shareholders’ ownership interest 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Acquisitions and Other Strategic Transactions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exposed to other risks associated with other acquisitions, investments and divestitures.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to continue to evaluate and pursue divestitures of non-core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Owning Our Stock</w:t>
      </w:r>
    </w:p>
    <w:p>
      <w:pPr>
        <w:spacing w:after="0" w:line="225"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and operating results may vary and fall below analysts’ estimates, or credit rating agencies may change their ratings on Cohu, any of which may cause the price of our common stock to decline or make it difficult to obtain other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Regulatory Matters</w:t>
      </w:r>
    </w:p>
    <w:p>
      <w:pPr>
        <w:spacing w:after="0" w:line="225" w:lineRule="exact"/>
        <w:rPr>
          <w:sz w:val="20"/>
          <w:szCs w:val="20"/>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trade tariffs and export restrictions, have impacted our business and may continue to have an impact on our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Cybersecurity, the Economy, and Litigation</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and operations could suffer in the event of cybersecurity breaches.</w:t>
      </w:r>
    </w:p>
    <w:p>
      <w:pPr>
        <w:sectPr>
          <w:pgSz w:w="11900" w:h="16838" w:orient="portrait"/>
          <w:cols w:equalWidth="0" w:num="1">
            <w:col w:w="11220"/>
          </w:cols>
          <w:pgMar w:left="320" w:top="125" w:right="35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Operations and Industry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ongoing global COVID-19 pandemic has adversely affected, and is continuing to adversely affect, our business, financial condition and results of operations.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ongoing global COVID-19 pandemic has adversely affected, and is continuing to adversely affect, our business, financial condition and results of operations. As the COVID-19 virus has spread rapidly and globally, from March 2020 and continuing to the present, authorities have implemented numerous measures to try to contain the virus, such as travel bans and restrictions, quarantines, shelter in place orders, and shutdowns, including in all of the jurisdictions where we operate. These measures have adversely impacted, and are continuing to adversely impact, our workforce and operations, the operations of our customers, and those of our respective vendors and suppliers. We have significant operations in the U.S., Germany, Switzerland, Malaysia, Japan and the Philippines, and each of these countries has been significantly affected by the COVID-19 outbreak. During the COVID-19 pandemic, it has been common for restrictions to be implemented, relaxed and then implemented again with little or no notice, which adversely impacts our ability to accurately predict our future revenue and budget future expenses and is disruptive to our operations.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believe that Cohu qualifies as an “essential business” in the jurisdictions in which we operate, our business has been, and is continuing to be, adversely impacted by evolving and extended public health requirements around the world; government-mandated facility shutdowns; import/export, shipping and logistics disruptions and delays; other supply chain and distribution constraints or delays; rapid changes to business, political or regulatory conditions affecting the semiconductor equipment industry and the overall global economy; availability of employees and lost employee productivity; risks associated with, at times, temporarily housing employees in our Malaysia and Philippines factories; remote working IT and increased cybersecurity risks; increased internal control risks over financial reporting as key finance staff work remotely; delayed product development programs; customers’ canceling, pushing out orders or refusal to accept product deliveries; delayed collection of receivables; other actions of our customers, suppliers and competitors which may be sudden and inconsistent with our expectations; higher shipping and logistics costs; higher component costs; manufacturing capacity limitations; additional credit rating agency downgrades could occur which would increase our cost of raising capital; and potential additional impairment of goodwill or other intangible assets or inventory write-downs due to lower product demand may become necessary. Any of the foregoing COVID-19 driven impacts may have a material adverse effect on our financial condition and results of operations, and may also have the effect of increasing the likelihood and/or magnitude of other risks described in these risk factors. We continuously monitor the pandemic but cannot predict its future course or impacts.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making investments in new products and product enhancements, which may adversely affect our operating results; these investments may not be commercially successful.</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Given the highly competitive and rapidly evolving technology environment in which we operate, we believe it is important to develop new and enhanced product offerings to meet strategic opportunities as they evolve. This includes developing products that we believe are necessary to meet the future needs of the marketplace and to enter new markets. We are currently significantly investing in new product development programs relating to test contactors, test handlers and automated test equipment. For example, in fiscal 2020, we incurred $86.2 million in research and development expenses. We expect to continue to make investments and we may, at any time, based on product need or marketplace demand, decide to significantly increase our product development expenditures in these or other products. The cost of investments in new product offerings and product enhancements can have a negative impact on our operating results. We have in the past made material investments in new product platforms that for various reasons, such as technical challenges or lack of customer adoption, have not generated the expected sales or return. There can be no assurance that other new products we develop will be accepted in the marketplace or generate material revenues for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global corporation with offices and subsidiaries in certain foreign locations to manufacture our products, support our sales and services to the global semiconductor industry and, as such, we face risks in doing business abroad. For example, while our corporate headquarters are located in California, additional key engineering, sales, and administrative personnel are located in China, Germany, Japan, Malaysia, Philippines, Singapore, Switzerland, Taiwan and elsewhere in the U.S., and our manufacturing operations are primarily located in Germany, Japan, Malaysia, Philippines and the U.S. Certain aspects inherent in transacting business internationally could negatively impact our operating results, including:</w:t>
      </w:r>
    </w:p>
    <w:p>
      <w:pPr>
        <w:spacing w:after="0" w:line="17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25"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requirements and potential changes in or interpretations of requirements in the United States and in the countries in which we manufacture or sell our products;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restrictions, including treaty changes, sanctions and the suspension of export licenses;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and changes in import/export tariffs and regulations;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complex labor laws and privacy regulations;</w:t>
      </w:r>
    </w:p>
    <w:p>
      <w:pPr>
        <w:spacing w:after="0" w:line="225"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adequately supervising employees widely distributed around the world (including due to implementing remote work arrangements in response to the COVID-19 pandemic);</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epidemics, such as the COVID-19 pandemic;</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local and global political and economic conditions, including ongoing uncertainty surrounding the COVID-19 pandemic and its implications;</w:t>
      </w:r>
    </w:p>
    <w:p>
      <w:pPr>
        <w:sectPr>
          <w:pgSz w:w="11900" w:h="16838" w:orient="portrait"/>
          <w:cols w:equalWidth="0" w:num="1">
            <w:col w:w="11220"/>
          </w:cols>
          <w:pgMar w:left="320" w:top="341" w:right="359" w:bottom="0" w:gutter="0" w:footer="0" w:header="0"/>
        </w:sectPr>
      </w:pPr>
    </w:p>
    <w:bookmarkStart w:id="10" w:name="page11"/>
    <w:bookmarkEnd w:id="10"/>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and geopolitical instability;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varied environmental laws and regulations at each of our principal locations;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complex tax laws and potentially adverse tax consequences, including restrictions on repatriating earnings and the threat of “double taxation;” and</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foreign currency exchange rates against the U.S. Dollar, which can affect demand for our products and increase our costs.</w:t>
      </w:r>
    </w:p>
    <w:p>
      <w:pPr>
        <w:spacing w:after="0" w:line="237"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continue to monitor global privacy laws and legislation to determine its impact on our business. We do not sell to consumers nor process individual credit card information, but do maintain certain personally identifiable information on our employees. Such employee information may be subject to the EU General Data Protection Regulation and the recently effective California Consumer Protection Act. We believe that we have implemented reasonable procedures and internal controls in compliance with these laws, but should such actions be insufficient, we may be subject to regulatory investigations, fines and legal costs. If one or more of these risks occurs, it could require us to dedicate significant resources to remedy, and if we are unsuccessful in finding a solution, our financial results will suffer.</w:t>
      </w:r>
    </w:p>
    <w:p>
      <w:pPr>
        <w:spacing w:after="0" w:line="19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substantial majority of our products are manufactured in Asia. 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If we should fail to effectively manage overseas manufacturing operations or logistics,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and logistics. Our overseas sites are more susceptible to impacts from natural disasters, health epidemics and geopolitical instability (see risk factors entitled “</w:t>
      </w:r>
      <w:r>
        <w:rPr>
          <w:rFonts w:ascii="Arial" w:cs="Arial" w:eastAsia="Arial" w:hAnsi="Arial"/>
          <w:sz w:val="17"/>
          <w:szCs w:val="17"/>
          <w:i w:val="1"/>
          <w:iCs w:val="1"/>
          <w:color w:val="auto"/>
        </w:rPr>
        <w:t>The ongoing global COVID-19 pandemic has</w:t>
      </w:r>
      <w:r>
        <w:rPr>
          <w:rFonts w:ascii="Arial" w:cs="Arial" w:eastAsia="Arial" w:hAnsi="Arial"/>
          <w:sz w:val="17"/>
          <w:szCs w:val="17"/>
          <w:color w:val="auto"/>
        </w:rPr>
        <w:t xml:space="preserve"> </w:t>
      </w:r>
      <w:r>
        <w:rPr>
          <w:rFonts w:ascii="Arial" w:cs="Arial" w:eastAsia="Arial" w:hAnsi="Arial"/>
          <w:sz w:val="17"/>
          <w:szCs w:val="17"/>
          <w:i w:val="1"/>
          <w:iCs w:val="1"/>
          <w:color w:val="auto"/>
        </w:rPr>
        <w:t>adversely affected, and is continuing to adversely affect, our business,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The occurrence of natural disasters, health epidemics, corruption and geopolitical instability caused by terrorist attacks and other threats may adversely impact our operations and sales</w:t>
      </w:r>
      <w:r>
        <w:rPr>
          <w:rFonts w:ascii="Arial" w:cs="Arial" w:eastAsia="Arial" w:hAnsi="Arial"/>
          <w:sz w:val="17"/>
          <w:szCs w:val="17"/>
          <w:color w:val="auto"/>
        </w:rPr>
        <w:t>”). If our overseas manufacturing locations are unable to meet our manufacturing requirements in a timely manner, our ability to ship products and to</w:t>
      </w:r>
      <w:r>
        <w:rPr>
          <w:rFonts w:ascii="Arial" w:cs="Arial" w:eastAsia="Arial" w:hAnsi="Arial"/>
          <w:sz w:val="17"/>
          <w:szCs w:val="17"/>
          <w:i w:val="1"/>
          <w:iCs w:val="1"/>
          <w:color w:val="auto"/>
        </w:rPr>
        <w:t xml:space="preserve"> </w:t>
      </w:r>
      <w:r>
        <w:rPr>
          <w:rFonts w:ascii="Arial" w:cs="Arial" w:eastAsia="Arial" w:hAnsi="Arial"/>
          <w:sz w:val="17"/>
          <w:szCs w:val="17"/>
          <w:color w:val="auto"/>
        </w:rPr>
        <w:t>realize the related revenues when anticipated could be materially affected.</w:t>
      </w:r>
    </w:p>
    <w:p>
      <w:pPr>
        <w:spacing w:after="0" w:line="18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suppliers are subject to the fluctuations in general economic cycles, and global economic conditions may impact their ability to operate their businesses. They may also be impacted by possible import, export, tariff and other trade barriers, increasing costs of raw materials, labor and distribution, resulting in demands for less attractive contract terms or an inability for them to meet our requirements or conduct their own businesses. Additionally, consolidation in our supply chain due to mergers and acquisitions may reduce the number of suppliers or change our relationships with them. The performance and financial condition of a supplier may cause us to alter our business terms or to cease doing business with a particular supplier, or change our sourcing practices generally, which could in turn adversely affect our own business and financial condition. Failure to effectively manage our manufacturing and our relationships with our suppliers could have a material adverse effect on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use numerous vendors to supply parts, components and subassemblies for the manufacture of our products. It is not always possible to maintain multiple qualified suppliers for all of our parts, components and subassemblies. As a result, many key parts may be available only from a single supplier (“sole source”) or a limited number of suppliers. In addition, suppliers may significantly raise prices or cease manufacturing certain components (with or without advance notice to us) that are difficult to replace without significant reengineering of our products. On occasion, we have experienced problems in obtaining adequate and reliable quantities of various parts and components from certain key or sole source suppliers. Our results of operations may be materially and adversely impacted if we do not receive sufficient parts to meet our requirements in a timely and cost-effective manner.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seasonal, volatile and unpredictable.</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Visibility into our markets is limited. The semiconductor equipment business is highly dependent on the overall strength of the semiconductor industry. 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seasonal, volatile and unpredictable nature of semiconductor equipment demand has in the past and may in the future expose us to significant excess and obsolete and lower of cost or net realizable value inventory write-offs and reserve requirements. In 2020, 2019 and 2018, we recorded pre-tax inventory-related charges of approximately $6.0 million, $4.1 million, and $1.4 million, respectively, primarily as a result of changes in customer forecasts. We saw weakness in market conditions in 2019, followed by COVID-19 driven uncertainties in 2020, then a significant market recovery beginning in third quarter 2020. Abrupt, unexpected and severe demand changes have occurred in the past and are expected to reoccur in the future within our industry.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and PCB test industries are intensely competitive.</w:t>
      </w:r>
    </w:p>
    <w:p>
      <w:pPr>
        <w:sectPr>
          <w:pgSz w:w="11900" w:h="16838" w:orient="portrait"/>
          <w:cols w:equalWidth="0" w:num="1">
            <w:col w:w="11240"/>
          </w:cols>
          <w:pgMar w:left="320" w:top="341" w:right="339" w:bottom="0" w:gutter="0" w:footer="0" w:header="0"/>
        </w:sectPr>
      </w:pPr>
    </w:p>
    <w:bookmarkStart w:id="11" w:name="page12"/>
    <w:bookmarkEnd w:id="11"/>
    <w:p>
      <w:pPr>
        <w:ind w:right="40"/>
        <w:spacing w:after="0" w:line="287" w:lineRule="auto"/>
        <w:rPr>
          <w:sz w:val="20"/>
          <w:szCs w:val="20"/>
          <w:color w:val="auto"/>
        </w:rPr>
      </w:pPr>
      <w:r>
        <w:rPr>
          <w:rFonts w:ascii="Arial" w:cs="Arial" w:eastAsia="Arial" w:hAnsi="Arial"/>
          <w:sz w:val="16"/>
          <w:szCs w:val="16"/>
          <w:color w:val="auto"/>
        </w:rPr>
        <w:t>The industries we serve are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Similarly, the PCB test industry is characterized by significant Asia-based competition and intense price competition. Some of our competitors are part of larger corporations that have substantially greater financial, engineering, manufacturing and customer support capabilities and provide more extensive product offerings. In addition, there are emerging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reduce the cost of our existing products and successfully introduce new lower cost products, then we expect that these competitive conditions would negatively impact our gross margin and operating results in the foreseeable future.</w:t>
      </w:r>
    </w:p>
    <w:p>
      <w:pPr>
        <w:spacing w:after="0" w:line="1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increased investments in our test contactor business and announced significant growth targets for the business over the next several years, but due to weak market conditions we did not achieve our growth goals in 2019 and 2020. The test contactor market is fragmented, with many entrenched regional players, and subject to intense price competition and high localized customer support requirements. We believe that customer support and responsiveness and an ability to consistently meet tight deadlines is critical to our success. If we are unable to reduce the cost of our test contactor products, while also meeting customer support requirements and deadlines, then we expect that these competitive conditions would negatively impact our test contactor operating results and impede us from achieving our test contactor sales goals.</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addition, with the Xcerra acquisition, Cohu entered the automated test equipment (“ATE”) market. Our ability to increase our ATE sales will depend, in part, on our ability to obtain orders from new customers. Semiconductor and electronics manufacturers typically select a particular vendor’s product for testing new generations of a device and make substantial investments to develop related test program applications and interfaces. Once a manufacturer has selected an ATE vendor for a new generation of a device, that manufacturer is more likely to purchase systems from that vendor for that generation of the device, and, possibly, subsequent generations of that device as well. Cohu has a niche position and relatively low share in the ATE market, and this market is primarily driven by two larger companies with significantly more resources to invest into the ATE market. Therefore, the opportunities to obtain orders from new customers or existing customers may be limited, which may impair our ability to grow our ATE revenue. These factors may materially and adversely affect our current and future target markets and our ability to compete successfully in those markets.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26, 2020. Future inventory write-offs and increased inventory reserve requirements could have a material adverse impact on our results of operations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test handling, ATE, MEMS,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seasonal nature of the semiconductor equipment industry places enormous demands on our employees, operations and infrastructure.</w:t>
      </w:r>
    </w:p>
    <w:p>
      <w:pPr>
        <w:spacing w:after="0" w:line="24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commonly occur, and have a significant impact on our operations, and such changes in demand (up or down) are difficult to predict and proactively plan for. We have in the past and may in the future experience difficulties, particularly in manufacturing, in training and recruiting the large number of additions to our workforce. The volatility in headcount and business levels, combined with the seasonal nature of the semiconductor industry, may require that we invest substantial amounts in new operational and financial systems, procedures and controls. We may not be able to successfully adjust our systems, facilities and production capacity to meet our</w:t>
      </w:r>
    </w:p>
    <w:p>
      <w:pPr>
        <w:sectPr>
          <w:pgSz w:w="11900" w:h="16838" w:orient="portrait"/>
          <w:cols w:equalWidth="0" w:num="1">
            <w:col w:w="11240"/>
          </w:cols>
          <w:pgMar w:left="320" w:top="125" w:right="339" w:bottom="0" w:gutter="0" w:footer="0" w:header="0"/>
        </w:sectPr>
      </w:pPr>
    </w:p>
    <w:bookmarkStart w:id="12" w:name="page13"/>
    <w:bookmarkEnd w:id="12"/>
    <w:p>
      <w:pPr>
        <w:jc w:val="both"/>
        <w:ind w:right="200"/>
        <w:spacing w:after="0" w:line="263" w:lineRule="auto"/>
        <w:rPr>
          <w:sz w:val="20"/>
          <w:szCs w:val="20"/>
          <w:color w:val="auto"/>
        </w:rPr>
      </w:pPr>
      <w:r>
        <w:rPr>
          <w:rFonts w:ascii="Arial" w:cs="Arial" w:eastAsia="Arial" w:hAnsi="Arial"/>
          <w:sz w:val="18"/>
          <w:szCs w:val="18"/>
          <w:color w:val="auto"/>
        </w:rPr>
        <w:t>customers’ changing requirements. Any inability to meet such requirements will have an adverse impact on our business, financial position and results of operations. Sudden demand changes (as, for example, we experienced in 2019 and 2020) in business conditions, positive or negative, are common in our industry but the timing of such changes is very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 small number of customers have been responsible for a significant portion of our net sales. For fiscal year 2020, net revenue from our ten largest customers represented 47% of our total net revenue.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equipment industry for customers to purchase products from more than one equipment supplier, increasing the risk that our competitive position with a specific customer may deteriorate. No assurance can be given that we will continue to maintain our competitive position with these or other significant customers. Also, consolidation in the semiconductor industry may reduce our customer base and could adversely affect the market for our products, which could cause a decline in our revenues. With consolidation, the number of actual and potential customers for our products has decreased in recent years. Consolidation may lead to relatively fewer opportunities to sell our products if we are not chosen as a supplier by any given prospective customer, and may lead to increased pricing pressures from customers that have greater volume purchasing power.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7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 majority of our revenues are generated from exports to foreign countries, primarily in Asia, that are subject to economic and political instability and we compete against a number of Asia-based test contactor, test handler, automated test equipment and PCB test suppliers.</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export sales are made to destinations in Asia. Political or economic instability, particularly in Asia, may adversely impact the demand for capital equipment, including equipment of the type we manufacture and market (see risk factor “</w:t>
      </w:r>
      <w:r>
        <w:rPr>
          <w:rFonts w:ascii="Arial" w:cs="Arial" w:eastAsia="Arial" w:hAnsi="Arial"/>
          <w:sz w:val="17"/>
          <w:szCs w:val="17"/>
          <w:i w:val="1"/>
          <w:iCs w:val="1"/>
          <w:color w:val="auto"/>
        </w:rPr>
        <w:t>Global economic and political conditions, including</w:t>
      </w:r>
      <w:r>
        <w:rPr>
          <w:rFonts w:ascii="Arial" w:cs="Arial" w:eastAsia="Arial" w:hAnsi="Arial"/>
          <w:sz w:val="17"/>
          <w:szCs w:val="17"/>
          <w:color w:val="auto"/>
        </w:rPr>
        <w:t xml:space="preserve"> </w:t>
      </w:r>
      <w:r>
        <w:rPr>
          <w:rFonts w:ascii="Arial" w:cs="Arial" w:eastAsia="Arial" w:hAnsi="Arial"/>
          <w:sz w:val="17"/>
          <w:szCs w:val="17"/>
          <w:i w:val="1"/>
          <w:iCs w:val="1"/>
          <w:color w:val="auto"/>
        </w:rPr>
        <w:t>trade tariffs and export restrictions, have impacted our business and may continue to have an impact on our business and financial condition</w:t>
      </w:r>
      <w:r>
        <w:rPr>
          <w:rFonts w:ascii="Arial" w:cs="Arial" w:eastAsia="Arial" w:hAnsi="Arial"/>
          <w:sz w:val="17"/>
          <w:szCs w:val="17"/>
          <w:color w:val="auto"/>
        </w:rPr>
        <w:t>”). In addition,</w:t>
      </w:r>
      <w:r>
        <w:rPr>
          <w:rFonts w:ascii="Arial" w:cs="Arial" w:eastAsia="Arial" w:hAnsi="Arial"/>
          <w:sz w:val="17"/>
          <w:szCs w:val="17"/>
          <w:i w:val="1"/>
          <w:iCs w:val="1"/>
          <w:color w:val="auto"/>
        </w:rPr>
        <w:t xml:space="preserve"> </w:t>
      </w:r>
      <w:r>
        <w:rPr>
          <w:rFonts w:ascii="Arial" w:cs="Arial" w:eastAsia="Arial" w:hAnsi="Arial"/>
          <w:sz w:val="17"/>
          <w:szCs w:val="17"/>
          <w:color w:val="auto"/>
        </w:rPr>
        <w:t>we face intense competition from a number of Asian suppliers that have certain advantages over United States (U.S.) suppliers, including us. These advantages include, among other things, proximity to customers, lower cost structures, a willingness to compete solely on price,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market and support products and services that meet customer requirements for innovation and quality, our revenue and gross margin may suffer.</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Our customers’ selection processes typically are lengthy and can require us to incur significant sales, service and engineering resources, and regularly to provide the customer evaluation systems for several months at no charge, in pursuit of a single customer opportunity. We may not win the competitive selection process and may never generate any revenue despite incurring such expenditures. The delays inherent in these lengthy sales cycles increase the risk that a customer will decide to cancel, curtail, reduce or delay its product plans, causing us to lose anticipated sales.</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in the course of conducting our business, we must adequately address quality issues associated with our products and services, including defects in our engineering, design and manufacturing processes, as well as defects in third-party components included in our products.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In addition, if any of our products contain defects or have reliability, quality or safety issues, we may need to conduct a product recall which could result in significant repair or replacement costs and substantial delays in product shipments and may damage our reputation, which could make it more difficult to sell our products. Any of these occurrences could have a material adverse effect on our business, results of operations or financial condition. In addition, quality issues can impair our relationships with new or existing customers and adversely affect our reputation, which could lead to a material adverse effect on our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global Enterprise Resource Management (“ERP”) upgrade may adversely affect our business and results of operations or the effectiveness of internal controls over financial reporting.</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in final development stages of a phased global replacement of our existing ERP solution and launched the first phase of such new ERP solution in first and fourth quarter 2020. The second phase and rollout is planned throughout 2021. The new solution is being developed as an enterprise solution in partnership with a leading provider of ERP tools. Additional investments in enterprise tools that focus on product life-cycle management, our customer experience, and supply chain management are in process to support our growing business. These implementations are extremely complex and time-consuming projects that involve substantial expenditures on software and implementation activities. If we do not effectively implement the system or if the system does not operate as intended, it could result in the loss or corruption of data, delayed order processing and shipments and increased costs. It could also adversely affect our financial reporting systems and our ability to produce financial reports and process transactions, the effectiveness of internal controls over financial reporting, and our business, financial condition, results of operations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ectPr>
          <w:pgSz w:w="11900" w:h="16838" w:orient="portrait"/>
          <w:cols w:equalWidth="0" w:num="1">
            <w:col w:w="11240"/>
          </w:cols>
          <w:pgMar w:left="320" w:top="125" w:right="339" w:bottom="119" w:gutter="0" w:footer="0" w:header="0"/>
        </w:sectPr>
      </w:pPr>
    </w:p>
    <w:bookmarkStart w:id="13" w:name="page14"/>
    <w:bookmarkEnd w:id="13"/>
    <w:p>
      <w:pPr>
        <w:ind w:right="100"/>
        <w:spacing w:after="0" w:line="287"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and Bay Area, California; Boston, Massachusetts; St. Paul, Minnesota; Lincoln, Rhode Island; Kolbermoor and Wertheim, Germany; La Chaux-de-Fonds, Switzerland and Osaka, Japan areas, where the majority of our engineering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More recently, the COVID-19 pandemic has increased the risks that our executives and other key employees may be suddenly unable to perform their duties due to health or other personal responsibilities.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time-to-time,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 We are also subject to the theft and misappropriation of intellectual property by others, including incidents relating to former employees. We believe we are taking reasonable actions to protect and improve our security, through strengthened IT infrastructure and internal controls, but if these actions are not successful our business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Indebtedness, Financing and Future Access to Capital</w:t>
      </w:r>
    </w:p>
    <w:p>
      <w:pPr>
        <w:spacing w:after="0" w:line="22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w:t>
      </w:r>
    </w:p>
    <w:p>
      <w:pPr>
        <w:spacing w:after="0" w:line="10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connection with the Xcerra acquisition, Cohu entered into a term loan facility, with an aggregate principal amount of $350.0 million (the “Debt Financing” or “Credit Agreement”). Such indebtedness has reduced Cohu’s liquidity and has caused Cohu to place more reliance on cash generated from operations to pay principal and interest on Cohu’s debt, thereby reducing the availability of Cohu’s cash flow for working capital and capital expenditure needs or to pursue other potential strategic plans. In addition, our indebtedness may make us more vulnerable to changes in general economic conditions and/or a downturn in our business, thereby making it more difficult for us to satisfy our obligations. During the second half of 2020, Cohu took action to reduce outstanding principal under its Debt Financing; however, Cohu gives no future assurance as to if, when or how much any subsequent voluntary principal reductions may be. If we fail to make required debt payments, or if we fail to comply with financial or other covenants in our Credit Agreement, we would be in default under the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Credit Agreement contains various representations and negative covenants that limit, subject to certain exceptions and baskets, our ability and/or our subsidiaries’ ability to, among other things:</w:t>
      </w:r>
    </w:p>
    <w:p>
      <w:pPr>
        <w:spacing w:after="0" w:line="17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cash dividends or make distributions on capital stock, repurchase, redeem or make payments on capital stock;</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rate, commodity, equity or currency swap, hedging or other similar transactions;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loans, investments or acquisitions;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225" w:lineRule="exact"/>
        <w:rPr>
          <w:rFonts w:ascii="Arial" w:cs="Arial" w:eastAsia="Arial" w:hAnsi="Arial"/>
          <w:sz w:val="18"/>
          <w:szCs w:val="18"/>
          <w:color w:val="auto"/>
        </w:rPr>
      </w:pPr>
    </w:p>
    <w:p>
      <w:pPr>
        <w:ind w:left="500" w:right="8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permit restrictions on the ability of our subsidiaries to pay dividends or make other distributions to us or to guarantee our debt, limit our or any of our subsidiaries’ ability to create liens, or that require the grant of a lien to secure an obligation if a lien is granted to secure another obligation;</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transfer, license, lease or dispose of our or our subsidiaries’ assets; and</w:t>
      </w:r>
    </w:p>
    <w:p>
      <w:pPr>
        <w:spacing w:after="0" w:line="225" w:lineRule="exact"/>
        <w:rPr>
          <w:rFonts w:ascii="Arial" w:cs="Arial" w:eastAsia="Arial" w:hAnsi="Arial"/>
          <w:sz w:val="18"/>
          <w:szCs w:val="18"/>
          <w:color w:val="auto"/>
        </w:rPr>
      </w:pPr>
    </w:p>
    <w:p>
      <w:pPr>
        <w:ind w:left="500" w:right="46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dissolve, liquidate, consolidate or merge with or into, or sell substantially all the assets of us and our subsidiaries, taken as a whole, to, another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contained in our Credit Agreement could adversely affect our ability to:</w:t>
      </w:r>
    </w:p>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ectPr>
          <w:pgSz w:w="11900" w:h="16838" w:orient="portrait"/>
          <w:cols w:equalWidth="0" w:num="1">
            <w:col w:w="11220"/>
          </w:cols>
          <w:pgMar w:left="320" w:top="125" w:right="359" w:bottom="0" w:gutter="0" w:footer="0" w:header="0"/>
        </w:sectPr>
      </w:pPr>
    </w:p>
    <w:bookmarkStart w:id="14" w:name="page15"/>
    <w:bookmarkEnd w:id="14"/>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breach of any of these negative covenants could result in a default under the Credit Agreement. Further, additional indebtedness that we incur in the future may subject us to further covenants. Our failure to comply with these covenants could result in a default under the agreements governing the relevant indebtedness. The lender may accelerate the payment terms of the Credit Agreement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Any event that could require us to repay debt prior to its due date could have a material adverse impact on our financial condition and results of operations.</w:t>
      </w:r>
    </w:p>
    <w:p>
      <w:pPr>
        <w:spacing w:after="0" w:line="17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ability to comply with covenants contained in such debt agreements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 In addition, our obligations under the Credit Agreement are secured, on a first-priority basis, and such security interests could be enforced in the event of default by the collateral agent for the Credit Agreement.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(LIBOR), or the replacement of LIBOR with an alternative reference rate, may adversely affect interest rates.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Interest rates under our Credit Agreement are calculated using LIBOR. On July 27, 2017, the Financial Conduct Authority (the authority that regulates LIBOR) announced that it intends to stop compelling banks to submit rates for the calculation of LIBOR after 2021 and it is unclear whether new methods of calculating LIBOR will be established. If LIBOR ceases to exist after 2021, a comparable or successor reference rate must be negotiated and agreed among the Administrative Agent, Cohu and certain lenders under the Credit Agreement.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To the extent these interest rates increase, our interest expense will increase, which could adversely affect our financial condition, operating results and cash flows.</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Cohu has total consolidated debt of $319.9 million as of December 26, 2020 and because of such high debt levels we may not be able to service our debt obligations in accordance with their terms; the Tax Cuts and Jobs Act severely limits the deductibility of interest expense.</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Cohu’s ability to meet its expense and debt service obligations contained in the Debt Financing agreements will depend on Cohu’s future performance, which will be affected by financial, business, economic and other factors, including potential changes in industry conditions, industry supply and demand balance, customer preferences, the success of Cohu’s products, pressure from competitors, new product innovation and overall business execution. In addition, Cohu is subject to interest rate risks, and continuing increases in interest rates will increase Cohu’s debt service obligations. If Cohu is ever unable to meet its debt service obligations or fail to comply with the covenants contained in the agreements governing its indebtedness, Cohu may be required to refinance all or part of its debt, sell important strategic assets at unfavorable prices, incur additional indebtedness or issue Cohu Common Stock or other equity securities. Cohu may not be able to, at any given time, refinance its debt, sell assets, incur additional indebtedness or issue equity securities on terms acceptable to Cohu, in amounts sufficient to meet Cohu’s needs or at all. If Cohu is able to raise additional funds through the issuance of equity or equity-linked securities, such issuance would also result in dilution to Cohu’s stockholders. Cohu’s inability to service its debt obligations or refinance its debt could have a material adverse effect on its business, financial conditions or operating results. In addition, Cohu’s debt obligations may limit its ability to make required investments in capacity, technology or other areas of its business, which could have a material adverse effect on its business, financial conditions or operating results. Furthermore, the Tax Cuts and Jobs Act ("Tax Act") limits the deductibility of interest expense in a given year to 30% of adjusted taxable income, as defined; the Coronavirus Aid, Relief, and Economic Security ("CARES") Act temporarily increased this limitation to 50% for 2019 and 2020. This resulted in the inability of Cohu to utilize a substantial portion of its interest expense deductions in 2018 and 2019. We were able to fully deduct the interest expense in 2020 plus the disallowed amounts carried over from 2018 and 2019, however, the Tax Acts may continue to impact our ability to utilize future deductions.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that our existing sources of liquidity, including cash resources and cash provided by operating activities will provide sufficient resources to meet our working capital and cash requirements for at least the next twelve months; however, a material adverse impact from COVID-19 or a desire to reduce our outstanding indebtedness could result in a need to raise additional capital. Alternatively, we could decide to raise capital or incur additional indebtedness to fund strategic initiatives or operating activities, particularly if we pursue additional acquisitions.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Further, under our Credit Agreement, we are significantly limited by financial and other negative covenants in our credit arrangements, including limitations on our borrowing of additional funds and issuing dividends.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20"/>
          </w:cols>
          <w:pgMar w:left="320" w:top="341" w:right="359" w:bottom="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issuance of shares of our common stock in connection with any future offerings of securities by us, will dilute our shareholders’ ownership interest in the company.</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may seek additional financing in the future to meet our capital needs, to repay outstanding indebtedness under our existing Credit Agreement or to meet our strategic initiatives or operating activities. We have in the past issued common stock as acquisition consideration. For example, the Xcerra acquisition was financed in part by the issuance of additional shares of our common stock to shareholders of Xcerra, comprising approximately 11.8 million shares of common stock, or approximately 29% of our issued and outstanding shares of common stock immediately after completing the transaction. We may determine to utilize common stock as acquisition consideration, issue convertible debt, or pursue a follow-on equity offering to raise capital for debt reduction or for other general corporate purposes, at any time in the future. Any issuances of additional shares of our common stock would dilute shareholders’ ownership interest in our company, and shareholders would have a proportionately reduced ownership and voting interest in our company as a result of equity issuance. If we raise additional funds by issuing debt, we may be subject to limitations on our operations due to restrictive covenants. Additionally, our ability to make scheduled payments or refinance our obligations will depend on our operating and financial performance, which in turn is subject to prevailing economic conditions and financial, business and other factors beyond our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 and Other Strategic Transactions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Because a significant portion of Cohu’s total assets are represented by goodwill, which is subject to mandatory impairment evaluation, and other intangibles, Cohu could be required to write off some or all of this goodwill and other intangibles, which may adversely affect the combined company’s financial condition and results of operations.</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Cohu accounted for the acquisition of Xcerra using the purchase method of accounting. A portion of the purchase price for this business was allocated to identifiable tangible and intangible assets and assumed liabilities based on estimated fair values at the date of consummation of the merger. 45% of Cohu’s total assets is comprised of goodwill and other intangibles, of which approximately $252.3 million is allocated to goodwill. In accordance with Accounting Standards Codification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goodwill and certain other intangible assets with indefinite useful lives are not amortized but are reviewed at least annually for impairment, or more frequently if there are indications of impairment. Significant declines in the price of Cohu’s common stock could increase the risk of an impairment. All other intangible assets are subject to periodic amortization. Cohu evaluates the remaining useful lives of other intangible assets each quarter to determine whether events and circumstances warrant a revision to the remaining period of amortization. If we are unable to realize the anticipated benefits of the Xcerra acquisition, when Cohu performs future impairment tests, it is possible that the carrying value of goodwill or other intangible assets could exceed their implied fair value and therefore would require adjustment. Such adjustment would result in a charge to operating income in that period. For example, in first quarter 2020, and again in third quarter 2020, Cohu recorded impairment charges of approximately $3.9 million and $7.3 million, respectively, to adjust in-process research and development (“IPR&amp;D”) assets obtained in the acquisition of Xcerra to their current fair value. There can be no assurance that there will not be further adjustments for impairment in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other risks associated with other acquisitions, investments and divestitures.</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part of our business strategy, we will continue to regularly evaluate investments in, or acquisitions of, complementary businesses, joint ventures, services and technologies, and we expect that periodically we will continue to make such investments and acquisitions in the future. For example, we acquired Xcerra Corporation in 2018 for total consideration of approximately $794.4 million. Acquisitions and investments involve numerous risks, including, but not limited to:</w:t>
      </w:r>
    </w:p>
    <w:p>
      <w:pPr>
        <w:spacing w:after="0" w:line="18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may underperform and we may not achieve any forecasted growth, benefits or synergies;</w:t>
      </w:r>
    </w:p>
    <w:p>
      <w:pPr>
        <w:spacing w:after="0" w:line="225" w:lineRule="exact"/>
        <w:rPr>
          <w:rFonts w:ascii="Arial" w:cs="Arial" w:eastAsia="Arial" w:hAnsi="Arial"/>
          <w:sz w:val="18"/>
          <w:szCs w:val="18"/>
          <w:color w:val="auto"/>
        </w:rPr>
      </w:pPr>
    </w:p>
    <w:p>
      <w:pPr>
        <w:jc w:val="center"/>
        <w:ind w:left="5540" w:right="900" w:hanging="5532"/>
        <w:spacing w:after="0" w:line="516"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entering potentially new markets or manufacturing in new geographies where Cohu has no or limited direct prior experience;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risk of having to potentially develop new and unfamiliar sales channels for acquired businesses;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manufacturing disruptions and delays as we potentially consolidate certain manufacturing sites;</w:t>
      </w:r>
    </w:p>
    <w:p>
      <w:pPr>
        <w:spacing w:after="0" w:line="225" w:lineRule="exact"/>
        <w:rPr>
          <w:rFonts w:ascii="Arial" w:cs="Arial" w:eastAsia="Arial" w:hAnsi="Arial"/>
          <w:sz w:val="18"/>
          <w:szCs w:val="18"/>
          <w:color w:val="auto"/>
        </w:rPr>
      </w:pPr>
    </w:p>
    <w:p>
      <w:pPr>
        <w:ind w:left="500" w:right="98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significant costs in integrating the systems and processes of two companies with complex operations including multiple manufacturing sites;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Cohu or acquired businesses;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commercialize purchased technology;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impairment of acquired intangible assets and goodwill that could result in significant charges to operating results in future periods; and</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ectPr>
          <w:pgSz w:w="11900" w:h="16838" w:orient="portrait"/>
          <w:cols w:equalWidth="0" w:num="1">
            <w:col w:w="11220"/>
          </w:cols>
          <w:pgMar w:left="320" w:top="125" w:right="359" w:bottom="146" w:gutter="0" w:footer="0" w:header="0"/>
        </w:sectPr>
      </w:pPr>
    </w:p>
    <w:bookmarkStart w:id="16" w:name="page17"/>
    <w:bookmarkEnd w:id="16"/>
    <w:p>
      <w:pPr>
        <w:ind w:right="60"/>
        <w:spacing w:after="0" w:line="293" w:lineRule="auto"/>
        <w:rPr>
          <w:sz w:val="20"/>
          <w:szCs w:val="20"/>
          <w:color w:val="auto"/>
        </w:rPr>
      </w:pPr>
      <w:r>
        <w:rPr>
          <w:rFonts w:ascii="Arial" w:cs="Arial" w:eastAsia="Arial" w:hAnsi="Arial"/>
          <w:sz w:val="16"/>
          <w:szCs w:val="16"/>
          <w:color w:val="auto"/>
        </w:rPr>
        <w:t>We may decide to finance future acquisitions and investments through a combination of borrowings, proceeds from equity or debt offerings and the use of cash, cash equivalents and short-term investments. If we finance acquisitions or investments by issuing equity-linked (such as convertible debt) or equity securities, our existing stockholders may be diluted which would likely affect the market price of our stock. For example, the Xcerra acquisition resulted in significant dilution as it was financed, in part, by the issuance of approximately 11.8 million shares of common stock, or approximately 29% of our issued and outstanding shares of common stock immediately after completing the transaction. Mergers, acquisitions and investments are inherently risky and the inability to effectively manage these risks could materially and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to evaluate and pursue divestitures of non-core assets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as a strategy to pay down our long-term debt, we expect to continue to evaluate and pursue divestitures of assets that management determines to be non-core to our overall business strategy. Any such divestitures may distract Cohu’s management team, disrupt employees, may not yield attractive valuations, may incur material restructuring and transaction expenses and tax obligations, and may otherwise be unsuccessful. Divestitures may also involve warranties, indemnification or covenants that could restrict our business or result in litigation, additional expenses or liabilities. In addition, discontinuing product categories, even categories that we consider non-strategic, reduces the size and diversification of our business and causes us to be more dependent on a smaller number of product categories.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Owning Our Stock</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financial and operating results may vary and fall below analysts’ estimates, or credit rating agencies may change their ratings on Cohu, any of which may cause the price of our common stock to decline or make it difficult to obtain other financing.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2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volatile and unpredictable nature of the semiconductor equipment industry;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decisions to cancel orders or push out deliveries;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expenses or cost overruns in the introduction and support of products;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intangible and deferred tax asset write-downs;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 including the global COVID-19 pandemic.</w:t>
      </w:r>
    </w:p>
    <w:p>
      <w:pPr>
        <w:spacing w:after="0" w:line="225"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time-to-time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4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addition, as a result of the Credit Facility, we maintain credit ratings with Moody’s Investors Service, Inc. (“Moody’s”) and S&amp;P Global Ratings (“S&amp;P”). The current Moody’s and S&amp;P issuer credit ratings for Cohu are B2 and B-, respectively. Any future downgrade of Cohu’s credit ratings or rating outlooks may materially and adversely affect the market price of our equity and the availability, cost or interest rate of other credit or financing. Cohu’s current credit ratings are considered non-investment grade and make it more costly (as compared to investment grade borrowers) for Cohu or its subsidiaries to borrow money or enter into new credit facilities and to raise certain other types of capital and/or complete additional financings.</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required by the Securities and Exchange Commission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Likewise, if our financial statements are not filed on a timely basis as required by the Securities and Exchange Commission and Nasdaq Global Select Market, we could face severe consequences from those authorities. In either case, there could result a material adverse effect on our business. Inferior internal controls could also cause investors to lose confidence in our reported financial information, which could have a negative effect on the trading price of our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26, 2020, the price of our common stock has ranged from $41.00 to $8.89. The price of our stock may be more volatile than the stock of other companies due to, among other factors, the unpredictable, volatile and seasonal nature of the semiconductor industry, our significant customer concentration, intense competition in the test contactor, test handler, automated test equipment and PCB test industry, our</w:t>
      </w:r>
    </w:p>
    <w:p>
      <w:pPr>
        <w:sectPr>
          <w:pgSz w:w="11900" w:h="16838" w:orient="portrait"/>
          <w:cols w:equalWidth="0" w:num="1">
            <w:col w:w="11240"/>
          </w:cols>
          <w:pgMar w:left="320" w:top="125" w:right="339" w:bottom="0" w:gutter="0" w:footer="0" w:header="0"/>
        </w:sectPr>
      </w:pPr>
    </w:p>
    <w:bookmarkStart w:id="17" w:name="page18"/>
    <w:bookmarkEnd w:id="17"/>
    <w:p>
      <w:pPr>
        <w:ind w:right="260"/>
        <w:spacing w:after="0" w:line="277" w:lineRule="auto"/>
        <w:rPr>
          <w:sz w:val="20"/>
          <w:szCs w:val="20"/>
          <w:color w:val="auto"/>
        </w:rPr>
      </w:pPr>
      <w:r>
        <w:rPr>
          <w:rFonts w:ascii="Arial" w:cs="Arial" w:eastAsia="Arial" w:hAnsi="Arial"/>
          <w:sz w:val="18"/>
          <w:szCs w:val="18"/>
          <w:color w:val="auto"/>
        </w:rPr>
        <w:t>limited backlog, our debt levels and high leverage, and our relatively low daily stock trading volume. The market price of our common stock is likely to continue to fluctuate significantly in the future, including fluctuations related and unrelated to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underperform relative to our expectations.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business and financial performance are subject to certain risks and uncertainties, as described in these risk factors. We may not achieve our forecasted growth rates, levels of revenue, earnings, or operating efficiency that we expect and may incur losses in the business at any time. Any underperformance from our expectations or forecasts could have a material adverse effect on our financial condition, results of operations, and cause abrupt, significant stock price declines. Also, perceived company underperformance could attract shareholder activism and such activities could interfere with our ability to execute our business plans, be costly and time-consuming, disrupt our operations, divert the attention of management or result in other short-term focused corporate actions, any of which could have an adverse effect on our business or stock price.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certificate of incorporation and bylaws and Delaware law may make a takeover of Cohu more difficult.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are provisions in our basic corporate documents and under Delaware law that could discourage, delay or prevent a change in control, even if a change in control may be regarded as beneficial to some or all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changes in, and uncertainty with respect to, legislation, regulation and governmental policy in the United States.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change in administration in the United States in January 2021 may result in changes to, and uncertainty with respect to, legislation, regulation and government policy. Specific legislative and regulatory proposals that could have a material impact on us include, but are not limited to, infrastructure renewal programs, modifications to international trade policy, increased duties, tariffs or other export restrictions, public company reporting requirements, environmental regulation, corporate tax legislation, new employment and privacy laws, and antitrust enforcement.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changes in our tax provisions, enactment of new tax laws, or exposure to additional income tax liabilities could affect our profitability.</w:t>
      </w:r>
    </w:p>
    <w:p>
      <w:pPr>
        <w:spacing w:after="0" w:line="26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subject to income and other taxes in the U.S. and numerous foreign jurisdictions. Our tax liabilities are affected by, among other things, the amounts our affiliated entities charge each other for intercompany transactions. Our German subsidiaries income tax returns for 2015 to 2017, and our Philippines subsidiary income tax return for 2017 are currently under routine examination by tax authorities in their respective countries. Subsequent to December 26, 2020, we were notified by the taxing authority in Malaysia of its intent to perform an audit for 2014 to 2019 for one of our Malaysian subsidiaries.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 As a result of the acquisition of Xcerra, a greater than 50% cumulative ownership change in Xcerra triggered a significant limitation in the utilization of their net operating loss and research credit carryforwards. Cohu’s ability to use the acquired Xcerra U.S. net operating loss and credit carryforwards is subject to annual limitations as defined in sections 382 and 383 of the Internal Revenue Code.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if the materials come from, or could have come from, the Democratic Republic of the Congo or adjoining countries. These new rules and verification requirements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ectPr>
          <w:pgSz w:w="11900" w:h="16838" w:orient="portrait"/>
          <w:cols w:equalWidth="0" w:num="1">
            <w:col w:w="11220"/>
          </w:cols>
          <w:pgMar w:left="320" w:top="125" w:right="359" w:bottom="0" w:gutter="0" w:footer="0" w:header="0"/>
        </w:sectPr>
      </w:pPr>
    </w:p>
    <w:bookmarkStart w:id="18" w:name="page19"/>
    <w:bookmarkEnd w:id="18"/>
    <w:p>
      <w:pPr>
        <w:ind w:right="42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trade tariffs and export restrictions, have impacted our business and may continue to have an impact on our business and financial condition.</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fiscal year 2020, 83% of our revenue was from products shipped to customer locations outside the United States. We also purchase a significant portion of components and subassemblies from suppliers outside the United States. Additionally, a significant portion of our facilities are located outside the United States, including China, Germany, Japan, Malaysia, Philippines, Singapore, Switzerland and Taiwan.</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have been significant changes in U.S. export regulations relating to China since 2019. In May 2019, the Bureau of Industry and Security (“BIS”) of the U.S. Department of Commerce added Huawei to the BIS’s Entity List, which imposes limitations on the supply of certain U.S. items and product support to Huawei (all references to Huawei include its wholly-owned subsidiary HiSilicon). Subsequently, in May 2020 and August 2020, BIS announced rules which amended the foreign-produced direct product rule and the Entity List to target Huawei’s acquisition of Huawei-designed and subsequently third-party semiconductors that are the direct product of certain U.S.-origin software and technology. Also, as of June 2020, the BIS requires exporters to obtain a license for specified items if at the time of the export they had knowledge that the item was intended to support Chinese “military end users,” in addition to “military end uses.”</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Cohu has evaluated the foregoing regulations, and at this time, despite an ongoing material adverse impact on direct and indirect Huawei sales, we have not seen any overall material impact to our business. However, we believe that these collective export restrictions and the ongoing unpredictability of U.S.-China trade relations have encouraged China-based companies to actively seek to obtain a greater supply of similar or substitute products from our foreign competitors that are not subject to these restrictions, thereby decreasing our long-term competitiveness as a supplier to China-based companies. Recent history indicates that the U.S. government may impose other new export restrictions, or tariffs, without prior notice impacting our ability (or our customers’ ability) to sell and ship products to China-based companies and any such additional restrictions may have an adverse effect on our business, results of operations, or financial condition. In addition, the change in administration in the United States in January 2021 may result in changes to, and uncertainty with respect to, trade tariffs and export restrictions. Any such changes may have a further adverse effect on our business, results of operations, or financial condition.</w:t>
      </w:r>
    </w:p>
    <w:p>
      <w:pPr>
        <w:spacing w:after="0" w:line="19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 In addition, new regulations or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Cybersecurity, the Economy, and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cybersecurity breaches.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We have been impacted by immaterial “phishing” schemes and we are continuing our efforts to train employees on such risks but may still incur damages from such schemes in the future. We believe that extensive employee telework practices, implemented in response to the COVID-19 pandemic, have increased our cybersecurity risks.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Further, in late 2020, a global cyberbreach, widely reported as the “SolarWinds” hack, occurred and caused significant disruption at one of our suppliers and as a result created delays in our operation. Any future attacks that disrupt our IT systems, or those of our suppliers, could impact our sales, financial results and stock price. In response to these risks, we expect to continue to devote additional resources to the security of our information technology systems.</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health epidemics, and geopolitical instability caused by terrorist attacks and other threats may adversely impact our operations and sales.</w:t>
      </w:r>
    </w:p>
    <w:p>
      <w:pPr>
        <w:spacing w:after="0" w:line="17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corporate headquarters is located in San Diego, California, our Asian sales and service headquarters are located in Singapore and Taiwan, and the majority of our sales are made to destinations in Asia. In addition, we have Asia-based manufacturing plants in Malaysia, Philippines and Japan. These regions are known for being vulnerable to natural disasters and other risks, such as earthquakes, tsunamis, fires and floods, volcanic eruptions, and geopolitical risks, which at times have disrupted the local economies. For example, a significant earthquake or tsunami could materially affect operating results. We are not insured for most losses and business interruptions of this kind, or for geopolitical or terrorism impacts, and presently have limited redundant, multiple site capacity in the event of a disaster. In the event of such disaster, our business would materially suffer.</w:t>
      </w:r>
    </w:p>
    <w:p>
      <w:pPr>
        <w:spacing w:after="0" w:line="16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Our business could also be adversely affected by the effects of a widespread outbreak of contagious diseases, and has been and is continuing to be adversely affected by the COVID-19 global pandemic (see risk factor entitled </w:t>
      </w:r>
      <w:r>
        <w:rPr>
          <w:rFonts w:ascii="Arial" w:cs="Arial" w:eastAsia="Arial" w:hAnsi="Arial"/>
          <w:sz w:val="18"/>
          <w:szCs w:val="18"/>
          <w:i w:val="1"/>
          <w:iCs w:val="1"/>
          <w:color w:val="auto"/>
        </w:rPr>
        <w:t>“The ongoing global COVID-19 pandemic has adversely affected, and is</w:t>
      </w:r>
      <w:r>
        <w:rPr>
          <w:rFonts w:ascii="Arial" w:cs="Arial" w:eastAsia="Arial" w:hAnsi="Arial"/>
          <w:sz w:val="18"/>
          <w:szCs w:val="18"/>
          <w:color w:val="auto"/>
        </w:rPr>
        <w:t xml:space="preserve"> </w:t>
      </w:r>
      <w:r>
        <w:rPr>
          <w:rFonts w:ascii="Arial" w:cs="Arial" w:eastAsia="Arial" w:hAnsi="Arial"/>
          <w:sz w:val="18"/>
          <w:szCs w:val="18"/>
          <w:i w:val="1"/>
          <w:iCs w:val="1"/>
          <w:color w:val="auto"/>
        </w:rPr>
        <w:t>continuing to adversely affect, our business, financial condition and results of operations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Continued uncertainties may reduce future sales of our products and services. While we believe we have a strong customer base and have experienced strong collections in the past,</w:t>
      </w:r>
    </w:p>
    <w:p>
      <w:pPr>
        <w:sectPr>
          <w:pgSz w:w="11900" w:h="16838" w:orient="portrait"/>
          <w:cols w:equalWidth="0" w:num="1">
            <w:col w:w="11220"/>
          </w:cols>
          <w:pgMar w:left="320" w:top="125" w:right="359" w:bottom="0" w:gutter="0" w:footer="0" w:header="0"/>
        </w:sectPr>
      </w:pPr>
    </w:p>
    <w:bookmarkStart w:id="19" w:name="page20"/>
    <w:bookmarkEnd w:id="19"/>
    <w:p>
      <w:pPr>
        <w:ind w:right="380"/>
        <w:spacing w:after="0" w:line="277" w:lineRule="auto"/>
        <w:rPr>
          <w:sz w:val="20"/>
          <w:szCs w:val="20"/>
          <w:color w:val="auto"/>
        </w:rPr>
      </w:pPr>
      <w:r>
        <w:rPr>
          <w:rFonts w:ascii="Arial" w:cs="Arial" w:eastAsia="Arial" w:hAnsi="Arial"/>
          <w:sz w:val="18"/>
          <w:szCs w:val="18"/>
          <w:color w:val="auto"/>
        </w:rPr>
        <w:t>if the current market conditions deteriorate, we may experience increased collection times and greater write-offs, either of which could have a material adverse effect on our cash flow.</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Possible import, export, tariff and other trade barriers, which could be imposed by Asia, the United States, other countries or the European Union might also have a material adverse effect on our operating results. We cannot predict the timing, duration of or effect on our business of an economic slowdown or the timing or strength of a subsequent recovery.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litigation or regulatory proceedings that could have an adverse effect on our business.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From time to time, we may be subject to litigation or other administrative, regulatory or governmental proceedings, including tax audits and resulting claims that could require significant management time and resources and cause us to incur expenses and, in the event of an adverse decision, pay damages or incur costs in an amount that could have a material adverse effect on our financial position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26, 2020,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Major</w:t>
            </w:r>
          </w:p>
        </w:tc>
        <w:tc>
          <w:tcPr>
            <w:tcW w:w="100" w:type="dxa"/>
            <w:vAlign w:val="bottom"/>
          </w:tcPr>
          <w:p>
            <w:pPr>
              <w:spacing w:after="0"/>
              <w:rPr>
                <w:sz w:val="18"/>
                <w:szCs w:val="18"/>
                <w:color w:val="auto"/>
              </w:rPr>
            </w:pPr>
          </w:p>
        </w:tc>
        <w:tc>
          <w:tcPr>
            <w:tcW w:w="3580" w:type="dxa"/>
            <w:vAlign w:val="bottom"/>
          </w:tcPr>
          <w:p>
            <w:pPr>
              <w:ind w:left="1360"/>
              <w:spacing w:after="0"/>
              <w:rPr>
                <w:sz w:val="20"/>
                <w:szCs w:val="20"/>
                <w:color w:val="auto"/>
              </w:rPr>
            </w:pPr>
            <w:r>
              <w:rPr>
                <w:rFonts w:ascii="Arial" w:cs="Arial" w:eastAsia="Arial" w:hAnsi="Arial"/>
                <w:sz w:val="18"/>
                <w:szCs w:val="18"/>
                <w:b w:val="1"/>
                <w:bCs w:val="1"/>
                <w:color w:val="auto"/>
              </w:rPr>
              <w:t>Reportable</w:t>
            </w:r>
          </w:p>
        </w:tc>
        <w:tc>
          <w:tcPr>
            <w:tcW w:w="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Approx.</w:t>
            </w:r>
          </w:p>
        </w:tc>
        <w:tc>
          <w:tcPr>
            <w:tcW w:w="1300" w:type="dxa"/>
            <w:vAlign w:val="bottom"/>
          </w:tcPr>
          <w:p>
            <w:pPr>
              <w:spacing w:after="0"/>
              <w:rPr>
                <w:sz w:val="18"/>
                <w:szCs w:val="18"/>
                <w:color w:val="auto"/>
              </w:rPr>
            </w:pPr>
          </w:p>
        </w:tc>
      </w:tr>
      <w:tr>
        <w:trPr>
          <w:trHeight w:val="234"/>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Activities</w:t>
            </w:r>
          </w:p>
        </w:tc>
        <w:tc>
          <w:tcPr>
            <w:tcW w:w="100" w:type="dxa"/>
            <w:vAlign w:val="bottom"/>
          </w:tcPr>
          <w:p>
            <w:pPr>
              <w:spacing w:after="0"/>
              <w:rPr>
                <w:sz w:val="20"/>
                <w:szCs w:val="20"/>
                <w:color w:val="auto"/>
              </w:rPr>
            </w:pPr>
          </w:p>
        </w:tc>
        <w:tc>
          <w:tcPr>
            <w:tcW w:w="358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Segment</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Sq. Ft.</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Poway, California</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1,2,3,4,5</w:t>
            </w: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Kolbermoor, Germany</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83,000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Malacca, Malaysia</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Calamba City, Laguna, Philippines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52,000</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La Chaux-de-Fonds, Switzerland</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Osaka, Japan</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67,000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Suzhou, China</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PCB Test/Semiconductor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Singapore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31,000</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Milpitas, California</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Norwood, Massachusetts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56,000</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Lincoln, Rhode Island</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Wertheim, Germany</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PCB Test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22,000</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00" w:lineRule="exact"/>
        <w:rPr>
          <w:sz w:val="20"/>
          <w:szCs w:val="20"/>
          <w:color w:val="auto"/>
        </w:rPr>
      </w:pPr>
    </w:p>
    <w:p>
      <w:pPr>
        <w:spacing w:after="0" w:line="20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locations listed above, we lease other properties primarily for manufacturing, sales, service, engineering, and general administration in various locations. We believe our facilities are suitable for their respective uses and are adequate for our present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12, “Commitments and Contingencies” in Part IV, Item 15(a) of this Form 10-K for information regarding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At February 18, 2021, Cohu had 574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ectPr>
          <w:pgSz w:w="11900" w:h="16838" w:orient="portrait"/>
          <w:cols w:equalWidth="0" w:num="1">
            <w:col w:w="11240"/>
          </w:cols>
          <w:pgMar w:left="320" w:top="125" w:right="3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Dividends</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Cash dividends, per share, declared in 2020 and 2019 were as follows: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Fiscal 2020</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Fiscal 2019</w:t>
            </w:r>
          </w:p>
        </w:tc>
        <w:tc>
          <w:tcPr>
            <w:tcW w:w="8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Second Quarter</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Fourth Quarter</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0"/>
        </w:trPr>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r>
      <w:tr>
        <w:trPr>
          <w:trHeight w:val="20"/>
        </w:trPr>
        <w:tc>
          <w:tcPr>
            <w:tcW w:w="50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COVID-19 pandemic, we are proactively managing cash flow and Cohu’s Board of Directors authorized suspending our quarterly cash dividend indefinitely, as of May 5, 2020. The dividend suspension will result in approximately $10 million of annualized cash savings, which we expect to utilize for deleveraging and strengthening our balance sheet. Future reinstatement of our dividend policy may be affected by, among other items, our views on potential future capital requirements, including those related to debt service requirements, research and development, investments and acquisitions, legal risks and stock repurchases.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did not issue any securities that were not registered under the Securities Act of 1933,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2020, we did not repurchase any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graph below compares the cumulative total stockholder return on the common stock of Cohu for the last five fiscal years with the cumulative total return on custom Peer Group Indexes and a Nasdaq Global Select Market Index over the same period (assuming the investment of $100 in Cohu’s common stock, Peer Group Index and Nasdaq Global Select Market Index on December 26, 2015, and reinvestment of all dividends). The custom Peer Group Index is comprised of the peer group companies associated with our performance stock units issued under our equity incentive plan. This peer group is revised annually to reflect acquisitions and to include equivalent companies in the semiconductor equipment market to ensure a sufficiently large number of companies in the peer group composition to enable a meaningful comparison of our stock performance. In 2020, the custom Peer Group Index was comprised of Advanced Energy Industries Inc., Axcelis Technologies Inc., Brooks Automation Inc., Cabot Microelectronics Corp, Cirrus Logic Inc., Entegris, Inc., FormFactor Inc., Kulicke and Soffa Industries Inc., MTS Systems Corporation, Novanta Inc, OSI Systems, Inc., Onto Innovation Inc. (formerly Nanometrics Inc.), Photronics Inc., Synaptics, Ultra Clean Holdings Inc., and Veeco Instruments Inc. In 2019, the custom Peer Group Index was comprised of Advanced Energy Industries Inc., Advantest Corp, ASM Pacific Technology Ltd, Axcelis Technologies Inc., BE Semiconductor Industries NV, Brooks Automation Inc., Cabot Microelectronics Corp, Camtek Ltd, Electro Scientific Industries Inc., FormFactor Inc., Kulicke and Soffa Industries Inc., Micronics Japan Co Ltd, MKS Instruments Inc., Nanometrics Inc., Photronics Inc., Rudolph Technologies Inc., Teradyne Inc., Ultra Clean Holdings Inc., and Veeco Instruments Inc. (includes Ultratech through acquisition). In selecting our 2020 peer group the Compensation Committee of our Board of Directors considered competitive market data and an analysis prepared by Compensia and identified companies headquartered in the U.S. in the semiconductor capital equipment and electronic capital equipment and instrumentation sectors that were comparable to us on the basis of revenue, our market capitalization, and that had similar scope of operations.</w:t>
      </w:r>
    </w:p>
    <w:p>
      <w:pPr>
        <w:sectPr>
          <w:pgSz w:w="11900" w:h="16838" w:orient="portrait"/>
          <w:cols w:equalWidth="0" w:num="1">
            <w:col w:w="11220"/>
          </w:cols>
          <w:pgMar w:left="320" w:top="121" w:right="3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88900</wp:posOffset>
            </wp:positionV>
            <wp:extent cx="5314950" cy="4380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31495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Cohu,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NASDAQ Index</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Russell 2000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2019 Peer Group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2020 Peer Group</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432"/>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5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On October 1, 2018, we completed the acquisition of Xcerra Corporation and the results of its operations have been included in our consolidated financial statements only since that date. Due to the timing of the acquisition our results for 2018 only include Xcerra for the three months ended December 29, 2018. Results for the periods ended December 26, 2020 and December 28, 2019 include Xcerra for the full twelve months. Management determined that the fixtures services business, that was acquired as part of Xcerra, did not align with Cohu’s long-term strategic plan and management divested this portion of the business in February 2020. As a result, the assets of our fixtures business are considered “held for sale” as of December 28, 2019 and December 29, 2018 and the operations of our fixtures business are reported as “discontinued operations” for the periods ended December 26, 2020, December 28, 2019 and December 29, 2018.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Years ended,</w:t>
            </w:r>
          </w:p>
        </w:tc>
        <w:tc>
          <w:tcPr>
            <w:tcW w:w="14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Dec. 26</w:t>
            </w:r>
          </w:p>
        </w:tc>
        <w:tc>
          <w:tcPr>
            <w:tcW w:w="14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Dec. 28</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Dec. 29</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Dec. 30</w:t>
            </w: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Dec. 31</w:t>
            </w:r>
          </w:p>
        </w:tc>
      </w:tr>
      <w:tr>
        <w:trPr>
          <w:trHeight w:val="23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2020</w:t>
            </w:r>
            <w:r>
              <w:rPr>
                <w:rFonts w:ascii="Arial" w:cs="Arial" w:eastAsia="Arial" w:hAnsi="Arial"/>
                <w:sz w:val="14"/>
                <w:szCs w:val="14"/>
                <w:color w:val="auto"/>
                <w:w w:val="99"/>
              </w:rPr>
              <w:t>(1) (2)</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2019</w:t>
            </w:r>
            <w:r>
              <w:rPr>
                <w:rFonts w:ascii="Arial" w:cs="Arial" w:eastAsia="Arial" w:hAnsi="Arial"/>
                <w:sz w:val="14"/>
                <w:szCs w:val="14"/>
                <w:color w:val="auto"/>
                <w:w w:val="99"/>
              </w:rPr>
              <w:t>(1) (2)</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7"/>
              </w:rPr>
              <w:t>2018</w:t>
            </w:r>
            <w:r>
              <w:rPr>
                <w:rFonts w:ascii="Arial" w:cs="Arial" w:eastAsia="Arial" w:hAnsi="Arial"/>
                <w:sz w:val="14"/>
                <w:szCs w:val="14"/>
                <w:color w:val="auto"/>
                <w:w w:val="97"/>
              </w:rPr>
              <w:t>(1) (2)</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7"/>
              </w:rPr>
              <w:t>2017</w:t>
            </w:r>
            <w:r>
              <w:rPr>
                <w:rFonts w:ascii="Arial" w:cs="Arial" w:eastAsia="Arial" w:hAnsi="Arial"/>
                <w:sz w:val="14"/>
                <w:szCs w:val="14"/>
                <w:color w:val="auto"/>
                <w:w w:val="97"/>
              </w:rPr>
              <w:t>(2) (3)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1"/>
              <w:spacing w:after="0" w:line="230" w:lineRule="exact"/>
              <w:rPr>
                <w:sz w:val="20"/>
                <w:szCs w:val="20"/>
                <w:color w:val="auto"/>
              </w:rPr>
            </w:pPr>
            <w:r>
              <w:rPr>
                <w:rFonts w:ascii="Arial" w:cs="Arial" w:eastAsia="Arial" w:hAnsi="Arial"/>
                <w:sz w:val="16"/>
                <w:szCs w:val="16"/>
                <w:color w:val="auto"/>
              </w:rPr>
              <w:t>2016</w:t>
            </w:r>
            <w:r>
              <w:rPr>
                <w:rFonts w:ascii="Arial" w:cs="Arial" w:eastAsia="Arial" w:hAnsi="Arial"/>
                <w:sz w:val="26"/>
                <w:szCs w:val="26"/>
                <w:color w:val="auto"/>
                <w:vertAlign w:val="superscript"/>
              </w:rPr>
              <w:t>(4)</w:t>
            </w:r>
          </w:p>
        </w:tc>
        <w:tc>
          <w:tcPr>
            <w:tcW w:w="100" w:type="dxa"/>
            <w:vAlign w:val="bottom"/>
            <w:tcBorders>
              <w:bottom w:val="single" w:sz="8" w:color="auto"/>
            </w:tcBorders>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636,007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583,329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451,768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352,704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282,084</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(13,843)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(68,995)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(32,543)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33,121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3,260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ind w:left="180"/>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(13,801)</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(69,692)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(32,424)</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32,843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3,039</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ind w:left="180"/>
              <w:spacing w:after="0" w:line="196" w:lineRule="exact"/>
              <w:rPr>
                <w:sz w:val="20"/>
                <w:szCs w:val="20"/>
                <w:color w:val="auto"/>
              </w:rPr>
            </w:pPr>
            <w:r>
              <w:rPr>
                <w:rFonts w:ascii="Arial" w:cs="Arial" w:eastAsia="Arial" w:hAnsi="Arial"/>
                <w:sz w:val="18"/>
                <w:szCs w:val="18"/>
                <w:color w:val="auto"/>
              </w:rPr>
              <w:t>Net income (loss) attributable to Cohu</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(13,801)</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(69,700)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(32,181)</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32,843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3,039</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(loss) per share:</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4620" w:type="dxa"/>
            <w:vAlign w:val="bottom"/>
          </w:tcPr>
          <w:p>
            <w:pPr>
              <w:ind w:left="340"/>
              <w:spacing w:after="0" w:line="196" w:lineRule="exact"/>
              <w:rPr>
                <w:sz w:val="20"/>
                <w:szCs w:val="20"/>
                <w:color w:val="auto"/>
              </w:rPr>
            </w:pPr>
            <w:r>
              <w:rPr>
                <w:rFonts w:ascii="Arial" w:cs="Arial" w:eastAsia="Arial" w:hAnsi="Arial"/>
                <w:sz w:val="18"/>
                <w:szCs w:val="18"/>
                <w:color w:val="auto"/>
              </w:rPr>
              <w:t>Income (loss) from continuing operations - basic</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(0.33)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1.19</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0.12</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6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(loss) from continuing operations - diluted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0.12</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ind w:left="340"/>
              <w:spacing w:after="0" w:line="196" w:lineRule="exact"/>
              <w:rPr>
                <w:sz w:val="20"/>
                <w:szCs w:val="20"/>
                <w:color w:val="auto"/>
              </w:rPr>
            </w:pPr>
            <w:r>
              <w:rPr>
                <w:rFonts w:ascii="Arial" w:cs="Arial" w:eastAsia="Arial" w:hAnsi="Arial"/>
                <w:sz w:val="18"/>
                <w:szCs w:val="18"/>
                <w:color w:val="auto"/>
              </w:rPr>
              <w:t>Net income (loss) attributable to Cohu - basic</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(0.33)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0.11</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Net income (loss) attributable to Cohu - diluted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0.11</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Arial" w:cs="Arial" w:eastAsia="Arial" w:hAnsi="Arial"/>
                <w:sz w:val="18"/>
                <w:szCs w:val="18"/>
                <w:color w:val="auto"/>
              </w:rPr>
              <w:t>Cash dividends per share</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0.06</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0.24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0.24</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0.24</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 data:</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consolidated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1,090,346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1,077,710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1,134,002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420,457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345,512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319,940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353,035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Working capital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310,593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290,811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324,650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212,171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176,460</w:t>
            </w:r>
          </w:p>
        </w:tc>
      </w:tr>
    </w:tbl>
    <w:p>
      <w:pPr>
        <w:sectPr>
          <w:pgSz w:w="11900" w:h="16838" w:orient="portrait"/>
          <w:cols w:equalWidth="0" w:num="1">
            <w:col w:w="11240"/>
          </w:cols>
          <w:pgMar w:left="320" w:top="1440" w:right="339" w:bottom="0" w:gutter="0" w:footer="0" w:header="0"/>
        </w:sectPr>
      </w:pPr>
    </w:p>
    <w:bookmarkStart w:id="22" w:name="page23"/>
    <w:bookmarkEnd w:id="22"/>
    <w:p>
      <w:pPr>
        <w:ind w:left="340" w:right="40" w:hanging="332"/>
        <w:spacing w:after="0" w:line="28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In 2020, total operating expenses related to the acquisition of Xcerra were as follows: $11.3 million in restructuring charges comprised of $3.7 million of inventory end-of-manufacturing write-downs recorded in cost of sales related to Xcerra’s products, employee severance costs of $6.5 million and $1.1 million of other restructuring costs. We also recorded $34.5 million for the amortization of acquisition-related intangibles. Additionally, 2020 results include an impairment charge of $11.2 million related to in process research and development and a gain on sale of facilities totaling</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$4.5 million.</w:t>
      </w:r>
    </w:p>
    <w:p>
      <w:pPr>
        <w:spacing w:after="0" w:line="210" w:lineRule="exact"/>
        <w:rPr>
          <w:rFonts w:ascii="Arial" w:cs="Arial" w:eastAsia="Arial" w:hAnsi="Arial"/>
          <w:sz w:val="16"/>
          <w:szCs w:val="16"/>
          <w:color w:val="auto"/>
        </w:rPr>
      </w:pPr>
    </w:p>
    <w:p>
      <w:pPr>
        <w:ind w:left="340" w:right="40"/>
        <w:spacing w:after="0" w:line="259" w:lineRule="auto"/>
        <w:rPr>
          <w:rFonts w:ascii="Arial" w:cs="Arial" w:eastAsia="Arial" w:hAnsi="Arial"/>
          <w:sz w:val="16"/>
          <w:szCs w:val="16"/>
          <w:color w:val="auto"/>
        </w:rPr>
      </w:pPr>
      <w:r>
        <w:rPr>
          <w:rFonts w:ascii="Arial" w:cs="Arial" w:eastAsia="Arial" w:hAnsi="Arial"/>
          <w:sz w:val="18"/>
          <w:szCs w:val="18"/>
          <w:color w:val="auto"/>
        </w:rPr>
        <w:t>In 2019, total operating expenses related to the acquisition of Xcerra were as follows: $16.2 million in restructuring charges comprised of $2.7 million of inventory end-of-manufacturing write-downs recorded in cost of sales related to Xcerra’s products, employee severance costs of $12.2 million and $1.3 million of other restructuring costs. We also recorded $35.5 million for the amortization of acquisition-related intangibles and $0.4 million of merger related costs.</w:t>
      </w:r>
    </w:p>
    <w:p>
      <w:pPr>
        <w:spacing w:after="0" w:line="186" w:lineRule="exact"/>
        <w:rPr>
          <w:rFonts w:ascii="Arial" w:cs="Arial" w:eastAsia="Arial" w:hAnsi="Arial"/>
          <w:sz w:val="16"/>
          <w:szCs w:val="16"/>
          <w:color w:val="auto"/>
        </w:rPr>
      </w:pPr>
    </w:p>
    <w:p>
      <w:pPr>
        <w:ind w:left="340" w:right="160"/>
        <w:spacing w:after="0" w:line="259" w:lineRule="auto"/>
        <w:rPr>
          <w:rFonts w:ascii="Arial" w:cs="Arial" w:eastAsia="Arial" w:hAnsi="Arial"/>
          <w:sz w:val="16"/>
          <w:szCs w:val="16"/>
          <w:color w:val="auto"/>
        </w:rPr>
      </w:pPr>
      <w:r>
        <w:rPr>
          <w:rFonts w:ascii="Arial" w:cs="Arial" w:eastAsia="Arial" w:hAnsi="Arial"/>
          <w:sz w:val="18"/>
          <w:szCs w:val="18"/>
          <w:color w:val="auto"/>
        </w:rPr>
        <w:t>In 2018, total operating expenses related to the acquisition of Xcerra as follows: $37.8 million in restructuring charges comprised of $19.1 million of inventory end-of-manufacturing write-downs recorded in cost of sales related to Xcerra’s products, employee severance costs of $17.8 million and $0.9 million of other restructuring costs. We also recorded $13.1 million for the amortization of acquisition-related intangibles and $9.8 million of merger related costs.</w:t>
      </w:r>
    </w:p>
    <w:p>
      <w:pPr>
        <w:spacing w:after="0" w:line="186" w:lineRule="exact"/>
        <w:rPr>
          <w:rFonts w:ascii="Arial" w:cs="Arial" w:eastAsia="Arial" w:hAnsi="Arial"/>
          <w:sz w:val="16"/>
          <w:szCs w:val="16"/>
          <w:color w:val="auto"/>
        </w:rPr>
      </w:pPr>
    </w:p>
    <w:p>
      <w:pPr>
        <w:ind w:left="340" w:right="3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for the years ended December 26, 2020, December 28, 2019, December 29, 2018 and December 30, 2017, include the impact from the Tax Act. See Note 9, “Income Taxes” in Part IV, Item 15(a) of this Form 10-K for additional information.</w:t>
      </w:r>
    </w:p>
    <w:p>
      <w:pPr>
        <w:spacing w:after="0" w:line="170"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4, 2017, we purchased Kita Manufacturing Co. LTD. (“Kita”) and the results of its operations have been included in our consolidated financial statements since that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year ended December 31, 2016 consists of 53 weeks. All other years in the table above are comprised of 52 weeks.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Cohu is a leading supplier of semiconductor test and inspection handlers, micro-electromechanical system (MEMS) test modules, test contactors and thermal subsystems, semiconductor automated test equipment and bare board printed circuit board (PCB) test systems used by global semiconductor and electronics manufacturers and test subcontractors. We offer a wide range of products and services and our revenue from capital equipment products is driven by the capital expenditure budgets and spending patterns of our customers, who often abruptly delay or accelerate purchases in reaction to variations in their business. The level of capital expenditures by these companies depends on the current and anticipated market demand for semiconductor devices and printed circuit boards and the products that incorporate them. Our consumable products are driven by the number of semiconductor devices and printed circuit boards that are tested and by the continuous introduction of new products and new technologies by our customers. As a result, our consumable products provide a more stable recurring source of revenue and generally do not have the same degree of cyclicality as our capital equipment products.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year ended December 26, 2020, our net sales increased 9.0% year-over-year to $636.0 million. Our consolidated net sales for the years ended December 26, 2020 and December 28, 2019, include Xcerra’s sales for the full year (all twelve months) totaling $331.2 million and $300.8 million, respectively. The year ended December 29, 2018, includes Xcerra’s sales for the three months subsequent to the merger on October 1, 2018, which totaled $94.4 million.</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2019 and 2020, the global semiconductor market was impacted by U.S. and China trade tensions which impacted our customers’ ability to supply product to certain end users resulting in customer test cell utilization below levels that have historically triggered the need for additional capacity. During the first half of 2020 our net sales were negatively impacted by movement control orders and the subsequent supply disruptions caused by the rapid and global spread of COVID-19 and weakness in the automotive market. Demand for equipment used in testing mobility semiconductor applications, data centers and personal computers strengthened during the second half of 2020 driven by the launch and accelerated ramp of our RedDragon RF module for testing 5G, Wi-Fi 6 and Ultra-Wideband devices, and new customers for our Neon inspection platform. We also began to see improved demand from semiconductor automotive and industrial customers and orders for PCB test equipment were at near record levels. Based on improved business conditions, during the second half of 2020, we took action to reduce outstanding principal, by $36.4 million, under our Term Loan B debt associated with the financing of the Xcerra acquisition in October 2018.</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While our total sales for the twelve months of 2020 were negatively impacted by the global economic downturn caused by the COVID-19 pandemic, we saw strong demand for our products in the second half of the year and our long-term market drivers and market strategy remain intact. We are encouraged by positive order momentum across our main market segments, and customer traction with our new products going into 2021. We remain optimistic about the long-term prospects for our business due to the increasing ubiquity of semiconductors, the future rollout of 5G networks, increasing semiconductor complexity, increasing quality demands from semiconductor customers, increasing test intensity and continued proliferation of electronics in a variety of products across the automotive, mobility and industrial markets. We are focused on cross-selling opportunities and supporting our customers’ deployment of 5G RF capabilities on next generation smartphones and growing our sales to semiconductor and electronics manufacturers and test subcontractors.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29"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w:t>
      </w:r>
    </w:p>
    <w:p>
      <w:pPr>
        <w:sectPr>
          <w:pgSz w:w="11900" w:h="16838" w:orient="portrait"/>
          <w:cols w:equalWidth="0" w:num="1">
            <w:col w:w="11200"/>
          </w:cols>
          <w:pgMar w:left="320" w:top="260" w:right="379" w:bottom="0" w:gutter="0" w:footer="0" w:header="0"/>
        </w:sectPr>
      </w:pPr>
    </w:p>
    <w:bookmarkStart w:id="23" w:name="page24"/>
    <w:bookmarkEnd w:id="23"/>
    <w:p>
      <w:pPr>
        <w:ind w:right="120"/>
        <w:spacing w:after="0" w:line="259" w:lineRule="auto"/>
        <w:rPr>
          <w:sz w:val="20"/>
          <w:szCs w:val="20"/>
          <w:color w:val="auto"/>
        </w:rPr>
      </w:pPr>
      <w:r>
        <w:rPr>
          <w:rFonts w:ascii="Arial" w:cs="Arial" w:eastAsia="Arial" w:hAnsi="Arial"/>
          <w:sz w:val="18"/>
          <w:szCs w:val="18"/>
          <w:color w:val="auto"/>
        </w:rPr>
        <w:t>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87"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23" w:lineRule="exact"/>
        <w:rPr>
          <w:rFonts w:ascii="Arial" w:cs="Arial" w:eastAsia="Arial" w:hAnsi="Arial"/>
          <w:sz w:val="18"/>
          <w:szCs w:val="18"/>
          <w:color w:val="auto"/>
        </w:rPr>
      </w:pPr>
    </w:p>
    <w:p>
      <w:pPr>
        <w:ind w:left="500" w:right="420" w:hanging="330"/>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ind w:left="500" w:right="360" w:hanging="330"/>
        <w:spacing w:after="0" w:line="28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w:t>
      </w:r>
    </w:p>
    <w:p>
      <w:pPr>
        <w:spacing w:after="0" w:line="1" w:lineRule="exact"/>
        <w:rPr>
          <w:rFonts w:ascii="Arial" w:cs="Arial" w:eastAsia="Arial" w:hAnsi="Arial"/>
          <w:sz w:val="16"/>
          <w:szCs w:val="16"/>
          <w:color w:val="auto"/>
        </w:rPr>
      </w:pPr>
    </w:p>
    <w:p>
      <w:pPr>
        <w:ind w:left="500" w:right="340" w:hanging="330"/>
        <w:spacing w:after="0" w:line="265"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assessment of recoverability of long-lived and indefinite-lived assets including goodwill and other intangible assets, which primarily impacts gross margin or operating expenses if we are required to record impairments of assets or accelerate their depreciation; and</w:t>
      </w:r>
    </w:p>
    <w:p>
      <w:pPr>
        <w:ind w:left="500" w:hanging="330"/>
        <w:spacing w:after="0" w:line="26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8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4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net sales are derived from the sale of products and services and are adjusted for estimated returns and allowances,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December 26, 2020 and December 28, 2019 we had $17.1 million and $16.1 million of revenue expected to be recognized in the future related to performance obligations that are unsatisfied (or partially unsatisfied), respectively. 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6"/>
          <w:szCs w:val="16"/>
          <w:i w:val="1"/>
          <w:iCs w:val="1"/>
          <w:color w:val="auto"/>
        </w:rPr>
        <w:t>Guarantees (“ASC 460”)</w:t>
      </w:r>
      <w:r>
        <w:rPr>
          <w:rFonts w:ascii="Arial" w:cs="Arial" w:eastAsia="Arial" w:hAnsi="Arial"/>
          <w:sz w:val="16"/>
          <w:szCs w:val="16"/>
          <w:color w:val="auto"/>
        </w:rPr>
        <w:t>,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We maintain an allowance for credit losses for estimated losses resulting from the inability of our customers to make required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including the impact of the COVID-19 pandemic, which may result in changes to our estimates.</w:t>
      </w:r>
    </w:p>
    <w:p>
      <w:pPr>
        <w:spacing w:after="0" w:line="161"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auto"/>
        </w:rPr>
        <w:t>We adopted Accounting Standards Update (“ASU”) 2016-13</w:t>
      </w:r>
      <w:r>
        <w:rPr>
          <w:rFonts w:ascii="Arial" w:cs="Arial" w:eastAsia="Arial" w:hAnsi="Arial"/>
          <w:sz w:val="16"/>
          <w:szCs w:val="16"/>
          <w:i w:val="1"/>
          <w:iCs w:val="1"/>
          <w:color w:val="auto"/>
        </w:rPr>
        <w:t>, 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on December 29, 2019 the first day of our fiscal 2020. The ASU required a cumulative-effect adjustment to the statement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position as of the date of adoption. Periods prior to the adoption that are presented for comparative purposes are not adjusted. Based on our analysis of historical and anticipated collections of trade receivables, the impact of adoption of Topic 326 was insignificant.</w:t>
      </w:r>
    </w:p>
    <w:p>
      <w:pPr>
        <w:spacing w:after="0" w:line="1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7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w:t>
      </w:r>
    </w:p>
    <w:p>
      <w:pPr>
        <w:sectPr>
          <w:pgSz w:w="11900" w:h="16838" w:orient="portrait"/>
          <w:cols w:equalWidth="0" w:num="1">
            <w:col w:w="11240"/>
          </w:cols>
          <w:pgMar w:left="320" w:top="125" w:right="339" w:bottom="0" w:gutter="0" w:footer="0" w:header="0"/>
        </w:sectPr>
      </w:pPr>
    </w:p>
    <w:bookmarkStart w:id="24" w:name="page25"/>
    <w:bookmarkEnd w:id="24"/>
    <w:p>
      <w:pPr>
        <w:spacing w:after="0" w:line="5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26, 2020, was approximately $122.8 million, with a valuation allowance of approximately $86.1 million.</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Tax Act was enacted on December 22, 2017. The accounting for the tax effects of the enactment of the Tax Act was completed in 2018. The accounting for the CARES Act, enacted on March 27, 2020, was incorporated in 2020. See Note 9, “Income Taxes”, included in Part IV, Item 15(a) of this Form 10-K, which is incorporated herein by reference.</w:t>
      </w:r>
    </w:p>
    <w:p>
      <w:pPr>
        <w:spacing w:after="0" w:line="18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b w:val="1"/>
          <w:bCs w:val="1"/>
          <w:i w:val="1"/>
          <w:iCs w:val="1"/>
          <w:color w:val="auto"/>
        </w:rPr>
        <w:t xml:space="preserve">Segment Information: </w:t>
      </w:r>
      <w:r>
        <w:rPr>
          <w:rFonts w:ascii="Arial" w:cs="Arial" w:eastAsia="Arial" w:hAnsi="Arial"/>
          <w:sz w:val="17"/>
          <w:szCs w:val="17"/>
          <w:color w:val="auto"/>
        </w:rPr>
        <w:t>We applied the provisions of ASC Topic 280,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&amp; Inspection and PCB Test.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Goodwill and Indefinite-Lived Intangibles, Other Intangible Assets and Long-lived Assets: </w:t>
      </w:r>
      <w:r>
        <w:rPr>
          <w:rFonts w:ascii="Arial" w:cs="Arial" w:eastAsia="Arial" w:hAnsi="Arial"/>
          <w:sz w:val="17"/>
          <w:szCs w:val="17"/>
          <w:color w:val="auto"/>
        </w:rPr>
        <w:t>We evaluate goodwill and other indefinite-lived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which are solely comprised of in-process research and development (“IPR&amp;D”), for impairment annually and when an event occurs or circumstances change that indicate that the carrying value may not be recoverable. We test goodwill for impairment by first comparing the book value of net assets to the fair value of the reporting unit or asset, in the case of in-process research and development. If the fair value is determined to be less than the book value, a second step is performed to compute the amount of impairment as the difference between the fair value of the reporting unit and it’s carrying value of goodwill.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8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conduct our annual impairment test as of October 1st of each year, and have determined there was no impairment as of October 1, 2020, as we determined that the estimated fair values of our reporting units exceeded their carrying values on that date. Other events and changes in circumstances may also require goodwill to be tested for impairment between annual measurement dates. As of December 26, 2020,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first quarter of 2020, the volatility in Cohu’s stock price, the global economic downturn and business interruptions associated with the COVID-19 pandemic led us to determine that there was a triggering event related to goodwill within all of our identified reporting units and our indefinite-lived intangible assets. We performed an interim assessment as of March 28, 2020 and determined that the fair values of our identified reporting units all exceeded their carrying values and we concluded there was no impairment of goodwill within our reporting units. Anticipated delays in customer adoption of certain new products under development as a result of the COVID-19 pandemic, changes to future project roadmaps and an increase in the discount rate used in the developing our interim fair value estimate resulted in a $3.9 million impairment to IPR&amp;D recorded during the first quarter as the carrying value exceeded fair value. During the third quarter of 2020, we became aware of additional delays in customer adoption of the same new products under development leading us to re-evaluate the fair value of these projects and we determined that the carrying value exceeded the fair value and, as a result, we recorded a $7.3 million impairment to IPR&amp;D. For the twelve months ended December 26, 2020 total impairments recorded to IPR&amp;D projects was $11.2 million.</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forecasts utilized in the interim impairment tests were based on known facts and circumstances. We evaluate and consider recent events and uncertain items, as well as related potential implications, as part of our annual and interim assessments and incorporate them into the analyses as appropriate. These facts and circumstances are subject to change and may not be the same as future analyses. In a future period, should we again determine that an interim goodwill and indefinite-lived intangible asset impairment review is required we may be required to book additional impairment charges which could have a significant negative impact on our results of operations.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4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certain contingencies that arise in the ordinary course of our businesses which require us to assess the likelihood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Share-based compensation expense related to restricted stock unit awards is calculated based on the market price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the grant date, reduced by the present value of dividends expected to be paid on our common stock prior to vesting of the restricted stock</w:t>
      </w:r>
    </w:p>
    <w:p>
      <w:pPr>
        <w:sectPr>
          <w:pgSz w:w="11900" w:h="16888" w:orient="portrait"/>
          <w:cols w:equalWidth="0" w:num="1">
            <w:col w:w="11240"/>
          </w:cols>
          <w:pgMar w:left="320" w:top="125" w:right="339" w:bottom="0" w:gutter="0" w:footer="0" w:header="0"/>
        </w:sectPr>
      </w:pPr>
    </w:p>
    <w:bookmarkStart w:id="25" w:name="page26"/>
    <w:bookmarkEnd w:id="25"/>
    <w:p>
      <w:pPr>
        <w:spacing w:after="0" w:line="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estimate of share-based compensation expense requires a number of complex and subjective assumptions and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description of accounting changes and recent accounting pronouncements, including the expected dates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estimated effects, if any, on our consolidated financial statements, see Note 1, “Recent Accounting Pronouncements” in Part IV, Item 15(a) of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Transactions Impacting Results of Operations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October 1, 2018 we completed our merger with Xcerra Corporation and the results of its operations have been included in our consolidated financial statements only since that date. Due to the timing of the merger our results for 2018 only include Xcerra for the three months ended December 29, 2018 whereas the periods ended December 26, 2020 and December 28, 2019 include Xcerra for the full twelve months. Previously, management determined that the fixtures services business, that was acquired as part of Xcerra, did not align with Cohu’s long-term strategic plan and management divested this portion of the business in February 2020. The assets of our fixtures business were considered “held for sale” as of December 28, 2019 and the operating results of our fixtures business are presented as “discontinued operations” for the periods ended December 26, 2020, December 28, 2019 and December 29, 2018. Unless otherwise indicated, the discussion below covers the comparative results from continuing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3"/>
          </w:tcPr>
          <w:p>
            <w:pPr>
              <w:jc w:val="right"/>
              <w:spacing w:after="0"/>
              <w:rPr>
                <w:sz w:val="20"/>
                <w:szCs w:val="20"/>
                <w:color w:val="auto"/>
              </w:rPr>
            </w:pPr>
            <w:r>
              <w:rPr>
                <w:rFonts w:ascii="Arial" w:cs="Arial" w:eastAsia="Arial" w:hAnsi="Arial"/>
                <w:sz w:val="18"/>
                <w:szCs w:val="18"/>
                <w:color w:val="auto"/>
                <w:w w:val="89"/>
              </w:rPr>
              <w:t>The following table summarizes certain operating data as a percentage of net sales: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5080" w:type="dxa"/>
            <w:vAlign w:val="bottom"/>
            <w:gridSpan w:val="2"/>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4"/>
                <w:szCs w:val="24"/>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1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(57.3)</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(60.6)</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(64.7)</w:t>
            </w:r>
          </w:p>
        </w:tc>
      </w:tr>
      <w:tr>
        <w:trPr>
          <w:trHeight w:val="20"/>
        </w:trPr>
        <w:tc>
          <w:tcPr>
            <w:tcW w:w="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r>
      <w:tr>
        <w:trPr>
          <w:trHeight w:val="216"/>
        </w:trPr>
        <w:tc>
          <w:tcPr>
            <w:tcW w:w="160" w:type="dxa"/>
            <w:vAlign w:val="bottom"/>
          </w:tcPr>
          <w:p>
            <w:pPr>
              <w:spacing w:after="0"/>
              <w:rPr>
                <w:sz w:val="18"/>
                <w:szCs w:val="18"/>
                <w:color w:val="auto"/>
              </w:rPr>
            </w:pP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r>
      <w:tr>
        <w:trPr>
          <w:trHeight w:val="216"/>
        </w:trPr>
        <w:tc>
          <w:tcPr>
            <w:tcW w:w="160" w:type="dxa"/>
            <w:vAlign w:val="bottom"/>
          </w:tcPr>
          <w:p>
            <w:pPr>
              <w:spacing w:after="0"/>
              <w:rPr>
                <w:sz w:val="18"/>
                <w:szCs w:val="18"/>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r>
      <w:tr>
        <w:trPr>
          <w:trHeight w:val="216"/>
        </w:trPr>
        <w:tc>
          <w:tcPr>
            <w:tcW w:w="160" w:type="dxa"/>
            <w:vAlign w:val="bottom"/>
          </w:tcPr>
          <w:p>
            <w:pPr>
              <w:spacing w:after="0"/>
              <w:rPr>
                <w:sz w:val="18"/>
                <w:szCs w:val="18"/>
                <w:color w:val="auto"/>
              </w:rPr>
            </w:pP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Amortization of purchased intangible assets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r>
      <w:tr>
        <w:trPr>
          <w:trHeight w:val="216"/>
        </w:trPr>
        <w:tc>
          <w:tcPr>
            <w:tcW w:w="160" w:type="dxa"/>
            <w:vAlign w:val="bottom"/>
          </w:tcPr>
          <w:p>
            <w:pPr>
              <w:spacing w:after="0"/>
              <w:rPr>
                <w:sz w:val="18"/>
                <w:szCs w:val="18"/>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r>
      <w:tr>
        <w:trPr>
          <w:trHeight w:val="216"/>
        </w:trPr>
        <w:tc>
          <w:tcPr>
            <w:tcW w:w="160" w:type="dxa"/>
            <w:vAlign w:val="bottom"/>
          </w:tcPr>
          <w:p>
            <w:pPr>
              <w:spacing w:after="0"/>
              <w:rPr>
                <w:sz w:val="18"/>
                <w:szCs w:val="18"/>
                <w:color w:val="auto"/>
              </w:rPr>
            </w:pP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Impairment charges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18"/>
                <w:szCs w:val="18"/>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facilities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Please refer to “Management’s Discussion and Analysis of Financial Condition and Results of Operations” in Part II, Item 7 in our 2019 Annual Report on Form 10-K, filed with the SEC on March 10, 2020, for comparative discussion of our fiscal years ended December 28, 2019 and December 29,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to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Cohu’s consolidated net sales increased 9.0% from $583.3 million in 2019 to $636.0 million in 2020. During the first half of 2020, our net sales were impacted by disruptions caused by the COVID-19 pandemic and movement control orders which resulted in supply disruptions impacting our ability to ship product and were further impacted by reduced demand in the automotive segment. In the second half of 2020 demand for equipment used in testing mobility semiconductor applications, data centers and personal computers strengthened driven by the launch and accelerated ramp of our RedDragon RF module for testing 5G, Wi-Fi 6 and Ultra-Wideband devices, and new customers for our Neon inspection platform. We also began to see improved demand from semiconductor automotive and industrial customers, and orders for PCB test equipment were at near record levels.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(exclusive of amortization of acquisition-related intangible assets described below)</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margin consists of net sales less cost of sales (excluding the impact of amortization of developed technology and backlog). Cost of sales consists primarily of the materials, assembly and test labor and overhead from operations. Our gross margin can fluctuate due to a number of factors, including, but not limited to, the mix of products sold, product support costs, increases to inventory reserves, the sale of previously reserved inventory and utilization of manufacturing capacity. Our gross margin, as a percentage of net sales, increased to 42.7% in 2020 from 39.4% in 2019. Increased business volume in the second half of 2020 allowed us to better leverage our fixed costs helping to improve our gross margin over 2019. Other items impacting our gross margin in 2020 are discussed below.</w:t>
      </w:r>
    </w:p>
    <w:p>
      <w:pPr>
        <w:spacing w:after="0" w:line="19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We compute the majority of our excess and obsolete inventory reserve requirements using inventory usage forecasts ranging from one to three years. During 2020, we recorded net charges to cost of sales of approximately $6.0 million, for excess and obsolete inventory. In addition to our normal excess and obsolete provision, as part of the integration and restructuring activities related to Xcerra we recorded $3.7 million of inventory related charges specifically related to the decision to end manufacturing of certain semiconductor test handler products. In 2019, net charges to cost of sales were</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$4.1 million, for excess and obsolete inventory and we recorded $2.7 million of inventory related charges related to the decision to end manufacturing of certain of Xcerra’s semiconductor test handler products.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believe our reserves for excess and obsolete inventory and lower of cost or net realizable value are adequate to cover known exposures at December 26, 2020. Reductions in customer forecasts, continued modifications to products, our failure to meet specifications or other customer requirements may result in additional charges to operations that could negatively impact our gross margin in future periods.</w:t>
      </w:r>
    </w:p>
    <w:p>
      <w:pPr>
        <w:sectPr>
          <w:pgSz w:w="11900" w:h="16882" w:orient="portrait"/>
          <w:cols w:equalWidth="0" w:num="1">
            <w:col w:w="11240"/>
          </w:cols>
          <w:pgMar w:left="320" w:top="125" w:right="339" w:bottom="0" w:gutter="0" w:footer="0" w:header="0"/>
        </w:sectPr>
      </w:pPr>
    </w:p>
    <w:bookmarkStart w:id="26" w:name="page27"/>
    <w:bookmarkEnd w:id="26"/>
    <w:p>
      <w:pPr>
        <w:spacing w:after="0" w:line="342" w:lineRule="auto"/>
        <w:rPr>
          <w:sz w:val="20"/>
          <w:szCs w:val="20"/>
          <w:color w:val="auto"/>
        </w:rPr>
      </w:pPr>
      <w:r>
        <w:rPr>
          <w:rFonts w:ascii="Arial" w:cs="Arial" w:eastAsia="Arial" w:hAnsi="Arial"/>
          <w:sz w:val="16"/>
          <w:szCs w:val="16"/>
          <w:color w:val="auto"/>
        </w:rPr>
        <w:t>Our cost of sales was also impacted by the amortization of inventory step-up related to fair value adjustments to inventory acquired from Xcerra and during 2019, $6.0 million of inventory step-up costs were amortized. All inventory step-up was fully amortized in in 2019 and there was no amortization in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2020 was $86.2 million, or 13.5% of net sales, compared to $86.1 million, or 14.8% of net sales in 2019. Despite increased business volume, R&amp;D expense was essentially flat, year-over-year, as temporary salary reductions, decreased travel and other cost control measures implemented in response to the economic uncertainty caused by the COVID-19 pandemic allowed us to control costs in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as a percentage of net sales decreased to 20.3% in 2020, from 24.5% in 2019, decreasing from</w:t>
      </w:r>
    </w:p>
    <w:p>
      <w:pPr>
        <w:ind w:right="240"/>
        <w:spacing w:after="0" w:line="260" w:lineRule="auto"/>
        <w:rPr>
          <w:sz w:val="20"/>
          <w:szCs w:val="20"/>
          <w:color w:val="auto"/>
        </w:rPr>
      </w:pPr>
      <w:r>
        <w:rPr>
          <w:rFonts w:ascii="Arial" w:cs="Arial" w:eastAsia="Arial" w:hAnsi="Arial"/>
          <w:sz w:val="18"/>
          <w:szCs w:val="18"/>
          <w:color w:val="auto"/>
        </w:rPr>
        <w:t>$142.9 million in 2019 to $129.2 million in 2020. Lower SG&amp;A expense in 2020 was a result of temporary salary reductions, decreased travel and other cost control measures implemented in response to the economic uncertainty caused by the COVID-19 pandemic.</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From time-to-time Cohu incurs costs specifically related to business acquisitions. In 2019, we incurred acquisition costs totaling $0.4 million that were entirely comprised of professional service and other transaction related expenses associated with the merger of Xcerra. No acquisition costs were incurred in 2020.</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2020 and 2019, we recorded $0.1 million and $1.2 million of expense, respectively, related to a reduction of an indemnification receivable related to an uncertain tax position recorded in the acquisition of Ismeca Semiconductor Holdings SA (“Ismeca”) in 2013. In connection with this reduction we also booked a corresponding amount as a credit to our income tax provision and, as a result, the impact of this reduction on net income was zero.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$38.7 million and $39.6 million for 2020 and 2019, respectively. The decrease in expense recorded during the current year was a result of fluctuations in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Subsequent to the merger with Xcerra in the fourth quarter 2018, we began a strategic restructuring program designed to reposition our organization and improve our cost structure as part of our targeted integration plan regarding Xcerra. In connection with the integration plan, we recorded restructuring charges, exclusive of the inventory related charges described above, totaling $7.6 million and $13.5 million in 2020 and 2019,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See Note 5, “Restructuring Charges” in Part IV, Item 15(a) of this Form 10-K for additional information with respect to restructuring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the first quarter of 2020, the volatility in Cohu’s stock price and the global economic downturn and business interruptions associated with the COVID-19 pandemic led us to determine that there was a triggering event related to goodwill within all of our identified reporting units and our indefinite-lived intangible assets. We performed an interim assessment as of March 28, 2020 and determined that the fair values of our identified reporting units all exceeded their carrying values and concluded there was no impairment of goodwill within our reporting units. Anticipated delays in customer adoption of certain new products under development as a result of the COVID-19 pandemic, changes to future project roadmap and an increase in the discount rate used in developing our interim fair value estimate resulted in a $3.9 million impairment to IPR&amp;D as the carrying value exceeded fair value. During the third quarter of 2020, we became aware of additional delays in customer adoption of certain new products under development as a result of the COVID-19 pandemic and customer product road map changes. This change in facts led us to re-evaluate the fair value of these projects and we determined that the carrying value exceeded the fair value, and we recorded an additional $7.3 million impairment to IPR&amp;D. For the twelve months ended December 26, 2020, total impairments recorded to IPR&amp;D projects was $11.2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facilities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part of our previously announced Xcerra integration plan we implemented certain facility consolidation actions. During 2020 we completed the sales of our facilities located in Rosenheim, Germany and Penang, Malaysia resulting in a gain of $4.5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w:t>
      </w:r>
    </w:p>
    <w:p>
      <w:pPr>
        <w:spacing w:after="0" w:line="22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Interest expense was $13.8 million in 2020 compared to $20.6 million in 2019. The year-over-year decrease in our interest expense resulted from a significant decrease in LIBOR and the reduction in the outstanding principal under our Term Loan B debt associated with the financing of the Xcerra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$0.2 million in 2020 as compared to $0.8 million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Transaction Gain (Loss) and Other</w:t>
      </w:r>
    </w:p>
    <w:p>
      <w:pPr>
        <w:sectPr>
          <w:pgSz w:w="11900" w:h="16838" w:orient="portrait"/>
          <w:cols w:equalWidth="0" w:num="1">
            <w:col w:w="11220"/>
          </w:cols>
          <w:pgMar w:left="320" w:top="341" w:right="359" w:bottom="146" w:gutter="0" w:footer="0" w:header="0"/>
        </w:sectPr>
      </w:pPr>
    </w:p>
    <w:bookmarkStart w:id="27" w:name="page28"/>
    <w:bookmarkEnd w:id="27"/>
    <w:p>
      <w:pPr>
        <w:ind w:right="80"/>
        <w:spacing w:after="0" w:line="275" w:lineRule="auto"/>
        <w:rPr>
          <w:sz w:val="20"/>
          <w:szCs w:val="20"/>
          <w:color w:val="auto"/>
        </w:rPr>
      </w:pPr>
      <w:r>
        <w:rPr>
          <w:rFonts w:ascii="Arial" w:cs="Arial" w:eastAsia="Arial" w:hAnsi="Arial"/>
          <w:sz w:val="17"/>
          <w:szCs w:val="17"/>
          <w:color w:val="auto"/>
        </w:rPr>
        <w:t>We have operations in foreign countries and conduct business in the local currency in these countries. During 2020, the U.S. Dollar weakened significantly against the Swiss Franc and Euro, which resulted in the recognition of $3.2 million in foreign currency losses, net of $0.8 million of gains generated by foreign currency forward contracts. During the fourth quarter of 2020, we began entering into foreign currency forward contracts to hedge against future movements in foreign exchange rates that affect certain U.S. Dollar denominated assets and liabilities at our subsidiaries whose functional currency is the local currency. In 2019, we incurred an insignificant foreign currency transaction gain for the year.</w:t>
      </w:r>
    </w:p>
    <w:p>
      <w:pPr>
        <w:spacing w:after="0" w:line="1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Note 8 “Derivative Financial Instruments” in Part IV, Item 15(a) of this Form 10-K for additional information with respect to our foreign currency forward contracts.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(benefit) expressed as a percentage of pre-tax income or loss in 2020 and 2019 was 5.1% and (4.3)%, respectively. The income tax provision (benefit) for the years ended December 26, 2020, and December 28, 2019 differs from the U.S. federal statutory rate primarily due to changes in the valuation allowance on our deferred tax assets, foreign income taxed at different rates, releases from statute expirations, impact of the Tax Act and other factors.</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 A significant negative factor in our assessment was Cohu’s three-year cumulative loss history at the end of various fiscal periods including 2020.</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2020, we were unable to conclude that it was “more likely than not” that our U.S. DTAs would be realized. We will evaluate the realizability of our DTAs at the end of each quarterly reporting period in 2021 and, should circumstances change, it is possible an additional valuation allowance will be recorded or the remaining valuation allowance, or a portion thereof, will be reversed in a future period.</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valuation allowance on our DTAs at December 26, 2020, and December 28, 2019, was approximately $86.1 million and $93.5 million, respectively. The remaining gross DTAs for which a valuation allowance was not recorded are realizable primarily through future reversals of existing taxable temporary differences and to a lesser extent future taxable income exclusive of reversing temporary differences and carryforwards.</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by our non-U.S. subsidiaries were not a source of taxable income in assessing the realization of our DTAs in the U.S.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9, “Income Taxes”, included in Part IV, Item 15(a) of this Form 10-K,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 and Net Loss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a result of the factors set forth above, our net loss from continuing operations and net loss was $13.8 million in 2020. Net loss from continuing operations was $69.0 million in 2019 and, including the results of our discontinued operations which includes an impairment related to the disposal of our FSG segment, our net loss was $69.7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8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1, 2018, we entered into a bank credit agreement which provides for a $350.0 million seven-year Term Loan B facility and borrowed the full amount. The Term Loan B facility matures on October 1, 2025. These proceeds were used on October 1, 2018, together with our cash and cash equivalents, to finance the acquisition of Xcerra. See Note 4 “Borrowings and Credit Agreements” included in Part IV, Item 15(a) of this Form 10-K, which is incorporated herein by reference.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December 26, 2020, our total indebtedness, net of discount and deferred financing costs, was $319.9 million, which included $301.1 million outstanding under the Term Loan B, $3.6 million outstanding under Kita’s term loans, $9.9 million outstanding under Cohu GmbH’s construction loans, and $5.3 million outstanding under Kita’s lines of credit.</w:t>
      </w:r>
    </w:p>
    <w:p>
      <w:pPr>
        <w:sectPr>
          <w:pgSz w:w="11900" w:h="16838" w:orient="portrait"/>
          <w:cols w:equalWidth="0" w:num="1">
            <w:col w:w="11240"/>
          </w:cols>
          <w:pgMar w:left="320" w:top="125" w:right="339" w:bottom="78" w:gutter="0" w:footer="0" w:header="0"/>
        </w:sectPr>
      </w:pPr>
    </w:p>
    <w:bookmarkStart w:id="28" w:name="page29"/>
    <w:bookmarkEnd w:id="28"/>
    <w:p>
      <w:pPr>
        <w:ind w:right="40"/>
        <w:spacing w:after="0" w:line="291" w:lineRule="auto"/>
        <w:rPr>
          <w:sz w:val="20"/>
          <w:szCs w:val="20"/>
          <w:color w:val="auto"/>
        </w:rPr>
      </w:pPr>
      <w:r>
        <w:rPr>
          <w:rFonts w:ascii="Arial" w:cs="Arial" w:eastAsia="Arial" w:hAnsi="Arial"/>
          <w:sz w:val="16"/>
          <w:szCs w:val="16"/>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 A discussion of cash flows for the year ended December 29, 2018 has been omitted from this Annual Report on Form 10-K, but may be found in “Item 7. Management’s Discussion and Analysis of Financial Condition and Results of Operations,” under the heading “Liquidity and Capital Resources” in our Annual Report on Form 10-K for the year ended December 28, 2019, filed with the SEC on March 10, 2020, which discussion is incorporated herein by reference and which is available free of charge on the SEC’s website at 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26, 2020 and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 2019:</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Percentage</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8"/>
              </w:rPr>
              <w:t>Increase</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Change</w:t>
            </w: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13,929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310,593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290,811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19,782</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8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As of December 26, 2020, $74.4 million of our cash, cash equivalents and short-term investments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 Beginning in 2018, earnings realized in foreign jurisdictions are subject to U.S. taxes in accordance with the Tax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provided by operating activities consists of our net loss adjusted for non-cash expenses and changes in operating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These adjustments include impairment charges, depreciation expense on property, plant and equipment, share-based compensation expense, amortization of intangible assets, deferred income taxes, amortization of cloud-based software implementation costs, gain on extinguishment of debt, interest capitalized associated with cloud computing implementation, amortization of debt discounts and issuance costs and gains from sale of property, plant and equipment. Our net cash flows provided by operating activities in 2020 totaled $49.7 million compared to $17.3 million in 2019. The increase in cash provided by operating activities in the current year was a result of an increase in current year net sales and the decrease in our net loss, but was also impacted by changes in current assets and liabilities which included increases in accounts receivable, inventory and accounts payable. A significant increase in net sales in the fourth quarter of 2020 and the timing of the resulting cash conversion cycle drove the $20.2 million increase in accounts receivable. The $15.0 million increase in inventory was driven by purchases from suppliers made to fulfill anticipated future shipments of products. Increased business activities in the fourth quarter and the timing of payments to our suppliers resulted in the $15.1 million increase in accounts payable. Cash provided by operating activities was also impacted by increases in accrued compensation, warranty and other liabilities which increased $4.7 million, driven primarily by increases in incentive compensation due to current year results. Advance payments from customers related to equipment orders expected to be fulfilled during 2021 has resulted in a $2.2 million increase in customer advances. Income taxes payable decreased $2.1 million a result of tax payments made in certain foreign jurisdictions.</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Investing cash flows consist primarily of cash used for capital expenditures in support of our business, purchases of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proceeds from investment maturities, business acquisitions, asset disposals and business divestitures. Our net cash used in investing activities in 2020 totaled $18.4 million. Additions to property, plant and equipment in 2020 were $18.7 million and were made to support the operating and development activities of our Semiconductor Test &amp; Inspection segment. During 2020 we used $19.7 million in cash for purchases of short-term investments. We invest our excess cash, in an attempt to seek the highest available return while preserving capital, in short-term investments since excess cash may be required for a business-related purpose. During 2020 we generated cash totaling $17.0 million from the sale of land, buildings, and fixed assets as part of facility consolidation program and $3.0 million from the sale of our fixtures services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In fiscal 2020, our cash used in financing activities totaled $38.1 million. During 2020, we paid dividends totaling $5.0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$0.06 per common share. As a result of the COVID-19 pandemic, we are proactively managing cash flow and Cohu’s Board of Directors authorized suspending our quarterly cash dividend indefinitely, as of May 5, 2020. The dividend suspension will result in approximately $10 million of annualized cash savings, which we expect to utilize for deleveraging and strengthening our balance sheet. Repayments of short-term borrowings and long-term debt during fiscal 2020 totaled $41.1 million and included a $35.4 million repurchase and retirement of our Term Loan B debt during the third and fourth quarters of 2020 made to deleverage our balance sheet. We received proceeds under a revolving line of credit and construction loan totaling $5.9 million. Proceeds from the construction loan are being used to expand our facility in Kolbermoor, Germany, enabling us to consolidate the German operations of our Semiconductor Test &amp; Inspection segment. Proceeds from the revolving line of credit are being used to increase the manufacturing capacity of our Semiconductor Test &amp; Inspection segment facility located in Osaka, Japan. Net proceeds from the issuance of our common stock under our equity incentive and employee stock purchase plans, totaled $2.1 million during 2020. We issue share-based awards and maintain an employee stock purchase plan as components of our overall employee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access to credit facilitates and other borrowings provided by financial institutions to finance acquisitions, capital expenditures and our operations if needed. A summary of our borrowings and available credit is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2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On October 1, 2018, we entered into a Credit Agreement providing for a $350.0 million Credit Facility and borrowed the full amount to finance a portion of the Xcerra acquisition. Loans under the Credit Facility amortize in equal quarterly installments of 0.25% of the original principal amount, with the balance payable at maturity. All outstanding principal and interest in respect of the Credit Facility must be repaid on or before October 1, 2025. The loans under the Term Loan Facility bear interest, at Cohu’s option, at a floating annual rate equal to LIBOR plus a margin of 3.00%. At December 26, 2020, the outstanding loan balance, net of discount and deferred financing costs, was $301.1 million and $2.4 million of the outstanding balance is presented as</w:t>
      </w:r>
    </w:p>
    <w:p>
      <w:pPr>
        <w:sectPr>
          <w:pgSz w:w="11900" w:h="16838" w:orient="portrait"/>
          <w:cols w:equalWidth="0" w:num="1">
            <w:col w:w="11220"/>
          </w:cols>
          <w:pgMar w:left="320" w:top="125" w:right="359" w:bottom="0" w:gutter="0" w:footer="0" w:header="0"/>
        </w:sectPr>
      </w:pPr>
    </w:p>
    <w:bookmarkStart w:id="29" w:name="page30"/>
    <w:bookmarkEnd w:id="29"/>
    <w:p>
      <w:pPr>
        <w:ind w:right="20"/>
        <w:spacing w:after="0" w:line="263" w:lineRule="auto"/>
        <w:rPr>
          <w:sz w:val="20"/>
          <w:szCs w:val="20"/>
          <w:color w:val="auto"/>
        </w:rPr>
      </w:pPr>
      <w:r>
        <w:rPr>
          <w:rFonts w:ascii="Arial" w:cs="Arial" w:eastAsia="Arial" w:hAnsi="Arial"/>
          <w:sz w:val="18"/>
          <w:szCs w:val="18"/>
          <w:color w:val="auto"/>
        </w:rPr>
        <w:t>current installments of long-term debt in our consolidated balance sheets. At December 28, 2019, the outstanding loan balance, net of discount and deferred financing costs, was $339.1 million and $2.3 million of the outstanding balance is presented as current installments of long-term debt in our consolidated balance sheets.</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the terms of the Credit Agreement, the lender may accelerate the payment terms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December 26, 2020, we believe no such events of default have occurred.</w:t>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second half of 2020, we repurchased $36.4 million in principal of our Term Loan Facility for $35.4 million in cash. We accounted for the repurchase as a debt extinguishment, which resulted in a gain of $0.3 million reflected in other expense, net, in our consolidated statement of operations, as well as a $0.7 million reduction in debt discounts and deferred financing costs in our consolidated balance sheets. After the repurchase, approximately $306.6 million in principal of the Term Loan Facility remains outstanding as of December 26,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result of our acquisition of Kita, we assumed term loans from a series of Japanese financial institutions primarily related to the expansion of Kita’s facility in Osaka, Japan. The loans are collateralized by the facility and land, carry interest rates ranging from 0.05% to 0.44%, and expire at various dates through 2034. At December 26, 2020, the outstanding loan balance was $3.6 million and $0.3 million of the outstanding balance is presented as current installments of long-term debt in our consolidated balance sheets. At December 28, 2019, the outstanding loan balance was $3.8 million and $0.4 million of the outstanding balance is presented as current installments of long-term debt in our consolidated balance sheets. The term loans are denominated in Japanese Yen and, as a result, amounts disclosed herein will fluctuate because of changes in currency exchange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Xcerra Term Loan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our acquisition of Xcerra, we assumed a term loan related to the purchase of Xcerra’s facility in Rosenheim, Germany. The loan was payable over 10 years at an annual interest rate of 2.35%. Principal plus accrued interest was due quarterly over the duration of the term loan ending in March 2024. At December 28, 2019, the outstanding loan balance was $1.5 million and $0.3 million of the outstanding balance is presented as current installments of long-term debt in our consolidated balance sheets. During the third quarter of 2020 the term loan was fully repaid using proceeds received from the sale of our facility located in Rosenheim, Germany.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Construction Loans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July 26, 2019, one of our wholly owned subsidiaries located in Germany entered into two construction loans (“Loan Facilities”) with a German financial institution providing total borrowing of €8.6 million. The Loan Facilities have 10-year and 15-year terms, which commenced on August 1, 2019, the initial draw-down date. Additionally, on June 16, 2020, a third construction loan with the same financial institution was entered into providing total borrowing of €1.5 million. This loan facility has a 10-year term, which has not commenced. The Loan Facilities are being utilized to finance the expansion of our facility in Kolbermoor, Germany, enabling us to combine the operations of multiple subsidiaries in one location as part of our previously announced strategic restructuring program. The Loan Facilities are secured by the land and the existing building on the site and bear interest at agreed upon rates based on separate €3.4 million, €5.2 million and €1.5 million facility amounts.</w:t>
      </w:r>
    </w:p>
    <w:p>
      <w:pPr>
        <w:spacing w:after="0" w:line="17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August 1, 2019, the full €3.4 million was drawn under the first facility, which is payable over 10 years at an annual interest rate of 0.8%. Interest only payments are required to be made each quarter starting in September 2019 with principal and interest payments due each quarter starting in the month of December 2021. Principal repayments will be made over 8 years starting at the end of 2021.</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Through December 26, 2020, we drew €4.9 million under the second facility, which is payable over 15 years at an annual interest rate of 1.05%. Interest only payments are required to be made each month starting in December 2019 with principal and interest payments due each month starting in the month of May 2020. Principal repayments will be made over 15 years starting at the end of May 2020. As of December 26, 2020, €0.3 million had not been drawn under the second facility.</w:t>
      </w:r>
    </w:p>
    <w:p>
      <w:pPr>
        <w:spacing w:after="0" w:line="18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Through December 26, 2020, no amounts have been drawn under the third facility. Future amounts, if drawn, will be payable over 10 years at an annual interest rate of 1.2%. Interest payments are required to be made each month starting in the month following the first draw-down date with principal and interest payments due each month starting in the month of May 2021. Principal repayments will be made over 10 years starting at the end of May 2021.</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26, 2020 and December 28, 2019, total outstanding borrowings under the Loan Facilities was $9.9 million and $5.5 million with $0.4 million and $0.3 million of the total outstanding balance being presented as current installments of long-term debt in our consolidated balance sheets based on contractual due dates, respectively. The loans are denominated in Euros and, as a result, amounts disclosed herein will fluctuate because of changes in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$9.3 million. At December 26, 2020, total borrowings outstanding under the revolving lines of credit were $5.3 million. As these credit facility agreements renew monthly, they have been included in short-term borrowings in our consolidated balance sheets.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ectPr>
          <w:pgSz w:w="11900" w:h="16838" w:orient="portrait"/>
          <w:cols w:equalWidth="0" w:num="1">
            <w:col w:w="11240"/>
          </w:cols>
          <w:pgMar w:left="320" w:top="125" w:right="33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0" w:name="page31"/>
    <w:bookmarkEnd w:id="30"/>
    <w:p>
      <w:pPr>
        <w:spacing w:after="0" w:line="10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Our wholly owned Ismeca subsidiary has one available line of credit which provides it with borrowings of up to a total of 2.0 million Swiss Francs, a portion of which is reserved for tax guarantees. At December 26, 2020 and December 28, 2019, no amounts were outstanding under this line of credit.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December 26, 2020, $0.8 million was outstanding under standby letters of credit and bank guarantees.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summarizes our significant contractual obligations at December 26, 2020, and the effect such obligations are expected to have on our liquidity and cash flows in future periods. Amounts excluded include our liability for unrecognized tax benefits that totaled approximately $33.7 million at December 26, 2020. We are currently unable to provide a reasonably reliable estimate of the amount or period(s) the cash settlement of this liability may occur.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year-end</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2022-2023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2024-2025</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Thereafter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4"/>
                <w:szCs w:val="24"/>
                <w:color w:val="auto"/>
                <w:vertAlign w:val="superscript"/>
              </w:rPr>
              <w:t>(1)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39,635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7"/>
              </w:rPr>
              <w:t>Bank term loans principal and interest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367,572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316,167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5,314</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5,314</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412,922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26,703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40,781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325,361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20,077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 insignificant amount of short-term lease obligations.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13, “Guarantees” in Part IV, Item 15(a) of this Form 10-K.</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time-to-time, we enter into commitments with our vendors and outsourcing partners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Off-Balance Sheet Arrangements. </w:t>
      </w:r>
      <w:r>
        <w:rPr>
          <w:rFonts w:ascii="Arial" w:cs="Arial" w:eastAsia="Arial" w:hAnsi="Arial"/>
          <w:sz w:val="16"/>
          <w:szCs w:val="16"/>
          <w:color w:val="auto"/>
        </w:rPr>
        <w:t>During the ordinary course of business, we provide standby letters of credit instruments to certain parties as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26, 2020, $0.8 million was outstanding under standby letters of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At December 26, 2020, our investment portfolio included short-term, fixed-income investment securities with a fair value of approximately $20.7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26, 2020, the cost and fair value of investments with loss positions were approximately $8.7 million. We evaluated the nature of these investments, credit worthiness of the issuer and the duration of these impairments and concluded that these losses were temporary and we have the ability and intent to hold these investments to maturity.</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long-term debt is carried at amortized cost and fluctuations in interest rates do not impact our consolidated financial statements. However, the fair value of our debt will generally fluctuate with movements of interest rates, increasing in periods of declining rates of interest and declining in periods of increasing rates of interest. As of December 26, 2020, we have approximately $306.6 million of long-term debt due under a credit facility that is subject to quarterly interest payments that are based on either a base rate plus a margin of up to 2.0% per annum, or the London Interbank Offered Rate (LIBOR) plus a margin of up to 3.0% per annum. The selection of the interest rate formula is at our discretion. The interest rate otherwise payable under the credit facility will be subject to increase by 2.0% per annum during the continuance of a payment default and may be subject to increase by 2.0% per annum with respect to the overdue principal amount of any loans outstanding and overdue interest payments and other overdue fees and amounts. At December 26, 2020, the interest rate in effect on these borrowings was 3.15%.</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July 2017, the UK’s Financial Conduct Authority, which regulates the LIBOR, announced that it intends to phase out LIBOR by the end of 2021. After 2021, it is unclear whether banks will continue to provide LIBOR submissions to the administrator of LIBOR, and no consensus currently exists as to what</w:t>
      </w:r>
    </w:p>
    <w:p>
      <w:pPr>
        <w:sectPr>
          <w:pgSz w:w="11900" w:h="16942" w:orient="portrait"/>
          <w:cols w:equalWidth="0" w:num="1">
            <w:col w:w="11220"/>
          </w:cols>
          <w:pgMar w:left="320" w:top="125" w:right="359" w:bottom="0" w:gutter="0" w:footer="0" w:header="0"/>
        </w:sectPr>
      </w:pPr>
    </w:p>
    <w:bookmarkStart w:id="31" w:name="page32"/>
    <w:bookmarkEnd w:id="31"/>
    <w:p>
      <w:pPr>
        <w:ind w:right="20"/>
        <w:spacing w:after="0" w:line="291" w:lineRule="auto"/>
        <w:rPr>
          <w:sz w:val="20"/>
          <w:szCs w:val="20"/>
          <w:color w:val="auto"/>
        </w:rPr>
      </w:pPr>
      <w:r>
        <w:rPr>
          <w:rFonts w:ascii="Arial" w:cs="Arial" w:eastAsia="Arial" w:hAnsi="Arial"/>
          <w:sz w:val="16"/>
          <w:szCs w:val="16"/>
          <w:color w:val="auto"/>
        </w:rPr>
        <w:t>benchmark rate or rates may become accepted alternatives to LIBOR. In the United States, efforts to identify a set of alternative U.S. dollar reference interest rates include proposals by the Alternative Reference Rates Committee that has been convened by the Federal Reserve Board and the Federal Reserve Bank of New York. We cannot currently predict the effect of the discontinuation of, or other changes to, LIBOR or any establishment of alternative reference rates in the United States, the European Union or elsewhere in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Our Term Loan B facility constitutes our most significant exposure to this transition and there is no guarantee that a shift from LIBOR to a new reference rate will not result in increases to our borrowing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fourth quarter of 2020, we began entering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income. As a result of fluctuations in certain foreign currency exchange rates in relation to the U.S. Dollar as of December 26, 2020 compared to December 28, 2019, our stockholders’ equity increased by $27.3 million as a result of the foreign currency translation.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Based upon the current levels of net foreign assets, a hypothetical 10% devaluation of the U.S. dollar as compared to these currencies as of December 26, 2020 would result in an approximate $38.6 million positive translation adjustment recorded in other comprehensive income within stockholders’ equity. Conversely, a hypothetical 10% appreciation of the U.S. dollar as compared to these currencies as of December 26, 2020 would result in an approximate $38.6 million negative translation adjustment recorded in other comprehensive income within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26, 2020, the end of the period covered by this annual report.</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During the three months ended December 26, 2020, certain of our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implemented an integrated finance/accounting and manufacturing software system. The implementations involved changes in systems that included internal controls, and accordingly, these changes have required changes to our system of internal controls.</w:t>
      </w:r>
    </w:p>
    <w:p>
      <w:pPr>
        <w:spacing w:after="0" w:line="180"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We reviewed the systems as they were being implemented and the controls affected by the implementation of the new systems and made appropriate changes to affected internal controls during the implementation process. We believe that the controls as modified are appropriate and functioning effectively. This change was not in response to any identified deficiency or weakness in our internal control over financial reporting.</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than those described above, there have been no changes in our internal control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color w:val="auto"/>
        </w:rPr>
        <w:t xml:space="preserve">Management’s Annual Report on Internal Control Over Financial Reporting - </w:t>
      </w:r>
      <w:r>
        <w:rPr>
          <w:rFonts w:ascii="Arial" w:cs="Arial" w:eastAsia="Arial" w:hAnsi="Arial"/>
          <w:sz w:val="16"/>
          <w:szCs w:val="16"/>
          <w:color w:val="auto"/>
        </w:rPr>
        <w:t>Our management is responsible for establishing and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Based on our evaluation under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our management concluded that our internal control over financial reporting was effective as of December 26, 2020.</w:t>
      </w:r>
    </w:p>
    <w:p>
      <w:pPr>
        <w:spacing w:after="0" w:line="16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26, 2020, as stated in their report which is included herein.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audited Cohu, Inc.’s internal control over financial reporting as of December 26, 2020, based on criteria established in Internal Control— Integrated Framework issued by the Committee of Sponsoring Organizations of the Treadway Commission (2013 framework) (the COSO criteria). In our opinion, Cohu, Inc. (the Company) maintained, in all material respects, effective internal control over financial reporting as of December 26, 2020, based on the COSO criteria.</w:t>
      </w:r>
    </w:p>
    <w:p>
      <w:pPr>
        <w:spacing w:after="0" w:line="18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26, 2020 and December 28, 2019, and the related consolidated statements of operations, comprehensive income (loss), stockholders’ equity, and cash flows for each of the three years in the period ended December 26, 2020, and the related notes and the financial statement schedule listed in the Index at Item 15(a) and our report dated February 26, 2021,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Cohu’s definitive proxy statement, which will be filed with the Securities and Exchange Commission (SEC) within 120 days after the close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Cohu has adopted Corporate Governance Guidelines as well as charters for its Audit, Compensation and Nominating and Governance Committees. These documents are available on the Investor Relations section of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ectPr>
          <w:pgSz w:w="11900" w:h="16838" w:orient="portrait"/>
          <w:cols w:equalWidth="0" w:num="1">
            <w:col w:w="11240"/>
          </w:cols>
          <w:pgMar w:left="320" w:top="121" w:right="339" w:bottom="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Cohu’s definitive proxy statement, which will be filed with the SEC within 120 days after the close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Information regarding Security Ownership of Certain Beneficial Owners and Management and Related Stockholder Matters is hereby incorporated by reference to Cohu’s definitive proxy statement, which will be filed with the SEC within 120 days after the close of fiscal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Cohu’s definitive proxy statement, which will be filed with the SEC within 120 days after the close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Cohu’s definitive proxy statement, which will be filed with the SEC within 120 days after the close of fiscal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ind w:left="660" w:firstLine="324"/>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46:</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Form 10-K</w:t>
            </w:r>
          </w:p>
        </w:tc>
      </w:tr>
      <w:tr>
        <w:trPr>
          <w:trHeight w:val="391"/>
        </w:trPr>
        <w:tc>
          <w:tcPr>
            <w:tcW w:w="640" w:type="dxa"/>
            <w:vAlign w:val="bottom"/>
          </w:tcPr>
          <w:p>
            <w:pPr>
              <w:spacing w:after="0"/>
              <w:rPr>
                <w:sz w:val="24"/>
                <w:szCs w:val="2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Description</w:t>
            </w:r>
          </w:p>
        </w:tc>
        <w:tc>
          <w:tcPr>
            <w:tcW w:w="7080" w:type="dxa"/>
            <w:vAlign w:val="bottom"/>
            <w:gridSpan w:val="4"/>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Page Number</w:t>
            </w:r>
          </w:p>
        </w:tc>
      </w:tr>
      <w:tr>
        <w:trPr>
          <w:trHeight w:val="453"/>
        </w:trPr>
        <w:tc>
          <w:tcPr>
            <w:tcW w:w="640" w:type="dxa"/>
            <w:vAlign w:val="bottom"/>
          </w:tcPr>
          <w:p>
            <w:pPr>
              <w:spacing w:after="0"/>
              <w:rPr>
                <w:sz w:val="24"/>
                <w:szCs w:val="24"/>
                <w:color w:val="auto"/>
              </w:rPr>
            </w:pPr>
          </w:p>
        </w:tc>
        <w:tc>
          <w:tcPr>
            <w:tcW w:w="792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Balance Sheets at December 26, 2020 and December 28, 2019</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32"/>
        </w:trPr>
        <w:tc>
          <w:tcPr>
            <w:tcW w:w="640" w:type="dxa"/>
            <w:vAlign w:val="bottom"/>
          </w:tcPr>
          <w:p>
            <w:pPr>
              <w:spacing w:after="0"/>
              <w:rPr>
                <w:sz w:val="24"/>
                <w:szCs w:val="24"/>
                <w:color w:val="auto"/>
              </w:rPr>
            </w:pPr>
          </w:p>
        </w:tc>
        <w:tc>
          <w:tcPr>
            <w:tcW w:w="7920" w:type="dxa"/>
            <w:vAlign w:val="bottom"/>
            <w:gridSpan w:val="7"/>
          </w:tcPr>
          <w:p>
            <w:pPr>
              <w:spacing w:after="0"/>
              <w:rPr>
                <w:rFonts w:ascii="Arial" w:cs="Arial" w:eastAsia="Arial" w:hAnsi="Arial"/>
                <w:sz w:val="18"/>
                <w:szCs w:val="18"/>
                <w:u w:val="single" w:color="auto"/>
                <w:color w:val="0000EE"/>
                <w:w w:val="92"/>
              </w:rPr>
            </w:pPr>
            <w:hyperlink w:anchor="page35">
              <w:r>
                <w:rPr>
                  <w:rFonts w:ascii="Arial" w:cs="Arial" w:eastAsia="Arial" w:hAnsi="Arial"/>
                  <w:sz w:val="18"/>
                  <w:szCs w:val="18"/>
                  <w:u w:val="single" w:color="auto"/>
                  <w:color w:val="0000EE"/>
                  <w:w w:val="92"/>
                </w:rPr>
                <w:t>Consolidated Statements of Operations for each of the three years in the period ended December 26, 2020</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391"/>
        </w:trPr>
        <w:tc>
          <w:tcPr>
            <w:tcW w:w="640" w:type="dxa"/>
            <w:vAlign w:val="bottom"/>
          </w:tcPr>
          <w:p>
            <w:pPr>
              <w:spacing w:after="0"/>
              <w:rPr>
                <w:sz w:val="24"/>
                <w:szCs w:val="24"/>
                <w:color w:val="auto"/>
              </w:rPr>
            </w:pPr>
          </w:p>
        </w:tc>
        <w:tc>
          <w:tcPr>
            <w:tcW w:w="7920" w:type="dxa"/>
            <w:vAlign w:val="bottom"/>
            <w:gridSpan w:val="7"/>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Consolidated Statements of Comprehensive Income (Loss) for each of the three years in the period ended</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196"/>
        </w:trPr>
        <w:tc>
          <w:tcPr>
            <w:tcW w:w="6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December 26, 2020</w:t>
              </w:r>
            </w:hyperlink>
          </w:p>
        </w:tc>
        <w:tc>
          <w:tcPr>
            <w:tcW w:w="6000" w:type="dxa"/>
            <w:vAlign w:val="bottom"/>
            <w:tcBorders>
              <w:top w:val="single" w:sz="8" w:color="0000EE"/>
            </w:tcBorders>
          </w:tcPr>
          <w:p>
            <w:pPr>
              <w:spacing w:after="0"/>
              <w:rPr>
                <w:sz w:val="17"/>
                <w:szCs w:val="17"/>
                <w:color w:val="auto"/>
              </w:rPr>
            </w:pPr>
          </w:p>
        </w:tc>
        <w:tc>
          <w:tcPr>
            <w:tcW w:w="3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640" w:type="dxa"/>
            <w:vAlign w:val="bottom"/>
          </w:tcPr>
          <w:p>
            <w:pPr>
              <w:spacing w:after="0"/>
              <w:rPr>
                <w:sz w:val="24"/>
                <w:szCs w:val="24"/>
                <w:color w:val="auto"/>
              </w:rPr>
            </w:pPr>
          </w:p>
        </w:tc>
        <w:tc>
          <w:tcPr>
            <w:tcW w:w="76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Stockholders’ Equity for each of the three years in the period ended December</w:t>
              </w:r>
            </w:hyperlink>
          </w:p>
        </w:tc>
        <w:tc>
          <w:tcPr>
            <w:tcW w:w="2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196"/>
        </w:trPr>
        <w:tc>
          <w:tcPr>
            <w:tcW w:w="800" w:type="dxa"/>
            <w:vAlign w:val="bottom"/>
            <w:gridSpan w:val="2"/>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26, 2020</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3"/>
        </w:trPr>
        <w:tc>
          <w:tcPr>
            <w:tcW w:w="640" w:type="dxa"/>
            <w:vAlign w:val="bottom"/>
          </w:tcPr>
          <w:p>
            <w:pPr>
              <w:spacing w:after="0"/>
              <w:rPr>
                <w:sz w:val="24"/>
                <w:szCs w:val="24"/>
                <w:color w:val="auto"/>
              </w:rPr>
            </w:pPr>
          </w:p>
        </w:tc>
        <w:tc>
          <w:tcPr>
            <w:tcW w:w="7920" w:type="dxa"/>
            <w:vAlign w:val="bottom"/>
            <w:gridSpan w:val="7"/>
          </w:tcPr>
          <w:p>
            <w:pPr>
              <w:spacing w:after="0"/>
              <w:rPr>
                <w:rFonts w:ascii="Arial" w:cs="Arial" w:eastAsia="Arial" w:hAnsi="Arial"/>
                <w:sz w:val="18"/>
                <w:szCs w:val="18"/>
                <w:u w:val="single" w:color="auto"/>
                <w:color w:val="0000EE"/>
                <w:w w:val="92"/>
              </w:rPr>
            </w:pPr>
            <w:hyperlink w:anchor="page37">
              <w:r>
                <w:rPr>
                  <w:rFonts w:ascii="Arial" w:cs="Arial" w:eastAsia="Arial" w:hAnsi="Arial"/>
                  <w:sz w:val="18"/>
                  <w:szCs w:val="18"/>
                  <w:u w:val="single" w:color="auto"/>
                  <w:color w:val="0000EE"/>
                  <w:w w:val="92"/>
                </w:rPr>
                <w:t>Consolidated Statements of Cash Flows for each of the three years in the period ended December 26, 2020</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32"/>
        </w:trPr>
        <w:tc>
          <w:tcPr>
            <w:tcW w:w="640" w:type="dxa"/>
            <w:vAlign w:val="bottom"/>
          </w:tcPr>
          <w:p>
            <w:pPr>
              <w:spacing w:after="0"/>
              <w:rPr>
                <w:sz w:val="24"/>
                <w:szCs w:val="24"/>
                <w:color w:val="auto"/>
              </w:rPr>
            </w:pPr>
          </w:p>
        </w:tc>
        <w:tc>
          <w:tcPr>
            <w:tcW w:w="7920" w:type="dxa"/>
            <w:vAlign w:val="bottom"/>
            <w:gridSpan w:val="7"/>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Notes to Consolidated Financial Statements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32"/>
        </w:trPr>
        <w:tc>
          <w:tcPr>
            <w:tcW w:w="640" w:type="dxa"/>
            <w:vAlign w:val="bottom"/>
          </w:tcPr>
          <w:p>
            <w:pPr>
              <w:spacing w:after="0"/>
              <w:rPr>
                <w:sz w:val="24"/>
                <w:szCs w:val="24"/>
                <w:color w:val="auto"/>
              </w:rPr>
            </w:pPr>
          </w:p>
        </w:tc>
        <w:tc>
          <w:tcPr>
            <w:tcW w:w="7920" w:type="dxa"/>
            <w:vAlign w:val="bottom"/>
            <w:gridSpan w:val="7"/>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Report of Independent Registered Public Accounting Firm</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32"/>
        </w:trPr>
        <w:tc>
          <w:tcPr>
            <w:tcW w:w="8560" w:type="dxa"/>
            <w:vAlign w:val="bottom"/>
            <w:gridSpan w:val="8"/>
          </w:tcPr>
          <w:p>
            <w:pPr>
              <w:spacing w:after="0"/>
              <w:rPr>
                <w:sz w:val="20"/>
                <w:szCs w:val="20"/>
                <w:color w:val="auto"/>
              </w:rPr>
            </w:pPr>
            <w:r>
              <w:rPr>
                <w:rFonts w:ascii="Arial" w:cs="Arial" w:eastAsia="Arial" w:hAnsi="Arial"/>
                <w:sz w:val="18"/>
                <w:szCs w:val="18"/>
                <w:color w:val="auto"/>
              </w:rPr>
              <w:t>(2)  Financial Statement Schedule</w:t>
            </w:r>
          </w:p>
        </w:tc>
        <w:tc>
          <w:tcPr>
            <w:tcW w:w="980" w:type="dxa"/>
            <w:vAlign w:val="bottom"/>
          </w:tcPr>
          <w:p>
            <w:pPr>
              <w:spacing w:after="0"/>
              <w:rPr>
                <w:sz w:val="24"/>
                <w:szCs w:val="24"/>
                <w:color w:val="auto"/>
              </w:rPr>
            </w:pPr>
          </w:p>
        </w:tc>
      </w:tr>
      <w:tr>
        <w:trPr>
          <w:trHeight w:val="459"/>
        </w:trPr>
        <w:tc>
          <w:tcPr>
            <w:tcW w:w="640" w:type="dxa"/>
            <w:vAlign w:val="bottom"/>
          </w:tcPr>
          <w:p>
            <w:pPr>
              <w:spacing w:after="0"/>
              <w:rPr>
                <w:sz w:val="24"/>
                <w:szCs w:val="24"/>
                <w:color w:val="auto"/>
              </w:rPr>
            </w:pPr>
          </w:p>
        </w:tc>
        <w:tc>
          <w:tcPr>
            <w:tcW w:w="7920" w:type="dxa"/>
            <w:vAlign w:val="bottom"/>
            <w:gridSpan w:val="7"/>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Schedule II – Valuation and Qualifying Accounts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91</w:t>
            </w:r>
          </w:p>
        </w:tc>
      </w:tr>
    </w:tbl>
    <w:p>
      <w:pPr>
        <w:spacing w:after="0" w:line="202" w:lineRule="exact"/>
        <w:rPr>
          <w:sz w:val="20"/>
          <w:szCs w:val="20"/>
          <w:color w:val="auto"/>
        </w:rPr>
      </w:pPr>
    </w:p>
    <w:p>
      <w:pPr>
        <w:ind w:left="660" w:right="240" w:firstLine="324"/>
        <w:spacing w:after="0" w:line="263" w:lineRule="auto"/>
        <w:rPr>
          <w:sz w:val="20"/>
          <w:szCs w:val="20"/>
          <w:color w:val="auto"/>
        </w:rPr>
      </w:pPr>
      <w:r>
        <w:rPr>
          <w:rFonts w:ascii="Arial" w:cs="Arial" w:eastAsia="Arial" w:hAnsi="Arial"/>
          <w:sz w:val="18"/>
          <w:szCs w:val="18"/>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5" w:right="339" w:bottom="47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December 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December 28,</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149,358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155,194</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20,669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151,919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127,921</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142,500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130,706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17,483</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1,827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 (Note 14)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485,046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439,696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66,916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70,912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252,304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238,669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233,685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275,019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23,192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20,030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33,269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Noncurrent assets of discontinued operations (Note 14)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1,090,346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1,077,710</w:t>
            </w:r>
          </w:p>
        </w:tc>
        <w:tc>
          <w:tcPr>
            <w:tcW w:w="0" w:type="dxa"/>
            <w:vAlign w:val="bottom"/>
          </w:tcPr>
          <w:p>
            <w:pPr>
              <w:spacing w:after="0"/>
              <w:rPr>
                <w:sz w:val="1"/>
                <w:szCs w:val="1"/>
                <w:color w:val="auto"/>
              </w:rPr>
            </w:pPr>
          </w:p>
        </w:tc>
      </w:tr>
      <w:tr>
        <w:trPr>
          <w:trHeight w:val="197"/>
        </w:trPr>
        <w:tc>
          <w:tcPr>
            <w:tcW w:w="52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5,314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3,075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67,923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48,697</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Customer advances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14,410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34,862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Accrued warranty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6,066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8,671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3,857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39,739</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174,453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148,885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311,551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346,518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28,816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31,310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28,877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21,663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21,930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8,900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 (Note 14)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w w:val="93"/>
              </w:rPr>
              <w:t>Preferred stock, $1 par value; 1,000 shares authorized, none issued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60" w:type="dxa"/>
            <w:vAlign w:val="bottom"/>
            <w:gridSpan w:val="5"/>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$1 par value; 60,000 shares authorized, 42,190 shares issued and outstanding in 2020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41,395 shares in 2019</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42,190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41,395</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448,194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433,190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26,230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42,517</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(4,326)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(34,030)</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512,288</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1,090,346</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1,077,710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i w:val="1"/>
                <w:iCs w:val="1"/>
                <w:color w:val="auto"/>
                <w:w w:val="99"/>
              </w:rPr>
              <w:t>The accompanying notes are an integral part of these statements.</w:t>
            </w:r>
          </w:p>
        </w:tc>
        <w:tc>
          <w:tcPr>
            <w:tcW w:w="760" w:type="dxa"/>
            <w:vAlign w:val="bottom"/>
            <w:vMerge w:val="restart"/>
          </w:tcPr>
          <w:p>
            <w:pPr>
              <w:jc w:val="right"/>
              <w:ind w:right="230"/>
              <w:spacing w:after="0"/>
              <w:rPr>
                <w:sz w:val="20"/>
                <w:szCs w:val="20"/>
                <w:color w:val="auto"/>
              </w:rPr>
            </w:pPr>
            <w:r>
              <w:rPr>
                <w:rFonts w:ascii="Arial" w:cs="Arial" w:eastAsia="Arial" w:hAnsi="Arial"/>
                <w:sz w:val="18"/>
                <w:szCs w:val="18"/>
                <w:i w:val="1"/>
                <w:iCs w:val="1"/>
                <w:color w:val="auto"/>
              </w:rPr>
              <w:t>46</w:t>
            </w: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6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52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3"/>
        </w:trPr>
        <w:tc>
          <w:tcPr>
            <w:tcW w:w="5260" w:type="dxa"/>
            <w:vAlign w:val="bottom"/>
          </w:tcPr>
          <w:p>
            <w:pPr>
              <w:spacing w:after="0"/>
              <w:rPr>
                <w:sz w:val="20"/>
                <w:szCs w:val="20"/>
                <w:color w:val="auto"/>
              </w:rPr>
            </w:pPr>
            <w:r>
              <w:rPr>
                <w:rFonts w:ascii="Arial" w:cs="Arial" w:eastAsia="Arial" w:hAnsi="Arial"/>
                <w:sz w:val="18"/>
                <w:szCs w:val="18"/>
                <w:b w:val="1"/>
                <w:bCs w:val="1"/>
                <w:color w:val="auto"/>
              </w:rPr>
              <w:t>COHU, INC.</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86"/>
              </w:rPr>
              <w:t>Years ended</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December 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center"/>
              <w:ind w:right="440"/>
              <w:spacing w:after="0" w:line="195" w:lineRule="exact"/>
              <w:rPr>
                <w:sz w:val="20"/>
                <w:szCs w:val="20"/>
                <w:color w:val="auto"/>
              </w:rPr>
            </w:pPr>
            <w:r>
              <w:rPr>
                <w:rFonts w:ascii="Arial" w:cs="Arial" w:eastAsia="Arial" w:hAnsi="Arial"/>
                <w:sz w:val="18"/>
                <w:szCs w:val="18"/>
                <w:color w:val="auto"/>
                <w:w w:val="90"/>
              </w:rPr>
              <w:t>December 28,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3"/>
              </w:rPr>
              <w:t>December 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583,329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451,768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Cost and 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5"/>
                <w:szCs w:val="25"/>
                <w:color w:val="auto"/>
                <w:vertAlign w:val="superscript"/>
              </w:rPr>
              <w:t>(1)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353,500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-2039620</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86,151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86,147</w:t>
            </w:r>
          </w:p>
        </w:tc>
        <w:tc>
          <w:tcPr>
            <w:tcW w:w="5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56,434</w:t>
            </w: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129,248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142,936</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96,754</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38,746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39,590</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17,197</w:t>
            </w: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(Note 5)</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13,484</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18,704</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11,249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facilities</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632,747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635,657</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481,549</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(52,328)</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(29,781)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(expense) income:</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(20,556)</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(4,977)</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transaction gain (loss)</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taxes</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(72,077)</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(31,912)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(3,082)</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(13,843)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(68,995)</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(32,543)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(13,801)</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(69,692)</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(32,424)</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440" w:type="dxa"/>
            <w:vAlign w:val="bottom"/>
          </w:tcPr>
          <w:p>
            <w:pPr>
              <w:spacing w:after="0" w:line="196" w:lineRule="exact"/>
              <w:rPr>
                <w:sz w:val="20"/>
                <w:szCs w:val="20"/>
                <w:color w:val="auto"/>
              </w:rPr>
            </w:pPr>
            <w:r>
              <w:rPr>
                <w:rFonts w:ascii="Arial" w:cs="Arial" w:eastAsia="Arial" w:hAnsi="Arial"/>
                <w:sz w:val="18"/>
                <w:szCs w:val="18"/>
                <w:color w:val="auto"/>
              </w:rPr>
              <w:t>Net income (loss) attributable to noncontrolling interest</w:t>
            </w:r>
          </w:p>
        </w:tc>
        <w:tc>
          <w:tcPr>
            <w:tcW w:w="11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(243)</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Cohu</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(13,801)</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(69,700)</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(32,181)</w:t>
            </w:r>
          </w:p>
        </w:tc>
      </w:tr>
      <w:tr>
        <w:trPr>
          <w:trHeight w:val="196"/>
        </w:trPr>
        <w:tc>
          <w:tcPr>
            <w:tcW w:w="54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continuing operations before noncontrolling interest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noncontrolling interest</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0"/>
        </w:trPr>
        <w:tc>
          <w:tcPr>
            <w:tcW w:w="54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440" w:type="dxa"/>
            <w:vAlign w:val="bottom"/>
          </w:tcPr>
          <w:p>
            <w:pPr>
              <w:ind w:left="500"/>
              <w:spacing w:after="0"/>
              <w:rPr>
                <w:sz w:val="20"/>
                <w:szCs w:val="20"/>
                <w:color w:val="auto"/>
              </w:rPr>
            </w:pPr>
            <w:r>
              <w:rPr>
                <w:rFonts w:ascii="Arial" w:cs="Arial" w:eastAsia="Arial" w:hAnsi="Arial"/>
                <w:sz w:val="18"/>
                <w:szCs w:val="18"/>
                <w:color w:val="auto"/>
              </w:rPr>
              <w:t>Net loss attributable to Cohu</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continuing operations before noncontrolling interest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noncontrolling interest</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0"/>
        </w:trPr>
        <w:tc>
          <w:tcPr>
            <w:tcW w:w="54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440" w:type="dxa"/>
            <w:vAlign w:val="bottom"/>
          </w:tcPr>
          <w:p>
            <w:pPr>
              <w:ind w:left="500"/>
              <w:spacing w:after="0"/>
              <w:rPr>
                <w:sz w:val="20"/>
                <w:szCs w:val="20"/>
                <w:color w:val="auto"/>
              </w:rPr>
            </w:pPr>
            <w:r>
              <w:rPr>
                <w:rFonts w:ascii="Arial" w:cs="Arial" w:eastAsia="Arial" w:hAnsi="Arial"/>
                <w:sz w:val="18"/>
                <w:szCs w:val="18"/>
                <w:color w:val="auto"/>
              </w:rPr>
              <w:t>Net loss attributable to Cohu</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41,854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41,159</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31,776</w:t>
            </w: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41,854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41,159</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31,776</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right="42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amortization of $29,510, $30,126, and $13,586 for the years ended December 26, 2020, December 28, 2019, and December 29,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Years ended</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w w:val="93"/>
              </w:rPr>
              <w:t>December 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8"/>
              </w:rPr>
              <w:t>December 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3"/>
              </w:rPr>
              <w:t>December 29,</w:t>
            </w:r>
          </w:p>
        </w:tc>
        <w:tc>
          <w:tcPr>
            <w:tcW w:w="12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(69,692)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(32,424)</w:t>
            </w: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before noncontrolling interest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0"/>
        </w:trPr>
        <w:tc>
          <w:tcPr>
            <w:tcW w:w="6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Cohu</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(32,181)</w:t>
            </w:r>
          </w:p>
        </w:tc>
      </w:tr>
      <w:tr>
        <w:trPr>
          <w:trHeight w:val="196"/>
        </w:trPr>
        <w:tc>
          <w:tcPr>
            <w:tcW w:w="62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(8,905)</w:t>
            </w: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Adjustments related to postretirement benefits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r>
      <w:tr>
        <w:trPr>
          <w:trHeight w:val="216"/>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gain/loss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(8,093)</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attributable to noncontrolling interest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6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8"/>
                <w:szCs w:val="18"/>
                <w:color w:val="auto"/>
              </w:rPr>
              <w:t>Other comprehensive income (loss) attributable to Cohu</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(8,088)</w:t>
            </w: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(77,842)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(40,517)</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r>
      <w:tr>
        <w:trPr>
          <w:trHeight w:val="20"/>
        </w:trPr>
        <w:tc>
          <w:tcPr>
            <w:tcW w:w="6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Comprehensive income (loss) attributable to Cohu</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15,903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(77,846)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(40,269)</w:t>
            </w: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5" w:right="339" w:bottom="0" w:gutter="0" w:footer="0" w:header="0"/>
        </w:sectPr>
      </w:pP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6" w:name="page37"/>
    <w:bookmarkEnd w:id="36"/>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93"/>
              </w:rPr>
              <w:t>Common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2"/>
              </w:rPr>
              <w:t>other</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color w:val="auto"/>
                <w:w w:val="90"/>
              </w:rPr>
              <w:t>stock</w:t>
            </w:r>
          </w:p>
        </w:tc>
        <w:tc>
          <w:tcPr>
            <w:tcW w:w="30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Paid-in</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comprehensive</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Noncontrolling</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8"/>
              </w:rPr>
              <w:t>$1 par value</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capital</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earnings</w:t>
            </w:r>
          </w:p>
        </w:tc>
        <w:tc>
          <w:tcPr>
            <w:tcW w:w="300" w:type="dxa"/>
            <w:vAlign w:val="bottom"/>
          </w:tcPr>
          <w:p>
            <w:pPr>
              <w:spacing w:after="0"/>
              <w:rPr>
                <w:sz w:val="20"/>
                <w:szCs w:val="20"/>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color w:val="auto"/>
                <w:w w:val="87"/>
              </w:rPr>
              <w:t>loss</w:t>
            </w:r>
          </w:p>
        </w:tc>
        <w:tc>
          <w:tcPr>
            <w:tcW w:w="2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28,489</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127,663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150,726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(17,787)</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80" w:type="dxa"/>
            <w:vAlign w:val="bottom"/>
          </w:tcPr>
          <w:p>
            <w:pPr>
              <w:ind w:left="180"/>
              <w:spacing w:after="0" w:line="206" w:lineRule="exact"/>
              <w:rPr>
                <w:sz w:val="20"/>
                <w:szCs w:val="20"/>
                <w:color w:val="auto"/>
              </w:rPr>
            </w:pPr>
            <w:r>
              <w:rPr>
                <w:rFonts w:ascii="Arial" w:cs="Arial" w:eastAsia="Arial" w:hAnsi="Arial"/>
                <w:sz w:val="18"/>
                <w:szCs w:val="18"/>
                <w:color w:val="auto"/>
                <w:w w:val="97"/>
              </w:rPr>
              <w:t>Cumulative effect of accounting change</w:t>
            </w:r>
          </w:p>
        </w:tc>
        <w:tc>
          <w:tcPr>
            <w:tcW w:w="100" w:type="dxa"/>
            <w:vAlign w:val="bottom"/>
          </w:tcPr>
          <w:p>
            <w:pPr>
              <w:spacing w:after="0"/>
              <w:rPr>
                <w:sz w:val="17"/>
                <w:szCs w:val="17"/>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1,057</w:t>
            </w:r>
          </w:p>
        </w:tc>
        <w:tc>
          <w:tcPr>
            <w:tcW w:w="300" w:type="dxa"/>
            <w:vAlign w:val="bottom"/>
          </w:tcPr>
          <w:p>
            <w:pPr>
              <w:spacing w:after="0"/>
              <w:rPr>
                <w:sz w:val="17"/>
                <w:szCs w:val="17"/>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180"/>
              <w:spacing w:after="0"/>
              <w:rPr>
                <w:sz w:val="20"/>
                <w:szCs w:val="20"/>
                <w:color w:val="auto"/>
              </w:rPr>
            </w:pPr>
            <w:r>
              <w:rPr>
                <w:rFonts w:ascii="Arial" w:cs="Arial" w:eastAsia="Arial" w:hAnsi="Arial"/>
                <w:sz w:val="15"/>
                <w:szCs w:val="15"/>
                <w:color w:val="auto"/>
              </w:rPr>
              <w:t>(a)</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(32,424)</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Changes in cumulative translation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(8,905)</w:t>
            </w: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related to postretirement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net of tax</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6"/>
              </w:rPr>
              <w:t>Changes in unrealized gains and losses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on investments, net of tax</w:t>
            </w: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 $0.24 per share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under ESPP</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9"/>
              </w:rPr>
              <w:t>Shares issued for restricted stock units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vested</w:t>
            </w: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18,280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9"/>
              </w:rPr>
              <w:t>Shares issued for acquisition of Xcerra</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11,776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283,642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2018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40,763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419,690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111,670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80" w:type="dxa"/>
            <w:vAlign w:val="bottom"/>
          </w:tcPr>
          <w:p>
            <w:pPr>
              <w:ind w:left="180"/>
              <w:spacing w:after="0" w:line="206" w:lineRule="exact"/>
              <w:rPr>
                <w:sz w:val="20"/>
                <w:szCs w:val="20"/>
                <w:color w:val="auto"/>
              </w:rPr>
            </w:pPr>
            <w:r>
              <w:rPr>
                <w:rFonts w:ascii="Arial" w:cs="Arial" w:eastAsia="Arial" w:hAnsi="Arial"/>
                <w:sz w:val="18"/>
                <w:szCs w:val="18"/>
                <w:color w:val="auto"/>
                <w:w w:val="97"/>
              </w:rPr>
              <w:t>Cumulative effect of accounting change</w:t>
            </w:r>
          </w:p>
        </w:tc>
        <w:tc>
          <w:tcPr>
            <w:tcW w:w="100" w:type="dxa"/>
            <w:vAlign w:val="bottom"/>
          </w:tcPr>
          <w:p>
            <w:pPr>
              <w:spacing w:after="0"/>
              <w:rPr>
                <w:sz w:val="17"/>
                <w:szCs w:val="17"/>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10,352</w:t>
            </w:r>
          </w:p>
        </w:tc>
        <w:tc>
          <w:tcPr>
            <w:tcW w:w="300" w:type="dxa"/>
            <w:vAlign w:val="bottom"/>
          </w:tcPr>
          <w:p>
            <w:pPr>
              <w:spacing w:after="0"/>
              <w:rPr>
                <w:sz w:val="17"/>
                <w:szCs w:val="17"/>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186"/>
        </w:trPr>
        <w:tc>
          <w:tcPr>
            <w:tcW w:w="3280" w:type="dxa"/>
            <w:vAlign w:val="bottom"/>
          </w:tcPr>
          <w:p>
            <w:pPr>
              <w:ind w:left="180"/>
              <w:spacing w:after="0"/>
              <w:rPr>
                <w:sz w:val="20"/>
                <w:szCs w:val="20"/>
                <w:color w:val="auto"/>
              </w:rPr>
            </w:pPr>
            <w:r>
              <w:rPr>
                <w:rFonts w:ascii="Arial" w:cs="Arial" w:eastAsia="Arial" w:hAnsi="Arial"/>
                <w:sz w:val="15"/>
                <w:szCs w:val="15"/>
                <w:color w:val="auto"/>
              </w:rPr>
              <w:t>(b)</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(69,692)</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Changes in cumulative translation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(7,522)</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related to postretirement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net of tax</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Cash dividends - $0.24 per share</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(9,866)</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Shares issued under ESPP</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2,159</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Shares issued for restricted stock units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599</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(2,575)</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14,148</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Divestiture of interest in consolidated</w:t>
            </w:r>
          </w:p>
        </w:tc>
        <w:tc>
          <w:tcPr>
            <w:tcW w:w="1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entity</w:t>
            </w: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28, 2019</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41,395</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433,190</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42,517</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(34,030)</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483,072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Changes in cumulative translation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27,321</w:t>
            </w: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27,321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related to postretirement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net of tax</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2,383</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Cash dividends - $0.06 per share</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(2,486)</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Shares issued under ESPP</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3,026</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Shares issued for restricted stock units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660</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(2,597)</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14,234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26,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42,190</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448,194</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26,230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512,288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Cumulative effect of accounting change relates to our adoption of ASU 2014-09.</w:t>
      </w:r>
    </w:p>
    <w:p>
      <w:pPr>
        <w:spacing w:after="0" w:line="23" w:lineRule="exact"/>
        <w:rPr>
          <w:rFonts w:ascii="Arial" w:cs="Arial" w:eastAsia="Arial" w:hAnsi="Arial"/>
          <w:sz w:val="18"/>
          <w:szCs w:val="18"/>
          <w:color w:val="auto"/>
        </w:rPr>
      </w:pPr>
    </w:p>
    <w:p>
      <w:pPr>
        <w:ind w:left="500" w:right="60" w:hanging="492"/>
        <w:spacing w:after="0" w:line="26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Cumulative effect of accounting change relates to our adoption of ASU 2016-02. Please refer to Note 1 of the Consolidated Financial Statements for further detail on the adoption of this accounting standard.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w:t>
      </w:r>
    </w:p>
    <w:p>
      <w:pPr>
        <w:sectPr>
          <w:pgSz w:w="11900" w:h="16841" w:orient="portrait"/>
          <w:cols w:equalWidth="0" w:num="1">
            <w:col w:w="11240"/>
          </w:cols>
          <w:pgMar w:left="320" w:top="125" w:right="33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Years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December 26,</w:t>
            </w: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December 29,</w:t>
            </w:r>
          </w:p>
        </w:tc>
      </w:tr>
      <w:tr>
        <w:trPr>
          <w:trHeight w:val="230"/>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Net loss attributable to Cohu</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(13,801)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(69,700)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(32,181)</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from noncontrolling interest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w w:val="97"/>
              </w:rPr>
              <w:t>Adjustments to reconcile net loss to net cash provided by operating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disposal of discontinued operations (Note 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Interest capitalized associated with cloud computing implementation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divestiture of consolidated entity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charges related to indefinite lived intangibles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11,249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52,746</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58,871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26,047</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 including restructuring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14,234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18,279</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Amortization of inventory step-up and inventory related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3,731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8,347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24,179</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Accrued retiree benefits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(8,207)</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Adjustment to contingent consideration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Amortization of cloud-based software implementation costs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from sale of property, plant and equipment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Changes in other accrued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5,348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02"/>
        </w:trPr>
        <w:tc>
          <w:tcPr>
            <w:tcW w:w="62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Changes in current assets and liabilities, excluding effects from acquisitions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Customer advances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11,548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(20,210)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5,785</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(14,982)</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2,043</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compensation, warranty and other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15,058</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(7,103)</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profit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(5,996)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6,831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Current and long-term operating lease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49,734</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17,269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34,437</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investing activities, excluding effects from acquisitions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(18,660)</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(4,967)</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from sale of land, facility and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17,025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(19,703)</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(38,700)</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purchase of Xcerra, net of cash received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(339,115)</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Sales and maturities of 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59,469</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from sale of fixtures services business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0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(18,363)</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(16,548)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(322,308)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(4,971)</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(9,827)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(6,949)</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revolving line of credit and construction loans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(41,056)</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issuance (repurchases) of stock, including awards settled in cash</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(8,978)</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Proceeds from Term Loan B</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348,250</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(7,072)</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(38,072)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322,105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(3,599)</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155,930</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164,921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134,286</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149,358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164,921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held by discontinued operations (Note 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 from continuing operations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164,460</w:t>
            </w:r>
          </w:p>
        </w:tc>
      </w:tr>
      <w:tr>
        <w:trPr>
          <w:trHeight w:val="196"/>
        </w:trPr>
        <w:tc>
          <w:tcPr>
            <w:tcW w:w="62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16,324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14,846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4,977</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declared but not yet paid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Property, plant and equipment purchases included in accounts payable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1,601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capitalized as capital assets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341" w:right="339" w:bottom="173"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COHU, INC.</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234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340" w:right="180"/>
        <w:spacing w:after="0" w:line="303"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“us” and the “Company”), through our wholly owned subsidiaries, is a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semiconductor test equipment and services. Our Consolidated Financial Statements include the accounts of Cohu and our wholly owned subsidiaries and variable interest entities (“VIEs”) for which we are the primary beneficiary. All intercompany balances and transactions have been eliminated in consolidation. We evaluate the need to consolidate affiliates based on standards set forth in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w:t>
      </w:r>
    </w:p>
    <w:p>
      <w:pPr>
        <w:spacing w:after="0" w:line="155"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84" w:lineRule="exact"/>
        <w:rPr>
          <w:sz w:val="20"/>
          <w:szCs w:val="20"/>
          <w:color w:val="auto"/>
        </w:rPr>
      </w:pPr>
    </w:p>
    <w:p>
      <w:pPr>
        <w:ind w:left="340" w:right="80"/>
        <w:spacing w:after="0" w:line="342" w:lineRule="auto"/>
        <w:rPr>
          <w:sz w:val="20"/>
          <w:szCs w:val="20"/>
          <w:color w:val="auto"/>
        </w:rPr>
      </w:pPr>
      <w:r>
        <w:rPr>
          <w:rFonts w:ascii="Arial" w:cs="Arial" w:eastAsia="Arial" w:hAnsi="Arial"/>
          <w:sz w:val="16"/>
          <w:szCs w:val="16"/>
          <w:color w:val="auto"/>
        </w:rPr>
        <w:t>Our fiscal years are based on a 52- or 53-week period ending on the last Saturday in December. Our current fiscal year, which ended on December 26, 2020, consisted of 52 weeks. Our fiscal years ended on December 28, 2019, and December 29, 2018, each consisted of 52 weeks.</w:t>
      </w:r>
    </w:p>
    <w:p>
      <w:pPr>
        <w:spacing w:after="0" w:line="120" w:lineRule="exact"/>
        <w:rPr>
          <w:sz w:val="20"/>
          <w:szCs w:val="20"/>
          <w:color w:val="auto"/>
        </w:rPr>
      </w:pPr>
    </w:p>
    <w:p>
      <w:pPr>
        <w:ind w:left="340" w:right="60"/>
        <w:spacing w:after="0" w:line="261" w:lineRule="auto"/>
        <w:rPr>
          <w:sz w:val="20"/>
          <w:szCs w:val="20"/>
          <w:color w:val="auto"/>
        </w:rPr>
      </w:pPr>
      <w:r>
        <w:rPr>
          <w:rFonts w:ascii="Arial" w:cs="Arial" w:eastAsia="Arial" w:hAnsi="Arial"/>
          <w:sz w:val="18"/>
          <w:szCs w:val="18"/>
          <w:b w:val="1"/>
          <w:bCs w:val="1"/>
          <w:color w:val="auto"/>
        </w:rPr>
        <w:t xml:space="preserve">Principles of Consolidation for Variable Interest Entities </w:t>
      </w:r>
      <w:r>
        <w:rPr>
          <w:rFonts w:ascii="Arial" w:cs="Arial" w:eastAsia="Arial" w:hAnsi="Arial"/>
          <w:sz w:val="18"/>
          <w:szCs w:val="18"/>
          <w:color w:val="auto"/>
        </w:rPr>
        <w:t>– We follow ASC Topic 810-10-15 guidance with respect to accounting for VIEs.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28, 2019, we divested our entire 20% interest in ALBS Solutions Sdn Bhd (“ALBS”), our only VIE. As a result of the divestment, we no longer had a controlling interest in ALBS and stopped consolidating ALBS as of that date. Divestment of our ownership in ALBS resulted in a gain of $0.1 million which is included in restructuring charges for the year ended December 28, 2019.</w:t>
      </w:r>
    </w:p>
    <w:p>
      <w:pPr>
        <w:spacing w:after="0" w:line="180" w:lineRule="exact"/>
        <w:rPr>
          <w:sz w:val="20"/>
          <w:szCs w:val="20"/>
          <w:color w:val="auto"/>
        </w:rPr>
      </w:pPr>
    </w:p>
    <w:p>
      <w:pPr>
        <w:ind w:left="340" w:right="220"/>
        <w:spacing w:after="0" w:line="298"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 On October 1, 2018, we acquired a fixtures services business as part of our acquisition of Xcerra. Our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that this business did not align with Cohu’s core business and was not a strategic fit within our organization. As a result, the fixtures services business was marketed for sale shortly after the acquisition and the assets of our fixtures business were considered “held for sale” and the operations of our fixtures business are considered “discontinued operations”. In February 2020, we completed the sale of this business. See Note 14, “Discontinued Operations” for additional information. Unless otherwise indicated, all amounts herein relate to continuing operations.</w:t>
      </w:r>
    </w:p>
    <w:p>
      <w:pPr>
        <w:spacing w:after="0" w:line="154" w:lineRule="exact"/>
        <w:rPr>
          <w:sz w:val="20"/>
          <w:szCs w:val="20"/>
          <w:color w:val="auto"/>
        </w:rPr>
      </w:pPr>
    </w:p>
    <w:p>
      <w:pPr>
        <w:ind w:left="340"/>
        <w:spacing w:after="0" w:line="292" w:lineRule="auto"/>
        <w:rPr>
          <w:sz w:val="20"/>
          <w:szCs w:val="20"/>
          <w:color w:val="auto"/>
        </w:rPr>
      </w:pPr>
      <w:r>
        <w:rPr>
          <w:rFonts w:ascii="Arial" w:cs="Arial" w:eastAsia="Arial" w:hAnsi="Arial"/>
          <w:sz w:val="16"/>
          <w:szCs w:val="16"/>
          <w:b w:val="1"/>
          <w:bCs w:val="1"/>
          <w:color w:val="auto"/>
        </w:rPr>
        <w:t xml:space="preserve">Income (Loss) Per Share </w:t>
      </w:r>
      <w:r>
        <w:rPr>
          <w:rFonts w:ascii="Arial" w:cs="Arial" w:eastAsia="Arial" w:hAnsi="Arial"/>
          <w:sz w:val="16"/>
          <w:szCs w:val="16"/>
          <w:color w:val="auto"/>
        </w:rPr>
        <w:t>– Basic income (loss) per common share is computed by dividing net income (loss) by the weighted-average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years ended December 26, 2020, December 28, 2019 and December 29, 2018, approximately 113,000, 422,000 and 146,000 shares, respectively, of our common stock were excluded from the computation.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2020</w:t>
            </w:r>
          </w:p>
        </w:tc>
        <w:tc>
          <w:tcPr>
            <w:tcW w:w="1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2019</w:t>
            </w: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2018</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41,854</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41,159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41,854</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41,159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31,776</w:t>
            </w: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83"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8" w:lineRule="exact"/>
        <w:rPr>
          <w:sz w:val="20"/>
          <w:szCs w:val="20"/>
          <w:color w:val="auto"/>
        </w:rPr>
      </w:pPr>
    </w:p>
    <w:p>
      <w:pPr>
        <w:ind w:left="340" w:right="140"/>
        <w:spacing w:after="0" w:line="312"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The carrying amounts of our financial instruments, including cash and cash equivalents,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payable and accrued expenses, approximate fair value due to the short maturities of these financial instruments.</w:t>
      </w:r>
    </w:p>
    <w:p>
      <w:pPr>
        <w:spacing w:after="0" w:line="140" w:lineRule="exact"/>
        <w:rPr>
          <w:sz w:val="20"/>
          <w:szCs w:val="20"/>
          <w:color w:val="auto"/>
        </w:rPr>
      </w:pPr>
    </w:p>
    <w:p>
      <w:pPr>
        <w:ind w:left="340" w:right="440"/>
        <w:spacing w:after="0" w:line="26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investments and trade accounts receivable. We invest in a variety of financial instruments and, by policy, limit the amount of credit exposure with any one issuer.</w:t>
      </w:r>
    </w:p>
    <w:p>
      <w:pPr>
        <w:spacing w:after="0" w:line="180"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We adopted ASU 2016-13</w:t>
      </w:r>
      <w:r>
        <w:rPr>
          <w:rFonts w:ascii="Arial" w:cs="Arial" w:eastAsia="Arial" w:hAnsi="Arial"/>
          <w:sz w:val="16"/>
          <w:szCs w:val="16"/>
          <w:i w:val="1"/>
          <w:iCs w:val="1"/>
          <w:color w:val="auto"/>
        </w:rPr>
        <w:t>, Financial Instruments-Credit Losses (Topic 326): Measurement of Credit Losses on Financial Instruments</w:t>
      </w:r>
      <w:r>
        <w:rPr>
          <w:rFonts w:ascii="Arial" w:cs="Arial" w:eastAsia="Arial" w:hAnsi="Arial"/>
          <w:sz w:val="16"/>
          <w:szCs w:val="16"/>
          <w:color w:val="auto"/>
        </w:rPr>
        <w:t>, on December 29, 2019 the first day of our fiscal 2020. The ASU required a cumulative-effect adjustment to the statement of financial position as of the date of adoption. Periods prior to the adoption that are presented for comparative purposes are not adjusted. Based on our analysis of historical and anticipated collections of trade receivables the impact of adoption of Topic 326 was insignificant. Our trade accounts receivable are presented net of allowance for credit losses, which were insignificant at December 26, 2020 and December 28, 2019. Our customers include semiconductor manufacturers and semiconductor test subcontractors throughout many areas of the world. While we believe that our allowance for credit losses is adequate and represents our best estimate at December 26, 2020, we will continue to monitor customer liquidity and other economic conditions, including the impact of the COVID-19 pandemic, which may result in changes to our estimates regarding expected credit losses.</w:t>
      </w:r>
    </w:p>
    <w:p>
      <w:pPr>
        <w:spacing w:after="0" w:line="161"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 Inventories are stated at the lower of cost, determined on a first-in, first-out basis, or net realizable value. Cost includes labor,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totaled $8.1 million in 2020. Included in this amount is $2.1 million of inventory charges related to the decision to end manufacturing of certain of our semiconductor test handler products associated with the integration of Xcerra. Charges to cost of sales for excess and obsolete inventories totaled $4.8 million in 2019. Included in this amount is $0.7 million of inventory charges related to the decision to end manufacturing of certain of Xcerra’s semiconductor test handler products. Charges to cost of sales for excess and obsolete inventories totaled $10.8 million in 2018. Included in this amount is $9.4 million of inventory charges related to the decision to end manufacturing of certain of Xcerra’s semiconductor test handler products.</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Inventories by category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1223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41223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Finished goods</w:t>
      </w:r>
    </w:p>
    <w:p>
      <w:pPr>
        <w:spacing w:after="0" w:line="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December 26,</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December 28,</w:t>
            </w:r>
          </w:p>
        </w:tc>
      </w:tr>
      <w:tr>
        <w:trPr>
          <w:trHeight w:val="230"/>
        </w:trPr>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r>
      <w:tr>
        <w:trPr>
          <w:trHeight w:val="195"/>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83,755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69,665</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44,315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46,591</w:t>
            </w:r>
          </w:p>
        </w:tc>
      </w:tr>
      <w:tr>
        <w:trPr>
          <w:trHeight w:val="230"/>
        </w:trPr>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14,430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14,450</w:t>
            </w:r>
          </w:p>
        </w:tc>
      </w:tr>
      <w:tr>
        <w:trPr>
          <w:trHeight w:val="210"/>
        </w:trPr>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142,500</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130,706</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720" w:space="720"/>
            <w:col w:w="3800"/>
          </w:cols>
          <w:pgMar w:left="320" w:top="125" w:right="339" w:bottom="1440" w:gutter="0" w:footer="0" w:header="0"/>
          <w:type w:val="continuous"/>
        </w:sectPr>
      </w:pPr>
    </w:p>
    <w:p>
      <w:pPr>
        <w:ind w:left="340" w:right="20"/>
        <w:spacing w:after="0" w:line="261" w:lineRule="auto"/>
        <w:rPr>
          <w:sz w:val="20"/>
          <w:szCs w:val="20"/>
          <w:color w:val="auto"/>
        </w:rPr>
      </w:pPr>
      <w:r>
        <w:rPr>
          <w:rFonts w:ascii="Arial" w:cs="Arial" w:eastAsia="Arial" w:hAnsi="Arial"/>
          <w:sz w:val="18"/>
          <w:szCs w:val="18"/>
          <w:b w:val="1"/>
          <w:bCs w:val="1"/>
          <w:color w:val="auto"/>
        </w:rPr>
        <w:t xml:space="preserve">Gain on Sale of Facilities </w:t>
      </w:r>
      <w:r>
        <w:rPr>
          <w:rFonts w:ascii="Arial" w:cs="Arial" w:eastAsia="Arial" w:hAnsi="Arial"/>
          <w:sz w:val="18"/>
          <w:szCs w:val="18"/>
          <w:color w:val="auto"/>
        </w:rPr>
        <w:t>– As part of our previously announced Xcerra integration plan we implemented certain facility consolidation actions. See</w:t>
      </w:r>
      <w:r>
        <w:rPr>
          <w:rFonts w:ascii="Arial" w:cs="Arial" w:eastAsia="Arial" w:hAnsi="Arial"/>
          <w:sz w:val="18"/>
          <w:szCs w:val="18"/>
          <w:b w:val="1"/>
          <w:bCs w:val="1"/>
          <w:color w:val="auto"/>
        </w:rPr>
        <w:t xml:space="preserve"> </w:t>
      </w:r>
      <w:r>
        <w:rPr>
          <w:rFonts w:ascii="Arial" w:cs="Arial" w:eastAsia="Arial" w:hAnsi="Arial"/>
          <w:sz w:val="18"/>
          <w:szCs w:val="18"/>
          <w:color w:val="auto"/>
        </w:rPr>
        <w:t>Note 5, “Restructuring Charges” for additional information on this program. During 2020, we completed the sales of our facilities located in Rosenheim, Germany and Penang, Malaysia which resulted in a gain of $4.5 million. Our facility in in Penang Malaysia, was presented as held for sale for the year ended December 28, 2019.</w:t>
      </w:r>
    </w:p>
    <w:p>
      <w:pPr>
        <w:spacing w:after="0" w:line="180" w:lineRule="exact"/>
        <w:rPr>
          <w:sz w:val="20"/>
          <w:szCs w:val="20"/>
          <w:color w:val="auto"/>
        </w:rPr>
      </w:pPr>
    </w:p>
    <w:p>
      <w:pPr>
        <w:ind w:left="340" w:right="80"/>
        <w:spacing w:after="0" w:line="314"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 Depreciation and amortization of property, plant and equipment, both owned and under financing lease, is</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calculated principally on the straight-line method based on estimated useful lives of thirty to forty years for buildings, five to fifteen years for building improvements, three to ten years for machinery, equipment and software and the lease life for financing leases. Land is not depreciated.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 xml:space="preserve">Property, plant and equipment, at cost,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December 26,</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December 28,</w:t>
            </w:r>
          </w:p>
        </w:tc>
      </w:tr>
      <w:tr>
        <w:trPr>
          <w:trHeight w:val="230"/>
        </w:trPr>
        <w:tc>
          <w:tcPr>
            <w:tcW w:w="3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9"/>
        </w:trPr>
        <w:tc>
          <w:tcPr>
            <w:tcW w:w="320" w:type="dxa"/>
            <w:vAlign w:val="bottom"/>
          </w:tcPr>
          <w:p>
            <w:pPr>
              <w:spacing w:after="0"/>
              <w:rPr>
                <w:sz w:val="18"/>
                <w:szCs w:val="18"/>
                <w:color w:val="auto"/>
              </w:rPr>
            </w:pPr>
          </w:p>
        </w:tc>
        <w:tc>
          <w:tcPr>
            <w:tcW w:w="67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Land and land improvements </w:t>
            </w:r>
            <w:r>
              <w:rPr>
                <w:rFonts w:ascii="Arial" w:cs="Arial" w:eastAsia="Arial" w:hAnsi="Arial"/>
                <w:sz w:val="24"/>
                <w:szCs w:val="24"/>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w:t>
            </w:r>
          </w:p>
        </w:tc>
      </w:tr>
      <w:tr>
        <w:trPr>
          <w:trHeight w:val="216"/>
        </w:trPr>
        <w:tc>
          <w:tcPr>
            <w:tcW w:w="3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Buildings and building improvements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41,474</w:t>
            </w:r>
          </w:p>
        </w:tc>
      </w:tr>
      <w:tr>
        <w:trPr>
          <w:trHeight w:val="216"/>
        </w:trPr>
        <w:tc>
          <w:tcPr>
            <w:tcW w:w="3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114,636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114,139</w:t>
            </w:r>
          </w:p>
        </w:tc>
      </w:tr>
      <w:tr>
        <w:trPr>
          <w:trHeight w:val="216"/>
        </w:trPr>
        <w:tc>
          <w:tcPr>
            <w:tcW w:w="3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(47,720)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(43,227)</w:t>
            </w:r>
          </w:p>
        </w:tc>
      </w:tr>
      <w:tr>
        <w:trPr>
          <w:trHeight w:val="210"/>
        </w:trPr>
        <w:tc>
          <w:tcPr>
            <w:tcW w:w="320" w:type="dxa"/>
            <w:vAlign w:val="bottom"/>
          </w:tcPr>
          <w:p>
            <w:pPr>
              <w:spacing w:after="0"/>
              <w:rPr>
                <w:sz w:val="18"/>
                <w:szCs w:val="18"/>
                <w:color w:val="auto"/>
              </w:rPr>
            </w:pPr>
          </w:p>
        </w:tc>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66,916</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70,912</w:t>
            </w:r>
          </w:p>
        </w:tc>
        <w:tc>
          <w:tcPr>
            <w:tcW w:w="100" w:type="dxa"/>
            <w:vAlign w:val="bottom"/>
            <w:tcBorders>
              <w:top w:val="single" w:sz="8" w:color="CCEEFF"/>
            </w:tcBorders>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assets under financing leases acquired with Xcerra totaling $2.6 million as of December 28, 2019.</w:t>
      </w:r>
    </w:p>
    <w:p>
      <w:pPr>
        <w:spacing w:after="0" w:line="252"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Depreciation expense was $14.0 million in 2020, $19.3 million in 2019 and $8.8 million in 2018. The decrease in depreciation expense recognized in 2020 was a result of assets becoming fully depreciated and facility sales.</w:t>
      </w:r>
    </w:p>
    <w:p>
      <w:pPr>
        <w:spacing w:after="0" w:line="166" w:lineRule="exact"/>
        <w:rPr>
          <w:sz w:val="20"/>
          <w:szCs w:val="20"/>
          <w:color w:val="auto"/>
        </w:rPr>
      </w:pPr>
    </w:p>
    <w:p>
      <w:pPr>
        <w:ind w:left="340" w:right="20"/>
        <w:spacing w:after="0" w:line="258" w:lineRule="auto"/>
        <w:rPr>
          <w:sz w:val="20"/>
          <w:szCs w:val="20"/>
          <w:color w:val="auto"/>
        </w:rPr>
      </w:pPr>
      <w:r>
        <w:rPr>
          <w:rFonts w:ascii="Arial" w:cs="Arial" w:eastAsia="Arial" w:hAnsi="Arial"/>
          <w:sz w:val="18"/>
          <w:szCs w:val="18"/>
          <w:b w:val="1"/>
          <w:bCs w:val="1"/>
          <w:color w:val="auto"/>
        </w:rPr>
        <w:t xml:space="preserve">Cloud Computing Implementation Costs </w:t>
      </w:r>
      <w:r>
        <w:rPr>
          <w:rFonts w:ascii="Arial" w:cs="Arial" w:eastAsia="Arial" w:hAnsi="Arial"/>
          <w:sz w:val="18"/>
          <w:szCs w:val="18"/>
          <w:color w:val="auto"/>
        </w:rPr>
        <w:t>– We have capitalized certain costs associated with the implementation of our new cloud-based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Resource Planning (“ERP”) system in accordance with ASU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Capitalized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only external direct costs of materials and services consumed in developing the system and interest costs incurred, when material, while developing the system.</w:t>
      </w:r>
    </w:p>
    <w:p>
      <w:pPr>
        <w:spacing w:after="0" w:line="187"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Total unamortized capitalized cloud computing implementation costs totaled $13.5 million and $10.3 million at December 26, 2020 and December 28, 2019, respectively. These amounts are recorded within other assets in our consolidated balance sheets and the year-over-year increase is due to costs capitalized in the current year. We began amortizing some of these costs when our new ERP system was placed into service during the first quarter of 2020. Implementation costs are amortized using the straight-line method over seven years and we recorded $1.2 million in amortization expense during the year ended December 26, 2020.</w:t>
      </w:r>
    </w:p>
    <w:p>
      <w:pPr>
        <w:spacing w:after="0" w:line="184" w:lineRule="exact"/>
        <w:rPr>
          <w:sz w:val="20"/>
          <w:szCs w:val="20"/>
          <w:color w:val="auto"/>
        </w:rPr>
      </w:pPr>
    </w:p>
    <w:p>
      <w:pPr>
        <w:ind w:left="340" w:right="120"/>
        <w:spacing w:after="0" w:line="271"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 We applied the provisions of ASC Topic 280,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and Inspection Equipment (“Semiconductor Test &amp; Inspection”) and PCB Test Equipment (“PCB Test”).</w:t>
      </w:r>
    </w:p>
    <w:p>
      <w:pPr>
        <w:spacing w:after="0" w:line="173"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b w:val="1"/>
          <w:bCs w:val="1"/>
          <w:color w:val="auto"/>
        </w:rPr>
        <w:t xml:space="preserve">Goodwill, Purchased Intangible Assets and Other Long-lived Assets </w:t>
      </w:r>
      <w:r>
        <w:rPr>
          <w:rFonts w:ascii="Arial" w:cs="Arial" w:eastAsia="Arial" w:hAnsi="Arial"/>
          <w:sz w:val="17"/>
          <w:szCs w:val="17"/>
          <w:color w:val="auto"/>
        </w:rPr>
        <w:t>– We evaluate goodwill for impairment annually and when an event occurs or</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change that indicate that the carrying value may not be recoverable. We test goodwill for impairment by comparing the book value of net assets to the fair value of the reporting units. If the fair value is determined to be less than the book value, an impairment charge is recognized as the amount by which the carrying amount of goodwill exceeds the reporting unit's fair value, not to exceed the carrying amount of goodwill.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We conduct our annual impairment test as of October 1st of each year, and have determined there was no impairment as of October 1, 2020, as we determined that the estimated fair values of our reporting units exceeded their carrying values on that date. Other events and changes in circumstances may also require goodwill to be tested for impairment between annual measurement dates. As of December 26, 2020,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92"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74" w:lineRule="exact"/>
        <w:rPr>
          <w:sz w:val="20"/>
          <w:szCs w:val="20"/>
          <w:color w:val="auto"/>
        </w:rPr>
      </w:pPr>
    </w:p>
    <w:p>
      <w:pPr>
        <w:ind w:left="340" w:right="60"/>
        <w:spacing w:after="0" w:line="298"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 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54" w:lineRule="exact"/>
        <w:rPr>
          <w:sz w:val="20"/>
          <w:szCs w:val="20"/>
          <w:color w:val="auto"/>
        </w:rPr>
      </w:pPr>
    </w:p>
    <w:p>
      <w:pPr>
        <w:ind w:left="340" w:right="140"/>
        <w:spacing w:after="0" w:line="29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We assess our income tax positions and record tax benefits for all years subject to examination based upon management’s evaluation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64"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The Tax Act was enacted on December 22, 2017. The accounting for the tax effects of the enactment of the Tax Act was completed in 2018. The accounting for the CARES Act, enacted on March 27, 2020, was incorporated in 2020.</w:t>
      </w:r>
    </w:p>
    <w:p>
      <w:pPr>
        <w:spacing w:after="0" w:line="166" w:lineRule="exact"/>
        <w:rPr>
          <w:sz w:val="20"/>
          <w:szCs w:val="20"/>
          <w:color w:val="auto"/>
        </w:rPr>
      </w:pPr>
    </w:p>
    <w:p>
      <w:pPr>
        <w:ind w:left="340" w:right="40"/>
        <w:spacing w:after="0" w:line="347"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 We assess the probability of adverse judgments in connection with current and threatened litigation. We would accrue</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 of an adverse judgment if, in our estimation, the adverse outcome is probable, and we can reasonably estimate the ultimate cost.</w:t>
      </w:r>
    </w:p>
    <w:p>
      <w:pPr>
        <w:spacing w:after="0" w:line="116" w:lineRule="exact"/>
        <w:rPr>
          <w:sz w:val="20"/>
          <w:szCs w:val="20"/>
          <w:color w:val="auto"/>
        </w:rPr>
      </w:pPr>
    </w:p>
    <w:p>
      <w:pPr>
        <w:ind w:left="340" w:right="60"/>
        <w:spacing w:after="0" w:line="292"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adopted ASU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as of December 30, 2018, using the optional transition method which allowed us to record</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leases at adoption and recognize a cumulative-effect adjustment to the opening balance of retained earnings in the period of adoption. We had previously recorded a sale and operating leaseback transaction in accordance with Topic 840 and as a result of the adoption of the new standard, recognized $10.2 million of deferred gain as an adjustment to retained earnings. In addition, we had previously recognized assets and liabilities related to a build-to-suit designation under Topic 840 and, as a result of the adoption of the new standard, derecognized assets and liabilities of $0.5 million and $0.6 million, respectively, with the difference recorded as an adjustment to retained earnings. The difference between the additional lease assets and lease liabilities, net of the deferred tax impact, was recorded as an adjustment to retained earnings.</w:t>
      </w:r>
    </w:p>
    <w:p>
      <w:pPr>
        <w:spacing w:after="0" w:line="165" w:lineRule="exact"/>
        <w:rPr>
          <w:sz w:val="20"/>
          <w:szCs w:val="20"/>
          <w:color w:val="auto"/>
        </w:rPr>
      </w:pPr>
    </w:p>
    <w:p>
      <w:pPr>
        <w:jc w:val="both"/>
        <w:ind w:left="340" w:right="360"/>
        <w:spacing w:after="0" w:line="286" w:lineRule="auto"/>
        <w:rPr>
          <w:sz w:val="20"/>
          <w:szCs w:val="20"/>
          <w:color w:val="auto"/>
        </w:rPr>
      </w:pPr>
      <w:r>
        <w:rPr>
          <w:rFonts w:ascii="Arial" w:cs="Arial" w:eastAsia="Arial" w:hAnsi="Arial"/>
          <w:sz w:val="17"/>
          <w:szCs w:val="17"/>
          <w:color w:val="auto"/>
        </w:rPr>
        <w:t>We determine if a contract contains a lease at inception. Operating leases are included in operating lease right of use (“ROU”) assets, current other accrued liabilities, and long-term lease liabilities on our consolidated balance sheets. Finance leases are included in property, plant and equipment, other current accrued liabilities, and long-term lease liabilities on our consolidated balance sheets.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260"/>
        <w:spacing w:after="0" w:line="259"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the adoption date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87"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64" w:lineRule="exact"/>
        <w:rPr>
          <w:sz w:val="20"/>
          <w:szCs w:val="20"/>
          <w:color w:val="auto"/>
        </w:rPr>
      </w:pPr>
    </w:p>
    <w:p>
      <w:pPr>
        <w:jc w:val="both"/>
        <w:ind w:left="340" w:right="100"/>
        <w:spacing w:after="0" w:line="263" w:lineRule="auto"/>
        <w:rPr>
          <w:sz w:val="20"/>
          <w:szCs w:val="20"/>
          <w:color w:val="auto"/>
        </w:rPr>
      </w:pPr>
      <w:r>
        <w:rPr>
          <w:rFonts w:ascii="Arial" w:cs="Arial" w:eastAsia="Arial" w:hAnsi="Arial"/>
          <w:sz w:val="18"/>
          <w:szCs w:val="18"/>
          <w:color w:val="auto"/>
        </w:rPr>
        <w:t>Leases with an initial term of 12 months or less are not recorded on the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spacing w:after="0" w:line="184" w:lineRule="exact"/>
        <w:rPr>
          <w:sz w:val="20"/>
          <w:szCs w:val="20"/>
          <w:color w:val="auto"/>
        </w:rPr>
      </w:pPr>
    </w:p>
    <w:p>
      <w:pPr>
        <w:jc w:val="both"/>
        <w:ind w:left="340" w:right="120"/>
        <w:spacing w:after="0" w:line="263" w:lineRule="auto"/>
        <w:rPr>
          <w:sz w:val="20"/>
          <w:szCs w:val="20"/>
          <w:color w:val="auto"/>
        </w:rPr>
      </w:pPr>
      <w:r>
        <w:rPr>
          <w:rFonts w:ascii="Arial" w:cs="Arial" w:eastAsia="Arial" w:hAnsi="Arial"/>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80" w:lineRule="exact"/>
        <w:rPr>
          <w:sz w:val="20"/>
          <w:szCs w:val="20"/>
          <w:color w:val="auto"/>
        </w:rPr>
      </w:pPr>
    </w:p>
    <w:p>
      <w:pPr>
        <w:ind w:left="340" w:right="120"/>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net sales are derived from the sale of products and services and are adjusted for estimated returns and allowances,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w:t>
      </w:r>
    </w:p>
    <w:p>
      <w:pPr>
        <w:spacing w:after="0" w:line="184" w:lineRule="exact"/>
        <w:rPr>
          <w:sz w:val="20"/>
          <w:szCs w:val="20"/>
          <w:color w:val="auto"/>
        </w:rPr>
      </w:pPr>
    </w:p>
    <w:p>
      <w:pPr>
        <w:ind w:left="340" w:right="40"/>
        <w:spacing w:after="0" w:line="273"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78"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1"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Unsatisfied performance obligations primarily represent contracts for products with future delivery dates. At December 26, 2020 and December 28, 2019, we had $17.1 million and $16.1 million of revenue expected to be recognized in the future related to performance obligations that are unsatisfied (or partially unsatisfied), respectively.</w:t>
      </w:r>
    </w:p>
    <w:p>
      <w:pPr>
        <w:spacing w:after="0" w:line="184"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8"/>
          <w:szCs w:val="18"/>
          <w:i w:val="1"/>
          <w:iCs w:val="1"/>
          <w:color w:val="auto"/>
        </w:rPr>
        <w:t>Guarantees (“ASC 460”)</w:t>
      </w:r>
      <w:r>
        <w:rPr>
          <w:rFonts w:ascii="Arial" w:cs="Arial" w:eastAsia="Arial" w:hAnsi="Arial"/>
          <w:sz w:val="18"/>
          <w:szCs w:val="18"/>
          <w:color w:val="auto"/>
        </w:rPr>
        <w:t>, and not as a separate performance obligation.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9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Our contracts are typically less than one year in duration and we have elected to use the practical expedient available in ASC 606 to expense cost to obtain contracts as they are incurred because they would be amortized over less than one year.</w:t>
      </w:r>
    </w:p>
    <w:p>
      <w:pPr>
        <w:spacing w:after="0" w:line="170" w:lineRule="exact"/>
        <w:rPr>
          <w:sz w:val="20"/>
          <w:szCs w:val="20"/>
          <w:color w:val="auto"/>
        </w:rPr>
      </w:pPr>
    </w:p>
    <w:p>
      <w:pPr>
        <w:ind w:left="340" w:right="160"/>
        <w:spacing w:after="0" w:line="286" w:lineRule="auto"/>
        <w:rPr>
          <w:sz w:val="20"/>
          <w:szCs w:val="20"/>
          <w:color w:val="auto"/>
        </w:rPr>
      </w:pPr>
      <w:r>
        <w:rPr>
          <w:rFonts w:ascii="Arial" w:cs="Arial" w:eastAsia="Arial" w:hAnsi="Arial"/>
          <w:sz w:val="17"/>
          <w:szCs w:val="17"/>
          <w:color w:val="auto"/>
        </w:rPr>
        <w:t>Accounts receivable represents our unconditional right to receive consideration from our customers.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w:t>
      </w:r>
    </w:p>
    <w:p>
      <w:pPr>
        <w:spacing w:after="0" w:line="165"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At December 26, 2020, we had deferred revenue totaling approximately $17.1 million, current deferred profit of $8.7 million and deferred profit expected to be recognized after one year included in noncurrent other accrued liabilities of $6.7 million. At December 28, 2019, we had deferred revenue totaling approximately $16.1 million, current deferred profit of $7.6 million and deferred profit expected to be recognized after one year included in noncurrent other accrued liabilities of $7.2 million.</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Disaggregated net sales by segment are as follows:</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2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Systems-Semiconductor Test &amp; Inspection</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299,473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249,514</w:t>
            </w:r>
          </w:p>
        </w:tc>
      </w:tr>
      <w:tr>
        <w:trPr>
          <w:trHeight w:val="216"/>
        </w:trPr>
        <w:tc>
          <w:tcPr>
            <w:tcW w:w="3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Non-systems-Semiconductor Test &amp; Inspection</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267,419</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241,405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193,737</w:t>
            </w:r>
          </w:p>
        </w:tc>
      </w:tr>
      <w:tr>
        <w:trPr>
          <w:trHeight w:val="216"/>
        </w:trPr>
        <w:tc>
          <w:tcPr>
            <w:tcW w:w="3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Systems-PCB Test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25,928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6,565</w:t>
            </w:r>
          </w:p>
        </w:tc>
      </w:tr>
      <w:tr>
        <w:trPr>
          <w:trHeight w:val="216"/>
        </w:trPr>
        <w:tc>
          <w:tcPr>
            <w:tcW w:w="3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Non-systems-PCB Test</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17,474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16,523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r>
      <w:tr>
        <w:trPr>
          <w:trHeight w:val="20"/>
        </w:trPr>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636,007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583,329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451,768</w:t>
            </w:r>
          </w:p>
        </w:tc>
      </w:tr>
      <w:tr>
        <w:trPr>
          <w:trHeight w:val="20"/>
        </w:trPr>
        <w:tc>
          <w:tcPr>
            <w:tcW w:w="3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225" w:lineRule="exact"/>
        <w:rPr>
          <w:sz w:val="20"/>
          <w:szCs w:val="20"/>
          <w:color w:val="auto"/>
        </w:rPr>
      </w:pPr>
    </w:p>
    <w:p>
      <w:pPr>
        <w:ind w:left="340" w:right="20"/>
        <w:spacing w:after="0" w:line="292" w:lineRule="auto"/>
        <w:rPr>
          <w:sz w:val="20"/>
          <w:szCs w:val="20"/>
          <w:color w:val="auto"/>
        </w:rPr>
      </w:pPr>
      <w:r>
        <w:rPr>
          <w:rFonts w:ascii="Arial" w:cs="Arial" w:eastAsia="Arial" w:hAnsi="Arial"/>
          <w:sz w:val="16"/>
          <w:szCs w:val="16"/>
          <w:b w:val="1"/>
          <w:bCs w:val="1"/>
          <w:color w:val="auto"/>
        </w:rPr>
        <w:t xml:space="preserve">Restructuring Costs </w:t>
      </w:r>
      <w:r>
        <w:rPr>
          <w:rFonts w:ascii="Arial" w:cs="Arial" w:eastAsia="Arial" w:hAnsi="Arial"/>
          <w:sz w:val="16"/>
          <w:szCs w:val="16"/>
          <w:color w:val="auto"/>
        </w:rPr>
        <w:t>– We record restructuring activities including costs for one-time termination benefits in accordance with ASC Topic 420 (“ASC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These costs are recognized when management has committed to a restructuring plan and the severance costs are probable and estimable.</w:t>
      </w:r>
    </w:p>
    <w:p>
      <w:pPr>
        <w:spacing w:after="0" w:line="161" w:lineRule="exact"/>
        <w:rPr>
          <w:sz w:val="20"/>
          <w:szCs w:val="20"/>
          <w:color w:val="auto"/>
        </w:rPr>
      </w:pPr>
    </w:p>
    <w:p>
      <w:pPr>
        <w:ind w:left="340" w:right="20"/>
        <w:spacing w:after="0" w:line="258" w:lineRule="auto"/>
        <w:rPr>
          <w:sz w:val="20"/>
          <w:szCs w:val="20"/>
          <w:color w:val="auto"/>
        </w:rPr>
      </w:pPr>
      <w:r>
        <w:rPr>
          <w:rFonts w:ascii="Arial" w:cs="Arial" w:eastAsia="Arial" w:hAnsi="Arial"/>
          <w:sz w:val="18"/>
          <w:szCs w:val="18"/>
          <w:b w:val="1"/>
          <w:bCs w:val="1"/>
          <w:color w:val="auto"/>
        </w:rPr>
        <w:t xml:space="preserve">Debt Issuance Costs </w:t>
      </w:r>
      <w:r>
        <w:rPr>
          <w:rFonts w:ascii="Arial" w:cs="Arial" w:eastAsia="Arial" w:hAnsi="Arial"/>
          <w:sz w:val="18"/>
          <w:szCs w:val="18"/>
          <w:color w:val="auto"/>
        </w:rPr>
        <w:t>– We capitalize costs related to the issuance of debt. Debt issuance costs directly related to our Term Loan B are presented within</w:t>
      </w:r>
      <w:r>
        <w:rPr>
          <w:rFonts w:ascii="Arial" w:cs="Arial" w:eastAsia="Arial" w:hAnsi="Arial"/>
          <w:sz w:val="18"/>
          <w:szCs w:val="18"/>
          <w:b w:val="1"/>
          <w:bCs w:val="1"/>
          <w:color w:val="auto"/>
        </w:rPr>
        <w:t xml:space="preserve"> </w:t>
      </w:r>
      <w:r>
        <w:rPr>
          <w:rFonts w:ascii="Arial" w:cs="Arial" w:eastAsia="Arial" w:hAnsi="Arial"/>
          <w:sz w:val="18"/>
          <w:szCs w:val="18"/>
          <w:color w:val="auto"/>
        </w:rPr>
        <w:t>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$1.2 million, $1.1 million and insignificant for the years ended December 26, 2020, December 28, 2019 and December 29, 2018,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8" w:lineRule="exact"/>
        <w:rPr>
          <w:sz w:val="20"/>
          <w:szCs w:val="20"/>
          <w:color w:val="auto"/>
        </w:rPr>
      </w:pPr>
    </w:p>
    <w:p>
      <w:pPr>
        <w:ind w:left="340" w:right="220"/>
        <w:spacing w:after="0" w:line="298"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requires a number of complex and subjective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54"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b w:val="1"/>
          <w:bCs w:val="1"/>
          <w:color w:val="auto"/>
        </w:rPr>
        <w:t xml:space="preserve">Foreign Remeasurement and Currency Translation </w:t>
      </w:r>
      <w:r>
        <w:rPr>
          <w:rFonts w:ascii="Arial" w:cs="Arial" w:eastAsia="Arial" w:hAnsi="Arial"/>
          <w:sz w:val="17"/>
          <w:szCs w:val="17"/>
          <w:color w:val="auto"/>
        </w:rPr>
        <w:t>– Assets and liabilities of our wholly owned foreign subsidiaries that use the U.S. Dollar as</w:t>
      </w:r>
      <w:r>
        <w:rPr>
          <w:rFonts w:ascii="Arial" w:cs="Arial" w:eastAsia="Arial" w:hAnsi="Arial"/>
          <w:sz w:val="17"/>
          <w:szCs w:val="17"/>
          <w:b w:val="1"/>
          <w:bCs w:val="1"/>
          <w:color w:val="auto"/>
        </w:rPr>
        <w:t xml:space="preserve"> </w:t>
      </w:r>
      <w:r>
        <w:rPr>
          <w:rFonts w:ascii="Arial" w:cs="Arial" w:eastAsia="Arial" w:hAnsi="Arial"/>
          <w:sz w:val="17"/>
          <w:szCs w:val="17"/>
          <w:color w:val="auto"/>
        </w:rPr>
        <w:t>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 ended December 26, 2020, in our consolidated statement of operations we recognized foreign exchange losses totaling $3.2 million. During the years ended December 28, 2019 and December 29, 2018, foreign exchange gains were insignificant and $1.7 million, respectively.</w:t>
      </w:r>
    </w:p>
    <w:p>
      <w:pPr>
        <w:spacing w:after="0" w:line="176"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8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b w:val="1"/>
          <w:bCs w:val="1"/>
          <w:color w:val="auto"/>
        </w:rPr>
        <w:t xml:space="preserve">Foreign Exchange Derivative Contracts </w:t>
      </w:r>
      <w:r>
        <w:rPr>
          <w:rFonts w:ascii="Arial" w:cs="Arial" w:eastAsia="Arial" w:hAnsi="Arial"/>
          <w:sz w:val="18"/>
          <w:szCs w:val="18"/>
          <w:color w:val="auto"/>
        </w:rPr>
        <w:t>– We operate and sell our products in various global markets. As a result, we are exposed to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exchange rates. During the fourth quarter of 2020, we began entering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 Additional information related to our foreign exchange derivative contracts is included in Note 8,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89" w:lineRule="exact"/>
        <w:rPr>
          <w:sz w:val="20"/>
          <w:szCs w:val="20"/>
          <w:color w:val="auto"/>
        </w:rPr>
      </w:pPr>
    </w:p>
    <w:p>
      <w:pPr>
        <w:ind w:left="340" w:right="80"/>
        <w:spacing w:after="0" w:line="292" w:lineRule="auto"/>
        <w:rPr>
          <w:sz w:val="20"/>
          <w:szCs w:val="20"/>
          <w:color w:val="auto"/>
        </w:rPr>
      </w:pPr>
      <w:r>
        <w:rPr>
          <w:rFonts w:ascii="Arial" w:cs="Arial" w:eastAsia="Arial" w:hAnsi="Arial"/>
          <w:sz w:val="16"/>
          <w:szCs w:val="16"/>
          <w:b w:val="1"/>
          <w:bCs w:val="1"/>
          <w:color w:val="auto"/>
        </w:rPr>
        <w:t xml:space="preserve">Accumulated Other Comprehensive Loss </w:t>
      </w:r>
      <w:r>
        <w:rPr>
          <w:rFonts w:ascii="Arial" w:cs="Arial" w:eastAsia="Arial" w:hAnsi="Arial"/>
          <w:sz w:val="16"/>
          <w:szCs w:val="16"/>
          <w:color w:val="auto"/>
        </w:rPr>
        <w:t>– Our accumulated other comprehensive loss totaled approximately $4.3 million at December 26, 2020,</w:t>
      </w:r>
      <w:r>
        <w:rPr>
          <w:rFonts w:ascii="Arial" w:cs="Arial" w:eastAsia="Arial" w:hAnsi="Arial"/>
          <w:sz w:val="16"/>
          <w:szCs w:val="16"/>
          <w:b w:val="1"/>
          <w:bCs w:val="1"/>
          <w:color w:val="auto"/>
        </w:rPr>
        <w:t xml:space="preserve"> </w:t>
      </w:r>
      <w:r>
        <w:rPr>
          <w:rFonts w:ascii="Arial" w:cs="Arial" w:eastAsia="Arial" w:hAnsi="Arial"/>
          <w:sz w:val="16"/>
          <w:szCs w:val="16"/>
          <w:color w:val="auto"/>
        </w:rPr>
        <w:t>and $34.0 million at December 28, 2019, and was attributed to, net of income taxes where applicable: foreign currency adjustments resulting from the translation of certain accounts into U.S. Dollars and adjustments to accumulated postretirement benefit obligations. The U.S. Dollar weakened relative to certain foreign currencies in countries where we have operations as of December 26, 2020, compared to December 28, 2019 and consequently, our accumulated other comprehensive loss decreased by $27.3 million. In the previous year, the U.S. Dollar strengthened relative to certain foreign currencies in countries where we have operations and, as a result, our accumulated other comprehensive loss increased by $7.5 million. Additional information related to accumulated other comprehensive loss, on an after-tax basis is included in Note 15,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340" w:right="160"/>
        <w:spacing w:after="0" w:line="273" w:lineRule="auto"/>
        <w:rPr>
          <w:sz w:val="20"/>
          <w:szCs w:val="20"/>
          <w:color w:val="auto"/>
        </w:rPr>
      </w:pPr>
      <w:r>
        <w:rPr>
          <w:rFonts w:ascii="Arial" w:cs="Arial" w:eastAsia="Arial" w:hAnsi="Arial"/>
          <w:sz w:val="17"/>
          <w:szCs w:val="17"/>
          <w:b w:val="1"/>
          <w:bCs w:val="1"/>
          <w:color w:val="auto"/>
        </w:rPr>
        <w:t xml:space="preserve">Recently Adopted Accounting Pronouncements </w:t>
      </w:r>
      <w:r>
        <w:rPr>
          <w:rFonts w:ascii="Arial" w:cs="Arial" w:eastAsia="Arial" w:hAnsi="Arial"/>
          <w:sz w:val="17"/>
          <w:szCs w:val="17"/>
          <w:color w:val="auto"/>
        </w:rPr>
        <w:t>– 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Instruments-Credit Losses (Topic 326):</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ASU 2016-13 was subsequently amended by ASU 2019-04,</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2019-05,</w:t>
      </w:r>
      <w:r>
        <w:rPr>
          <w:rFonts w:ascii="Arial" w:cs="Arial" w:eastAsia="Arial" w:hAnsi="Arial"/>
          <w:sz w:val="17"/>
          <w:szCs w:val="17"/>
          <w:i w:val="1"/>
          <w:iCs w:val="1"/>
          <w:color w:val="auto"/>
        </w:rPr>
        <w:t xml:space="preserve"> Financial Instruments-Credit Losses (Topic 326): Targeted Transition Relief</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2019-10, </w:t>
      </w:r>
      <w:r>
        <w:rPr>
          <w:rFonts w:ascii="Arial" w:cs="Arial" w:eastAsia="Arial" w:hAnsi="Arial"/>
          <w:sz w:val="17"/>
          <w:szCs w:val="17"/>
          <w:i w:val="1"/>
          <w:iCs w:val="1"/>
          <w:color w:val="auto"/>
        </w:rPr>
        <w:t>Financial Instruments—Credit Losses (Topic 326), Derivatives and Hedging (Topic 815), and Leases (Topic 842): Effective Dates</w:t>
      </w:r>
      <w:r>
        <w:rPr>
          <w:rFonts w:ascii="Arial" w:cs="Arial" w:eastAsia="Arial" w:hAnsi="Arial"/>
          <w:sz w:val="17"/>
          <w:szCs w:val="17"/>
          <w:color w:val="auto"/>
        </w:rPr>
        <w:t xml:space="preserve"> and ASU 2019-11</w:t>
      </w:r>
      <w:r>
        <w:rPr>
          <w:rFonts w:ascii="Arial" w:cs="Arial" w:eastAsia="Arial" w:hAnsi="Arial"/>
          <w:sz w:val="17"/>
          <w:szCs w:val="17"/>
          <w:i w:val="1"/>
          <w:iCs w:val="1"/>
          <w:color w:val="auto"/>
        </w:rPr>
        <w:t>, Codification Improvements to Topic 326, Financial Instruments—Credit Losses</w:t>
      </w:r>
      <w:r>
        <w:rPr>
          <w:rFonts w:ascii="Arial" w:cs="Arial" w:eastAsia="Arial" w:hAnsi="Arial"/>
          <w:sz w:val="17"/>
          <w:szCs w:val="17"/>
          <w:color w:val="auto"/>
        </w:rPr>
        <w:t>. ASU 2016-13, as amended, affects trade receivables, financial assets and certain other instruments that are not measured at fair value through net income. The adoption of ASU 2016-13 did not have a material impact on our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which improves fair value disclosure requirements by removing disclosures that are not cost beneficial, clarifying disclosures’ specific requirements and adding relevant disclosure requirements. This ASU is effective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and an entity can choose to early adopt any removed or modified disclosures upon issuance of this ASU and delay adoption of the additional disclosures until their effective date. The adoption of ASU 2018-13 did not have a material impact on our disclosures.</w:t>
      </w:r>
    </w:p>
    <w:p>
      <w:pPr>
        <w:spacing w:after="0" w:line="181"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Disclosure Framework - Changes to the Disclosure Requirements for Defined Benefit Plans</w:t>
      </w:r>
      <w:r>
        <w:rPr>
          <w:rFonts w:ascii="Arial" w:cs="Arial" w:eastAsia="Arial" w:hAnsi="Arial"/>
          <w:sz w:val="17"/>
          <w:szCs w:val="17"/>
          <w:color w:val="auto"/>
        </w:rPr>
        <w:t>, which improves defined benefit disclosure requirements by removing disclosures that are not cost beneficial, clarifying disclosures’ specific requirements and adding relevant disclosure requirements. The amendments in this ASU are required to be applied on a retrospective basis to all periods presented. Adoption of ASU 2018-14 resulted in the elimination of disclosures regarding the effects of a one-percentage-point change in the assumed health care cost trend rates on the aggregate projected service and interest cost and accumulated postretirement benefit obligation; and the addition of disclosures explaining the reasons for significant gains and losses related to the change in benefit obligations for the period. See Note 6, “Employee Benefit Plans” for further discussion of our defined benefit pension plans.</w:t>
      </w:r>
    </w:p>
    <w:p>
      <w:pPr>
        <w:spacing w:after="0" w:line="177" w:lineRule="exact"/>
        <w:rPr>
          <w:sz w:val="20"/>
          <w:szCs w:val="20"/>
          <w:color w:val="auto"/>
        </w:rPr>
      </w:pPr>
    </w:p>
    <w:p>
      <w:pPr>
        <w:ind w:left="340" w:right="180"/>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which simplifies the accounting for income taxes by eliminating certain exceptions for investments, intraperiod allocations and interim calculations. The new guidance also simplifies aspects of the accounting for franchise taxes, enacted changes in tax laws or rates, and clarifies the accounting for transactions that result in a step-up in the tax basis of goodwill. The amendments did not create new accounting requirements. We adopted the standard as of December 29, 2019. The adoption of this standard did not have a significant impact on our consolidated financial statements.</w:t>
      </w:r>
    </w:p>
    <w:p>
      <w:pPr>
        <w:spacing w:after="0" w:line="176" w:lineRule="exact"/>
        <w:rPr>
          <w:sz w:val="20"/>
          <w:szCs w:val="20"/>
          <w:color w:val="auto"/>
        </w:rPr>
      </w:pPr>
    </w:p>
    <w:p>
      <w:pPr>
        <w:ind w:left="340" w:right="160"/>
        <w:spacing w:after="0" w:line="254"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In March 2020, the FASB issued ASU 2020-04,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Reference Rate Reform (Topic 848): Facilitation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Effects of Reference Rate Reform on Financial Reporting</w:t>
      </w:r>
      <w:r>
        <w:rPr>
          <w:rFonts w:ascii="Arial" w:cs="Arial" w:eastAsia="Arial" w:hAnsi="Arial"/>
          <w:sz w:val="18"/>
          <w:szCs w:val="18"/>
          <w:color w:val="auto"/>
        </w:rPr>
        <w:t>, which provides temporary optional expedients and exceptions for applying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accounting principles to contracts, hedging relationships and other transactions affected by reference rate reform. Our Term Loan Credit Facility bears interest at fluctuating interest rates based on LIBOR. If LIBOR ceases to exist, we may need to renegotiate our loan and we cannot predict what alternative index would be negotiated with our lenders. ASU 2020-04 was effective upon issuance and may be applied prospectively to contract modifications made on or before December 31, 2022. We do not expect the adoption of this guidance to have a material impact on our consolidated financial statements.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On October 1, 2018, pursuant to the Agreement and Plan of Merger dated as of May 7, 2018, we merged with Xcerra, a Massachusetts-based company. At the time of the merger each share of Xcerra common stock issued and outstanding immediately (other than dissenting shares and shares held by Cohu, Xcerra or any direct or indirect wholly owned subsidiary of Cohu or Xcerra), were converted into the right to receive, in the aggregate for all shares of Xcerra common stock, consideration totaling $794.4 million.</w:t>
      </w:r>
    </w:p>
    <w:p>
      <w:pPr>
        <w:spacing w:after="0" w:line="187"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color w:val="auto"/>
        </w:rPr>
        <w:t>Xcerra, formerly known as LTX-Credence Corporation, is a global provider of test and handling capital equipment, interface products and related services to the semiconductor and electronics manufacturing industries. Xcerra was comprised of four businesses in the semiconductor and electronics manufacturing test markets: atg-Luther &amp; Maelzer, Everett Charles Technologies, LTX-Credence and Multitest. The acquisition of Xcerra was a strategic transaction to expand our total available market, extend our market leadership and broaden our product offerings.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Cohu financed the merger, including all related fees and expenses, with the following:</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$160.5 million cash from our combined balance sheets;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incurrence of $350.0 million from the Credit Facility, as defined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11,776,149 shares of Cohu common stock; and</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529,995 assumed RSUs to Xcerra employees, of which $0.8 million of the fair value of the assumed RSUs was attributed to pre-merger services.</w:t>
      </w:r>
    </w:p>
    <w:p>
      <w:pPr>
        <w:spacing w:after="0" w:line="170"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On October 1, 2018, Cohu entered into a credit agreement with Cohu, as borrower, certain of its subsidiaries as guarantor subsidiaries, the financial institutions party thereto from time to time as lenders, and Deutsche Bank AG New York Branch, as administrative agent and collateral agent, providing for a $350.0 million Credit Facility (the “Credit Facility”), and borrowed the full amount. Loans under the Credit Facility amortize in equal quarterly installments equal to 0.25% of the original principal amount thereof, with the balance payable at maturity. Subject to certain exceptions and thresholds, the Credit Facility will also require mandatory prepayments in connection with (i) excess cash flow, (ii) non-ordinary course asset sales and other dispositions and (iii) the issuance of certain debt obligations, among other things. Cohu has the right to prepay loans under the Credit Agreement in whole or in part at any time, without premium or penalty. Amounts repaid in respect of loans under the Credit Facility may not be reborrowed. All outstanding principal and interest in respect of the Credit Facility must be repaid on or before October 1, 2025. The loans under the Term Loan Facility bear interest, at Cohu’s option, at a floating annual rate equal to LIBOR plus a margin of 3.00%. The lender may accelerate the payment terms of the Credit Agreement upon the occurrence of certain events of default set forth therein, which include: the failure of Cohu to make timely payments of amounts due under the Credit Agreement, the failure of Cohu to adhere to the representations and covenants set forth in the Credit Agreement or to provide required notices, upon the event that related collateral agreements become ineffective, upon the event that certain legal judgments are entered against Cohu, the insolvency of Cohu, or upon the change of control of Cohu.</w:t>
      </w:r>
    </w:p>
    <w:p>
      <w:pPr>
        <w:spacing w:after="0" w:line="174"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 xml:space="preserve">The acquisition method of accounting is based 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and uses the fair value concepts defined in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The purchase price allocation described herein contains adjustments made during the post-acquisition measurement period, which were made as a result of obtaining new facts and circumstances related to certain assets acquired and liabilities assumed as of the date of acquisition. The net impact of the measurement period adjustments was offset against goodwill.</w:t>
      </w:r>
    </w:p>
    <w:p>
      <w:pPr>
        <w:spacing w:after="0" w:line="171" w:lineRule="exact"/>
        <w:rPr>
          <w:sz w:val="20"/>
          <w:szCs w:val="20"/>
          <w:color w:val="auto"/>
        </w:rPr>
      </w:pPr>
    </w:p>
    <w:p>
      <w:pPr>
        <w:ind w:left="340" w:right="60"/>
        <w:spacing w:after="0" w:line="301" w:lineRule="auto"/>
        <w:rPr>
          <w:sz w:val="20"/>
          <w:szCs w:val="20"/>
          <w:color w:val="auto"/>
        </w:rPr>
      </w:pPr>
      <w:r>
        <w:rPr>
          <w:rFonts w:ascii="Arial" w:cs="Arial" w:eastAsia="Arial" w:hAnsi="Arial"/>
          <w:sz w:val="16"/>
          <w:szCs w:val="16"/>
          <w:color w:val="auto"/>
        </w:rPr>
        <w:t>The acquisition was nontaxable to Cohu and certain of the assets acquired, including goodwill and intangibles, will not be deductible for tax purposes. The acquired assets and liabilities of Xcerra were recorded at their respective fair values including an amount for goodwill which represents the purchase price paid in excess of the fair value of net tangible and intangible assets acquired, and is attributable primarily to expected synergies, economies of scale and the assembled workforce of Xcerra. Goodwill has been allocated to our THG, STG, ISG and PTG operating segments.</w:t>
      </w:r>
    </w:p>
    <w:p>
      <w:pPr>
        <w:spacing w:after="0" w:line="15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We recorded a $19.6 million step-up of inventory to its fair value as of the acquisition date based on the valuation which was fully amortized to cost of sales as of December 28,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allocation of the intangible assets subject to amortization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Estimated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Useful Life</w:t>
            </w:r>
          </w:p>
        </w:tc>
      </w:tr>
      <w:tr>
        <w:trPr>
          <w:trHeight w:val="230"/>
        </w:trPr>
        <w:tc>
          <w:tcPr>
            <w:tcW w:w="6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100" w:type="dxa"/>
            <w:vAlign w:val="bottom"/>
          </w:tcPr>
          <w:p>
            <w:pPr>
              <w:spacing w:after="0"/>
              <w:rPr>
                <w:sz w:val="20"/>
                <w:szCs w:val="20"/>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194,600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65,890</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36,360</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indefinite</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Product backlog</w:t>
            </w:r>
          </w:p>
        </w:tc>
        <w:tc>
          <w:tcPr>
            <w:tcW w:w="2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6,410</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11.0</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Favorable leases</w:t>
            </w:r>
          </w:p>
        </w:tc>
        <w:tc>
          <w:tcPr>
            <w:tcW w:w="2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1,100</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321,160</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84"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The value assigned to developed technology was determined by using the multi-period excess earnings method under the income approach. Developed technology, which comprises products that have reached technological feasibility, includes the products in Xcerra’s product line. The revenue estimates used to value the developed technology were based on estimates of relevant market sizes and growth factors, expected trends in technology and the nature and expected timing of new product introductions by Xcerra and competitors. The estimated cash flows were based on revenues for the developed technology net of operating expenses and net of contributory asset charges.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2" w:lineRule="exact"/>
        <w:rPr>
          <w:sz w:val="20"/>
          <w:szCs w:val="20"/>
          <w:color w:val="auto"/>
        </w:rPr>
      </w:pPr>
    </w:p>
    <w:p>
      <w:pPr>
        <w:jc w:val="both"/>
        <w:ind w:left="340" w:right="240"/>
        <w:spacing w:after="0" w:line="263" w:lineRule="auto"/>
        <w:rPr>
          <w:sz w:val="20"/>
          <w:szCs w:val="20"/>
          <w:color w:val="auto"/>
        </w:rPr>
      </w:pPr>
      <w:r>
        <w:rPr>
          <w:rFonts w:ascii="Arial" w:cs="Arial" w:eastAsia="Arial" w:hAnsi="Arial"/>
          <w:sz w:val="18"/>
          <w:szCs w:val="18"/>
          <w:color w:val="auto"/>
        </w:rPr>
        <w:t>The value assigned to customer relationships was determined by using the with and without method under the income approach, which analyzes the difference in discounted cash flows generated with the customer relationships in place compared to the discounted cash flows generated without the customer relationships in place.</w:t>
      </w:r>
    </w:p>
    <w:p>
      <w:pPr>
        <w:spacing w:after="0" w:line="184"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In-process research and development (“IPR&amp;D”) represents the estimated fair value assigned to research and development projects acquired in a business combination that have not been completed at the date of acquisition and which have no alternative future use. IPR&amp;D is initially accounted for as an indefinite-lived intangible asset. Once a project reaches technological feasibility amounts capitalized related to the project are reclassified to developed technology and the intangible asset begins to be amortized over its estimated useful life. For the IPR&amp;D, additional research and development will be required to assess technological feasibility.</w:t>
      </w:r>
    </w:p>
    <w:p>
      <w:pPr>
        <w:spacing w:after="0" w:line="188"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color w:val="auto"/>
        </w:rPr>
        <w:t>The value assigned to backlog acquired was estimated based upon the contractual nature of the backlog as of October 1, 2018, using the income approach to discount back to present value the cash flows attributable to the backlog.</w:t>
      </w:r>
    </w:p>
    <w:p>
      <w:pPr>
        <w:spacing w:after="0" w:line="1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The value assigned to trademarks and trade names was estimated using the relief-from-royalty method of the income approach. This approach is based on the assumption that in lieu of ownership, a company would be willing to pay a royalty in order to exploit the related benefits of this intangible asset.</w:t>
      </w:r>
    </w:p>
    <w:p>
      <w:pPr>
        <w:spacing w:after="0" w:line="124"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 xml:space="preserve">In our estimate of the fair value of Xcerra’s net assets, Cohu identified leases that appear to be at both favorable and unfavorable rates compared to current market rates. As a result, Cohu has recorded both favorable and unfavorable lease assets, which are being amortized to rent expense over the terms of the related lease. As of December 29, 2018, favorable leases were reclassified from intangible assets, net to operating lease right of use assets as a result of our adoption of ASU 2016-2,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Purchased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value of our goodwill during the years ended December 26, 2020, and December 28, 2019,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Semiconductor Test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color w:val="auto"/>
              </w:rPr>
              <w:t>&amp;</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Inspection</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PCB Test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Total Goodwill</w:t>
            </w:r>
          </w:p>
        </w:tc>
        <w:tc>
          <w:tcPr>
            <w:tcW w:w="80" w:type="dxa"/>
            <w:vAlign w:val="bottom"/>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2018</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242,127</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2,117</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1,134</w:t>
            </w:r>
          </w:p>
        </w:tc>
      </w:tr>
      <w:tr>
        <w:trPr>
          <w:trHeight w:val="216"/>
        </w:trPr>
        <w:tc>
          <w:tcPr>
            <w:tcW w:w="36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Impairments </w:t>
            </w:r>
            <w:r>
              <w:rPr>
                <w:rFonts w:ascii="Arial" w:cs="Arial" w:eastAsia="Arial" w:hAnsi="Arial"/>
                <w:sz w:val="25"/>
                <w:szCs w:val="25"/>
                <w:color w:val="auto"/>
                <w:vertAlign w:val="superscript"/>
              </w:rPr>
              <w:t>(1)</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(3,435)</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(3,877)</w:t>
            </w:r>
          </w:p>
        </w:tc>
      </w:tr>
      <w:tr>
        <w:trPr>
          <w:trHeight w:val="20"/>
        </w:trPr>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December 28, 2019</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19,894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238,669</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1,686</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13,635</w:t>
            </w:r>
          </w:p>
        </w:tc>
      </w:tr>
      <w:tr>
        <w:trPr>
          <w:trHeight w:val="20"/>
        </w:trPr>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2020</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230,724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252,304</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080" w:hanging="8"/>
        <w:spacing w:after="0" w:line="342"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Impairment of goodwill associated with our FSG segment that is presented as discontinued operations. This amount was not pushed down in the consolidated financial statements and was included within the balance of our Semiconductor Test &amp; Inspection segment.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Purchased intangible assets, subject to amortization,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December 26, 2020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28, 2019</w:t>
            </w:r>
          </w:p>
        </w:tc>
      </w:tr>
      <w:tr>
        <w:trPr>
          <w:trHeight w:val="195"/>
        </w:trPr>
        <w:tc>
          <w:tcPr>
            <w:tcW w:w="2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Remaining</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Gross Carrying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Useful Life</w:t>
            </w:r>
          </w:p>
        </w:tc>
        <w:tc>
          <w:tcPr>
            <w:tcW w:w="22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Gross Carrying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Accumulated</w:t>
            </w:r>
          </w:p>
        </w:tc>
      </w:tr>
      <w:tr>
        <w:trPr>
          <w:trHeight w:val="230"/>
        </w:trPr>
        <w:tc>
          <w:tcPr>
            <w:tcW w:w="2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5"/>
              </w:rPr>
              <w:t>Amortization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Amortization</w:t>
            </w:r>
          </w:p>
        </w:tc>
        <w:tc>
          <w:tcPr>
            <w:tcW w:w="100" w:type="dxa"/>
            <w:vAlign w:val="bottom"/>
          </w:tcPr>
          <w:p>
            <w:pPr>
              <w:spacing w:after="0"/>
              <w:rPr>
                <w:sz w:val="20"/>
                <w:szCs w:val="20"/>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239,250</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83,246</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5.7</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227,619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22,751</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72,251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14,824</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6,279</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Covenant not-to-compete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0"/>
        </w:trPr>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338,279</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112,412</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322,804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68,617</w:t>
            </w: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60"/>
        <w:spacing w:after="0" w:line="279" w:lineRule="auto"/>
        <w:rPr>
          <w:sz w:val="20"/>
          <w:szCs w:val="20"/>
          <w:color w:val="auto"/>
        </w:rPr>
      </w:pPr>
      <w:r>
        <w:rPr>
          <w:rFonts w:ascii="Arial" w:cs="Arial" w:eastAsia="Arial" w:hAnsi="Arial"/>
          <w:sz w:val="17"/>
          <w:szCs w:val="17"/>
          <w:color w:val="auto"/>
        </w:rPr>
        <w:t>The table above excludes $7.8 million and $20.8 million of in-process technology in 2020 and 2019, respectively, which has an indefinite life and is subject to impairment or future amortization as developed technology when the projects are completed. During the current year $1.8 million of in-process technology was completed and transferred to developed technology and began being amortized. Changes in the carrying values of purchased intangible assets presented above are a result of the impact of fluctuation in currency exchange rates.</w:t>
      </w:r>
    </w:p>
    <w:p>
      <w:pPr>
        <w:spacing w:after="0" w:line="171"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We evaluate goodwill and other indefinite-lived intangible assets for impairment annually and when an event occurs, or circumstances change that indicate that the carrying value may not be recoverable. We completed our required annual goodwill and indefinite-lived intangible impairment testing as of October 1, 2019, the first day of our fourth quarter and concluded there were no impairments of goodwill within our reporting units or our indefinite-lived intangible assets at that time. Other events and changes in circumstances may also require goodwill and our indefinite-lived intangible assets to be tested for impairment between annual measurement dates. During the first quarter of 2020, the volatility in Cohu’s stock price, the global economic downturn and business interruptions associated with the COVID-19 pandemic led us to determine that there was a triggering event related to goodwill and our indefinite-lived intangible assets. We performed an interim assessment as of March 28, 2020 and concluded there was no impairment of goodwill within our reporting units. Anticipated delays in customer adoption of certain new products under development as a result of the COVID-19 pandemic, changes to future project roadmaps and an increase in the discount rate used in developing our interim fair value estimate resulted in a $3.9 million impairment to IPR&amp;D as the carrying value exceeded fair value. During the third quarter of 2020, we became aware of additional delays in customer adoption of these new products under development leading us to re-evaluate the fair value of these projects and we determined that the carrying value exceeded the fair value and, as a result, we recorded an additional $7.3 million impairment to IPR&amp;D. For the twelve months ended December 26, 2020 total impairments recorded to IPR&amp;D projects was $11.2 million.</w:t>
      </w:r>
    </w:p>
    <w:p>
      <w:pPr>
        <w:spacing w:after="0" w:line="174" w:lineRule="exact"/>
        <w:rPr>
          <w:sz w:val="20"/>
          <w:szCs w:val="20"/>
          <w:color w:val="auto"/>
        </w:rPr>
      </w:pPr>
    </w:p>
    <w:p>
      <w:pPr>
        <w:ind w:left="340" w:right="460"/>
        <w:spacing w:after="0" w:line="275" w:lineRule="auto"/>
        <w:rPr>
          <w:sz w:val="20"/>
          <w:szCs w:val="20"/>
          <w:color w:val="auto"/>
        </w:rPr>
      </w:pPr>
      <w:r>
        <w:rPr>
          <w:rFonts w:ascii="Arial" w:cs="Arial" w:eastAsia="Arial" w:hAnsi="Arial"/>
          <w:sz w:val="17"/>
          <w:szCs w:val="17"/>
          <w:color w:val="auto"/>
        </w:rPr>
        <w:t>The forecasts utilized in the interim impairment tests were based on known facts and circumstances. We evaluate and consider recent events and uncertain items, as well as related potential implications, as part of our annual and interim assessments and incorporate them into the analyses as appropriate. These facts and circumstances are subject to change and may not be the same as future analyses. In a future period, should we again determine that an interim goodwill and indefinite-lived intangible asset impairment review is required, we may be required to book additional impairment charges which could have a significant negative impact on our results of operations.</w:t>
      </w:r>
    </w:p>
    <w:p>
      <w:pPr>
        <w:sectPr>
          <w:pgSz w:w="11900" w:h="16838" w:orient="portrait"/>
          <w:cols w:equalWidth="0" w:num="1">
            <w:col w:w="11200"/>
          </w:cols>
          <w:pgMar w:left="320" w:top="125" w:right="379" w:bottom="1440" w:gutter="0" w:footer="0" w:header="0"/>
        </w:sectPr>
      </w:pP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Amortization expense related to purchased intangible assets was approximately $38.7 million in 2020, $39.6 million in 2019 and $17.2 million in 2018. As of December 26, 2020, we expect amortization expense in future periods to be as follows: 2021 - $36.4 million; 2022 - $36.4 million; 2023 - $36.3 million; 2024 - $36.3 million 2025 - $27.1 million; and thereafter $53.5 million.</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and Credit Agreements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our borrowings as of December 26, 2020 and December 28, 2019:</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Fiscal year ended</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1"/>
              </w:rPr>
              <w:t>December 26, 2020</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December 28,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Bank term loan under credit agreement</w:t>
            </w:r>
          </w:p>
        </w:tc>
        <w:tc>
          <w:tcPr>
            <w:tcW w:w="500" w:type="dxa"/>
            <w:vAlign w:val="bottom"/>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306,630</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Bank term loans-Kita</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3,662</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Bank term loan-Xcerra</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Construction loan-Cohu GmbH</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9,902</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5,314</w:t>
            </w: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325,508</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360,476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financing fees and discount</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(8,389)</w:t>
            </w:r>
          </w:p>
        </w:tc>
        <w:tc>
          <w:tcPr>
            <w:tcW w:w="8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49"/>
        </w:trPr>
        <w:tc>
          <w:tcPr>
            <w:tcW w:w="6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long-term debt</w:t>
            </w:r>
          </w:p>
        </w:tc>
        <w:tc>
          <w:tcPr>
            <w:tcW w:w="50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311,551</w:t>
            </w:r>
          </w:p>
        </w:tc>
        <w:tc>
          <w:tcPr>
            <w:tcW w:w="80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debt principal payments, excluding financing lease obligations, for the next five years and thereafter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4,720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4,730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293,864</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80" w:type="dxa"/>
            <w:vAlign w:val="bottom"/>
          </w:tcPr>
          <w:p>
            <w:pPr>
              <w:spacing w:after="0"/>
              <w:rPr>
                <w:sz w:val="18"/>
                <w:szCs w:val="18"/>
                <w:color w:val="auto"/>
              </w:rPr>
            </w:pP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325,508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25"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color w:val="auto"/>
        </w:rPr>
        <w:t>On October 1, 2018, we entered into a Credit Agreement providing for a $350.0 million Credit Facility and borrowed the full amount to finance a portion of the Xcerra acquisition. Loans under the Credit Facility amortize in equal quarterly installments of 0.25% of the original principal amount, with the balance payable at maturity. All outstanding principal and interest in respect of the Credit Facility must be repaid on or before October 1, 2025. The loans under the Term Loan Facility bear interest, at Cohu’s option, at a floating annual rate equal to LIBOR plus a margin of 3.00%. At December 26, 2020, the outstanding loan balance, net of discount and deferred financing costs, was $301.1 million and $2.4 million of the outstanding balance is presented as current installments of long-term debt in our consolidated balance sheets. At December 28, 2019, the outstanding loan balance, net of discount and deferred financing costs, was $339.1 million and $2.3 million of the outstanding balance is presented as current installments of long-term debt in our consolidated balance sheets. As of December 26, 2020, the fair value of the debt was $303.1 million. The measurement of the fair value of debt is based on the average of the bid and ask trading quotes as of December 26, 2020 and is considered a Level 2 fair value measurement.</w:t>
      </w:r>
    </w:p>
    <w:p>
      <w:pPr>
        <w:spacing w:after="0" w:line="194"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Under the terms of the Credit Agreement, the lender may accelerate the payment terms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December 26, 2020, we believe no such events of default have occurred.</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During 2020 we repurchased $36.4 million in principal of our Term Loan Facility for $35.4 million in cash. We accounted for the repurchase as a debt extinguishment, which resulted in a gain of $0.3 million reflected in other expense, net, in our consolidated statement of operations, as well as a $0.7 million reduction in debt discounts and deferred financing costs in our consolidated balance sheets. After the repurchase, approximately $306.6 million in principal of the Term Loan Facility remains outstanding as of December 26,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25" w:lineRule="exact"/>
        <w:rPr>
          <w:sz w:val="20"/>
          <w:szCs w:val="20"/>
          <w:color w:val="auto"/>
        </w:rPr>
      </w:pPr>
    </w:p>
    <w:p>
      <w:pPr>
        <w:ind w:left="340" w:right="280"/>
        <w:spacing w:after="0" w:line="257" w:lineRule="auto"/>
        <w:rPr>
          <w:sz w:val="20"/>
          <w:szCs w:val="20"/>
          <w:color w:val="auto"/>
        </w:rPr>
      </w:pPr>
      <w:r>
        <w:rPr>
          <w:rFonts w:ascii="Arial" w:cs="Arial" w:eastAsia="Arial" w:hAnsi="Arial"/>
          <w:sz w:val="18"/>
          <w:szCs w:val="18"/>
          <w:color w:val="auto"/>
        </w:rPr>
        <w:t>As a result of our acquisition of Kita, we assumed term loans from a series of Japanese financial institutions primarily related to the expansion of Kita’s facility in Osaka, Japan. The loans are collateralized by the facility and land, carry interest rates ranging from 0.05% to 0.44%, and expire at various dates through 2034. At December 26, 2020, the outstanding loan balance was $3.6 million and $0.3 million of the outstanding balance is presented as current installments of long-term debt in our consolidated balance sheets. The fair value of the debt approximates the carrying value at December 26, 2020.</w:t>
      </w:r>
    </w:p>
    <w:p>
      <w:pPr>
        <w:spacing w:after="0" w:line="188"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term loans are denominated in Japanese Yen and, as a result, amounts disclosed herein will fluctuate because of changes in currency exchange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Xcerra Term Loan</w:t>
      </w:r>
    </w:p>
    <w:p>
      <w:pPr>
        <w:spacing w:after="0" w:line="22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As a result of our acquisition of Xcerra, we assumed a term loan related to the purchase of Xcerra’s facility in Rosenheim, Germany. The loan was payable over 10 years at an annual interest rate of 2.35%. Principal plus accrued interest was due quarterly over the duration of the term loan ending in March 2024. At December 28, 2019, the outstanding loan balance was $1.5 million and $0.3 million of the outstanding balance is presented as current installments of long-term debt in our consolidated balance sheets. During 2020 the term loan was fully repaid using proceeds received from the sale of our facility located in Rosenheim, Germany.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Construction Loans</w:t>
      </w:r>
    </w:p>
    <w:p>
      <w:pPr>
        <w:spacing w:after="0" w:line="225"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On July 26, 2019, one of our wholly owned subsidiaries located in Germany entered into two construction loans (“Loan Facilities”) with a German financial institution providing total borrowing of €8.6 million. The Loan Facilities have 10-year and 15-year terms, which commenced on August 1, 2019, the initial draw-down date. Additionally, on June 16, 2020, a third construction loan with the same financial institution was entered into providing total borrowing of €1.5 million. This loan facility has a 10-year term, which has not commenced. The Loan Facilities are being utilized to finance the expansion of our facility in Kolbermoor, Germany, enabling us to combine the operations of multiple subsidiaries in one location as part of our previously announced strategic restructuring program. The Loan Facilities are secured by the land and the existing building on the site and bear interest at agreed upon rates based on separate €3.4 million, €5.2 million and €1.5 million facility amounts.</w:t>
      </w:r>
    </w:p>
    <w:p>
      <w:pPr>
        <w:spacing w:after="0" w:line="177" w:lineRule="exact"/>
        <w:rPr>
          <w:sz w:val="20"/>
          <w:szCs w:val="20"/>
          <w:color w:val="auto"/>
        </w:rPr>
      </w:pPr>
    </w:p>
    <w:p>
      <w:pPr>
        <w:jc w:val="both"/>
        <w:ind w:left="340" w:right="220"/>
        <w:spacing w:after="0" w:line="263" w:lineRule="auto"/>
        <w:rPr>
          <w:sz w:val="20"/>
          <w:szCs w:val="20"/>
          <w:color w:val="auto"/>
        </w:rPr>
      </w:pPr>
      <w:r>
        <w:rPr>
          <w:rFonts w:ascii="Arial" w:cs="Arial" w:eastAsia="Arial" w:hAnsi="Arial"/>
          <w:sz w:val="18"/>
          <w:szCs w:val="18"/>
          <w:color w:val="auto"/>
        </w:rPr>
        <w:t>On August 1, 2019, the full €3.4 million was drawn under the first facility, which is payable over 10 years at an annual interest rate of 0.8%. Interest only payments are required to be made each quarter starting in September 2019 with principal and interest payments due each quarter starting in the month of December 2021. Principal repayments will be made over 8 years starting at the end of 2021.</w:t>
      </w:r>
    </w:p>
    <w:p>
      <w:pPr>
        <w:spacing w:after="0" w:line="184"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Through December 26, 2020, we drew €4.9 million under the second facility, which is payable over 15 years at an annual interest rate of 1.05%. Interest only payments are required to be made each month starting in December 2019 with principal and interest payments due each month starting in the month of May 2020. Principal repayments will be made over 15 years starting at the end of May 2020. As of December 26, 2020, €0.3 million had not been drawn under the second facility.</w:t>
      </w:r>
    </w:p>
    <w:p>
      <w:pPr>
        <w:spacing w:after="0" w:line="18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Through December 26, 2020, no amounts have been drawn under the third facility. Future amounts, if drawn, will be payable over 10 years at an annual interest rate of 1.2%. Interest payments are required to be made each month starting in the month following the first draw-down date with principal and interest payments due each month starting in the month of May 2021. Principal repayments will be made over 10 years starting at the end of May 2021.</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300"/>
        <w:spacing w:after="0" w:line="259" w:lineRule="auto"/>
        <w:rPr>
          <w:sz w:val="20"/>
          <w:szCs w:val="20"/>
          <w:color w:val="auto"/>
        </w:rPr>
      </w:pPr>
      <w:r>
        <w:rPr>
          <w:rFonts w:ascii="Arial" w:cs="Arial" w:eastAsia="Arial" w:hAnsi="Arial"/>
          <w:sz w:val="18"/>
          <w:szCs w:val="18"/>
          <w:color w:val="auto"/>
        </w:rPr>
        <w:t>At December 26, 2020 and December 28, 2019, total outstanding borrowings under the Loan Facilities was $9.9 million and $5.5 million with $0.4 million and $0.3 million of the total outstanding balance being presented as current installments of long-term debt in our consolidated balance sheets based on contractual due dates, respectively. The loans are denominated in Euros and, as a result, amounts disclosed herein will fluctuate because of changes in currency exchange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25"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$9.3 million. At December 26, 2020, total borrowings outstanding under the revolving lines of credit were $5.3 million. As these credit facility agreements renew monthly, they have been included in short-term borrowings in our consolidated balance sheet.</w:t>
      </w:r>
    </w:p>
    <w:p>
      <w:pPr>
        <w:spacing w:after="0" w:line="18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pacing w:after="0" w:line="170"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Our wholly owned Ismeca subsidiary has one available line of credit which provides it with borrowings of up to a total of 2.0 million Swiss Francs. At December 26, 2020, and December 28, 2019, no amounts were outstanding under this line of credit.</w:t>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Subsequent to the acquisition of Xcerra, during the fourth quarter of 2018, we began a strategic restructuring program designed to reposition our organization and improve our cost structure as part of our targeted integration plan regarding the recently acquired Xcerra (“Integration Program”). See Note 2, “Business Acquisitions, Goodwill and Purchased Intangible Assets” for additional information regarding this transaction. As part of the Integration Program we consolidated our global handler and contactor manufacturing operations and closed our manufacturing operations in Penang, Malaysia and Fontana, California in 2019.</w:t>
      </w:r>
    </w:p>
    <w:p>
      <w:pPr>
        <w:spacing w:after="0" w:line="188" w:lineRule="exact"/>
        <w:rPr>
          <w:sz w:val="20"/>
          <w:szCs w:val="20"/>
          <w:color w:val="auto"/>
        </w:rPr>
      </w:pPr>
    </w:p>
    <w:p>
      <w:pPr>
        <w:ind w:left="340" w:right="100"/>
        <w:spacing w:after="0" w:line="254" w:lineRule="auto"/>
        <w:rPr>
          <w:sz w:val="20"/>
          <w:szCs w:val="20"/>
          <w:color w:val="auto"/>
        </w:rPr>
      </w:pPr>
      <w:r>
        <w:rPr>
          <w:rFonts w:ascii="Arial" w:cs="Arial" w:eastAsia="Arial" w:hAnsi="Arial"/>
          <w:sz w:val="18"/>
          <w:szCs w:val="18"/>
          <w:color w:val="auto"/>
        </w:rPr>
        <w:t>In the second quarter of 2019, we began the Integration Program of our German operations and entered a social plan with the German labor organization representing certain of the employees of our wholly owned subsidiary, Multitest elektronische Systeme GmbH. During the fourth quarter of 2020 we implemented a voluntary program and termination agreements with certain employees of our wholly owned subsidiary, Cohu GmbH. These programs will collectively reduce headcount, enable us to consolidate the facilities of our multiple operations located near Kolbermoor and Rosenheim, Germany, as well as transition certain manufacturing to other lower cost regions. The facility consolidations and reduction in force programs are being implemented as part of a comprehensive review of our operations and are intended to streamline and reduce our operating cost structure and capitalize on acquisition synergies.</w:t>
      </w:r>
    </w:p>
    <w:p>
      <w:pPr>
        <w:spacing w:after="0" w:line="195" w:lineRule="exact"/>
        <w:rPr>
          <w:sz w:val="20"/>
          <w:szCs w:val="20"/>
          <w:color w:val="auto"/>
        </w:rPr>
      </w:pPr>
    </w:p>
    <w:p>
      <w:pPr>
        <w:ind w:left="340" w:right="40"/>
        <w:spacing w:after="0" w:line="254" w:lineRule="auto"/>
        <w:rPr>
          <w:sz w:val="20"/>
          <w:szCs w:val="20"/>
          <w:color w:val="auto"/>
        </w:rPr>
      </w:pPr>
      <w:r>
        <w:rPr>
          <w:rFonts w:ascii="Arial" w:cs="Arial" w:eastAsia="Arial" w:hAnsi="Arial"/>
          <w:sz w:val="18"/>
          <w:szCs w:val="18"/>
          <w:color w:val="auto"/>
        </w:rPr>
        <w:t xml:space="preserve">As a result of the activities described above, we recognized total pretax charges of $11.4 million, $16.2 million and $37.8 million for the years ended December 26, 2020, December 28, 2019 and December 29, 2018, respectively, that are within the scope of ASC 420, </w:t>
      </w:r>
      <w:r>
        <w:rPr>
          <w:rFonts w:ascii="Arial" w:cs="Arial" w:eastAsia="Arial" w:hAnsi="Arial"/>
          <w:sz w:val="18"/>
          <w:szCs w:val="18"/>
          <w:i w:val="1"/>
          <w:iCs w:val="1"/>
          <w:color w:val="auto"/>
        </w:rPr>
        <w:t>Exit or Disposal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w:t>
      </w:r>
      <w:r>
        <w:rPr>
          <w:rFonts w:ascii="Arial" w:cs="Arial" w:eastAsia="Arial" w:hAnsi="Arial"/>
          <w:sz w:val="18"/>
          <w:szCs w:val="18"/>
          <w:color w:val="auto"/>
        </w:rPr>
        <w:t>(“ASC 420”). Severance and other separation payments made to certain executive officers of Xcerra related to change-in-control with</w:t>
      </w:r>
      <w:r>
        <w:rPr>
          <w:rFonts w:ascii="Arial" w:cs="Arial" w:eastAsia="Arial" w:hAnsi="Arial"/>
          <w:sz w:val="18"/>
          <w:szCs w:val="18"/>
          <w:i w:val="1"/>
          <w:iCs w:val="1"/>
          <w:color w:val="auto"/>
        </w:rPr>
        <w:t xml:space="preserve"> </w:t>
      </w:r>
      <w:r>
        <w:rPr>
          <w:rFonts w:ascii="Arial" w:cs="Arial" w:eastAsia="Arial" w:hAnsi="Arial"/>
          <w:sz w:val="18"/>
          <w:szCs w:val="18"/>
          <w:color w:val="auto"/>
        </w:rPr>
        <w:t>double trigger provisions in their existing employment agreements totaled $6.9 million in the year ended December 29, 2018. Additionally, in the year ended December 29, 2018, we incurred $8.2 million of compensation costs related to the acceleration of RSUs held by certain executive officers and the Board of Directors of Xcerra because of the change in control. This non-cash expense is included in restructuring in our consolidated statements of operations.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costs of the Integration Program were, and are expected to be, incurred by our Semiconductor Test &amp; Inspection segment.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 xml:space="preserve">Charges related to the Integration Program for the years ended December 26, 2020, December 28, 2019 and December 29, 2018,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costs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Inventory related charges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2,729</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19,053</w:t>
            </w: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restructuring costs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6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11,354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16,213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37,757</w:t>
            </w:r>
          </w:p>
        </w:tc>
      </w:tr>
      <w:tr>
        <w:trPr>
          <w:trHeight w:val="20"/>
        </w:trPr>
        <w:tc>
          <w:tcPr>
            <w:tcW w:w="5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Costs associated with restructuring activities are presented in our consolidated statements of operations as restructuring charges, except for certain costs associated with inventory charges related to the decision to end manufacturing of certain of Xcerra’s semiconductor test handler products, which are classified within cost of sales. Other restructuring costs include expenses for professional fees associated with employee severance, impairments of fixed assets and facility closure costs.</w:t>
      </w:r>
    </w:p>
    <w:p>
      <w:pPr>
        <w:spacing w:after="0" w:line="18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table summarizes the activity within the restructuring related accounts for the Integration Program during the years ended December 26, 2020 and December 28,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Employee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Severance</w:t>
            </w:r>
          </w:p>
        </w:tc>
        <w:tc>
          <w:tcPr>
            <w:tcW w:w="140" w:type="dxa"/>
            <w:vAlign w:val="bottom"/>
          </w:tcPr>
          <w:p>
            <w:pPr>
              <w:spacing w:after="0"/>
              <w:rPr>
                <w:sz w:val="20"/>
                <w:szCs w:val="20"/>
                <w:color w:val="auto"/>
              </w:rPr>
            </w:pPr>
          </w:p>
        </w:tc>
        <w:tc>
          <w:tcPr>
            <w:tcW w:w="1960" w:type="dxa"/>
            <w:vAlign w:val="bottom"/>
            <w:gridSpan w:val="3"/>
          </w:tcPr>
          <w:p>
            <w:pPr>
              <w:jc w:val="right"/>
              <w:ind w:right="720"/>
              <w:spacing w:after="0"/>
              <w:rPr>
                <w:sz w:val="20"/>
                <w:szCs w:val="20"/>
                <w:color w:val="auto"/>
              </w:rPr>
            </w:pPr>
            <w:r>
              <w:rPr>
                <w:rFonts w:ascii="Arial" w:cs="Arial" w:eastAsia="Arial" w:hAnsi="Arial"/>
                <w:sz w:val="18"/>
                <w:szCs w:val="18"/>
                <w:color w:val="auto"/>
                <w:w w:val="93"/>
              </w:rPr>
              <w:t>Other Exit Costs</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Total</w:t>
            </w:r>
          </w:p>
        </w:tc>
      </w:tr>
      <w:tr>
        <w:trPr>
          <w:trHeight w:val="209"/>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4,026</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Costs accrued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12,170</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1,314</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13,484</w:t>
            </w:r>
          </w:p>
        </w:tc>
      </w:tr>
      <w:tr>
        <w:trPr>
          <w:trHeight w:val="216"/>
        </w:trPr>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paid or charged</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(14,909)</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(16,223)</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0"/>
        </w:trPr>
        <w:tc>
          <w:tcPr>
            <w:tcW w:w="3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28, 2019</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Costs accrued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6,485</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1,138</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7,623</w:t>
            </w:r>
          </w:p>
        </w:tc>
      </w:tr>
      <w:tr>
        <w:trPr>
          <w:trHeight w:val="216"/>
        </w:trPr>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paid or charged</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(3,193)</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0"/>
        </w:trPr>
        <w:tc>
          <w:tcPr>
            <w:tcW w:w="3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2020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w:t>
            </w: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311" w:lineRule="auto"/>
        <w:rPr>
          <w:sz w:val="20"/>
          <w:szCs w:val="20"/>
          <w:color w:val="auto"/>
        </w:rPr>
      </w:pPr>
      <w:r>
        <w:rPr>
          <w:rFonts w:ascii="Arial" w:cs="Arial" w:eastAsia="Arial" w:hAnsi="Arial"/>
          <w:sz w:val="16"/>
          <w:szCs w:val="16"/>
          <w:color w:val="auto"/>
        </w:rPr>
        <w:t>At December 26, 2020, our total accrual for restructuring related items is reflected within current liabilities in our consolidated balance sheets as these amounts are expected to be paid out in 2021. The estimated costs associated with the employee severance and facility consolidation actions will be paid predominantly in cash. All amounts accrued related to inventory will remain in our consolidated balance sheet until it is scrapped.</w:t>
      </w:r>
    </w:p>
    <w:p>
      <w:pPr>
        <w:spacing w:after="0" w:line="388"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b w:val="1"/>
          <w:bCs w:val="1"/>
          <w:color w:val="auto"/>
        </w:rPr>
        <w:t xml:space="preserve">Defined Contribution Retirement Plans </w:t>
      </w:r>
      <w:r>
        <w:rPr>
          <w:rFonts w:ascii="Arial" w:cs="Arial" w:eastAsia="Arial" w:hAnsi="Arial"/>
          <w:sz w:val="16"/>
          <w:szCs w:val="16"/>
          <w:color w:val="auto"/>
        </w:rPr>
        <w:t>– Cohu and Xcerra each maintained defined contribution 401(k) retirement savings plans covering all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salaried and hourly U.S. employees. At the beginning of 2020 the legacy Xcerra plan were merged into Cohu’s. Participation is voluntary and participants’ contributions are based on their eligible compensation. Participants in the Cohu plan receive matching contributions of 50% up to 8% of salary contributed, subject to various statutory limits. In 2020 and 2019 we made matching contributions to the plan of $2.3 million and</w:t>
      </w:r>
    </w:p>
    <w:p>
      <w:pPr>
        <w:spacing w:after="0" w:line="2" w:lineRule="exact"/>
        <w:rPr>
          <w:sz w:val="20"/>
          <w:szCs w:val="20"/>
          <w:color w:val="auto"/>
        </w:rPr>
      </w:pPr>
    </w:p>
    <w:p>
      <w:pPr>
        <w:ind w:left="340" w:right="40"/>
        <w:spacing w:after="0" w:line="260" w:lineRule="auto"/>
        <w:rPr>
          <w:sz w:val="20"/>
          <w:szCs w:val="20"/>
          <w:color w:val="auto"/>
        </w:rPr>
      </w:pPr>
      <w:r>
        <w:rPr>
          <w:rFonts w:ascii="Arial" w:cs="Arial" w:eastAsia="Arial" w:hAnsi="Arial"/>
          <w:sz w:val="18"/>
          <w:szCs w:val="18"/>
          <w:color w:val="auto"/>
        </w:rPr>
        <w:t>$2.0 million, respectively. In 2018 we made contributions to the plan of $1.1 million, which includes matching contributions to the Xcerra 401(k) plan from October 1 through December 29, 2018.</w:t>
      </w:r>
    </w:p>
    <w:p>
      <w:pPr>
        <w:spacing w:after="0" w:line="181" w:lineRule="exact"/>
        <w:rPr>
          <w:sz w:val="20"/>
          <w:szCs w:val="20"/>
          <w:color w:val="auto"/>
        </w:rPr>
      </w:pPr>
    </w:p>
    <w:p>
      <w:pPr>
        <w:ind w:left="340" w:right="100"/>
        <w:spacing w:after="0" w:line="282" w:lineRule="auto"/>
        <w:rPr>
          <w:sz w:val="20"/>
          <w:szCs w:val="20"/>
          <w:color w:val="auto"/>
        </w:rPr>
      </w:pPr>
      <w:r>
        <w:rPr>
          <w:rFonts w:ascii="Arial" w:cs="Arial" w:eastAsia="Arial" w:hAnsi="Arial"/>
          <w:sz w:val="18"/>
          <w:szCs w:val="18"/>
          <w:b w:val="1"/>
          <w:bCs w:val="1"/>
          <w:color w:val="auto"/>
        </w:rPr>
        <w:t xml:space="preserve">Defined Benefit Retirement Plans </w:t>
      </w:r>
      <w:r>
        <w:rPr>
          <w:rFonts w:ascii="Arial" w:cs="Arial" w:eastAsia="Arial" w:hAnsi="Arial"/>
          <w:sz w:val="18"/>
          <w:szCs w:val="18"/>
          <w:color w:val="auto"/>
        </w:rPr>
        <w:t>– As a result of our acquisition of Ismeca in 2013, we took over the Ismeca Europe Semiconductor BVG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Switzerland (“the Swiss Plan”) and the following discussion relates solely to the Swiss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Net periodic benefit cost of the Swiss Plan was as follows: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32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r>
      <w:tr>
        <w:trPr>
          <w:trHeight w:val="216"/>
        </w:trPr>
        <w:tc>
          <w:tcPr>
            <w:tcW w:w="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r>
      <w:tr>
        <w:trPr>
          <w:trHeight w:val="216"/>
        </w:trPr>
        <w:tc>
          <w:tcPr>
            <w:tcW w:w="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16"/>
        </w:trPr>
        <w:tc>
          <w:tcPr>
            <w:tcW w:w="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20" w:type="dxa"/>
            <w:vAlign w:val="bottom"/>
          </w:tcPr>
          <w:p>
            <w:pPr>
              <w:spacing w:after="0"/>
              <w:rPr>
                <w:sz w:val="19"/>
                <w:szCs w:val="19"/>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periodic costs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r>
      <w:tr>
        <w:trPr>
          <w:trHeight w:val="20"/>
        </w:trPr>
        <w:tc>
          <w:tcPr>
            <w:tcW w:w="3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sheets related to the Swiss Plan:</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(32,241)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(29,910)</w:t>
            </w:r>
          </w:p>
        </w:tc>
      </w:tr>
      <w:tr>
        <w:trPr>
          <w:trHeight w:val="216"/>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(1,456)</w:t>
            </w: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(1,434)</w:t>
            </w:r>
          </w:p>
        </w:tc>
      </w:tr>
      <w:tr>
        <w:trPr>
          <w:trHeight w:val="216"/>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2,313</w:t>
            </w: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Plan change</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944</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Foreign currency exchange adjustment</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(3,010)</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r>
      <w:tr>
        <w:trPr>
          <w:trHeight w:val="20"/>
        </w:trPr>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(31,039)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(32,241)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Change in plan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18,705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18,088</w:t>
            </w: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Return on assets, net of actuarial loss</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r>
      <w:tr>
        <w:trPr>
          <w:trHeight w:val="216"/>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Employer contributions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w:t>
            </w: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1,136</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1,434</w:t>
            </w:r>
          </w:p>
        </w:tc>
      </w:tr>
      <w:tr>
        <w:trPr>
          <w:trHeight w:val="216"/>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w:t>
            </w: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(3,446)</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exchange adjustment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r>
      <w:tr>
        <w:trPr>
          <w:trHeight w:val="20"/>
        </w:trPr>
        <w:tc>
          <w:tcPr>
            <w:tcW w:w="6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18,705</w:t>
            </w:r>
          </w:p>
        </w:tc>
      </w:tr>
      <w:tr>
        <w:trPr>
          <w:trHeight w:val="20"/>
        </w:trPr>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end of year</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(13,536)</w:t>
            </w:r>
          </w:p>
        </w:tc>
      </w:tr>
      <w:tr>
        <w:trPr>
          <w:trHeight w:val="20"/>
        </w:trPr>
        <w:tc>
          <w:tcPr>
            <w:tcW w:w="6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color w:val="auto"/>
        </w:rPr>
        <w:t>At December 26, 2020 and December 28, 2019, the Swiss Plan’s net liability is included in noncurrent accrued retirement benefits. Amounts recognized in accumulated other comprehensive loss net of tax related to the Swiss Plan consisted of an unrecognized net actuarial loss totaling $1.3 million at December 26, 2020, and $4.1 million at December 28, 2019.</w:t>
      </w:r>
    </w:p>
    <w:p>
      <w:pPr>
        <w:spacing w:after="0" w:line="184"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Actuarial gain of $1.9 million for the year ended December 26, 2020, was primarily due to plan experience. The actuarial loss of $1.5 million for the year ended December 28, 2019, was due to assumption changes, partially offset by plan experience.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actuarial assumptions used to determine the projected benefit obligation under the Swiss Plan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0.2%</w:t>
            </w: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Compensation increase</w:t>
            </w:r>
          </w:p>
        </w:tc>
        <w:tc>
          <w:tcPr>
            <w:tcW w:w="3900" w:type="dxa"/>
            <w:vAlign w:val="bottom"/>
          </w:tcPr>
          <w:p>
            <w:pPr>
              <w:jc w:val="right"/>
              <w:ind w:right="550"/>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assumptions used to determine net periodic benefit cost of the Swiss Plan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6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0.9%</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306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0.9%</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3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1.1%</w:t>
            </w: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1.8%</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340" w:right="160"/>
        <w:spacing w:after="0" w:line="263" w:lineRule="auto"/>
        <w:rPr>
          <w:sz w:val="20"/>
          <w:szCs w:val="20"/>
          <w:color w:val="auto"/>
        </w:rPr>
      </w:pPr>
      <w:r>
        <w:rPr>
          <w:rFonts w:ascii="Arial" w:cs="Arial" w:eastAsia="Arial" w:hAnsi="Arial"/>
          <w:sz w:val="18"/>
          <w:szCs w:val="18"/>
          <w:color w:val="auto"/>
        </w:rPr>
        <w:t>During 2021 employer and employee contributions to the Swiss Plan are expected to total $0.9 million. Estimated benefit payments are expected to be as follows: 2021 - $1.3 million; 2022 - $1.1 million; 2023 - $1.8 million; 2024 - $1.3 million; 2025 - $1.1 million; and $6.5 million thereafter through 2030.</w:t>
      </w:r>
    </w:p>
    <w:p>
      <w:pPr>
        <w:spacing w:after="0" w:line="184" w:lineRule="exact"/>
        <w:rPr>
          <w:sz w:val="20"/>
          <w:szCs w:val="20"/>
          <w:color w:val="auto"/>
        </w:rPr>
      </w:pPr>
    </w:p>
    <w:p>
      <w:pPr>
        <w:ind w:left="340" w:right="100"/>
        <w:spacing w:after="0" w:line="272" w:lineRule="auto"/>
        <w:rPr>
          <w:sz w:val="20"/>
          <w:szCs w:val="20"/>
          <w:color w:val="auto"/>
        </w:rPr>
      </w:pPr>
      <w:r>
        <w:rPr>
          <w:rFonts w:ascii="Arial" w:cs="Arial" w:eastAsia="Arial" w:hAnsi="Arial"/>
          <w:sz w:val="17"/>
          <w:szCs w:val="17"/>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58% debt securities and cash, 20% real estate investments, 10% alternative investments and 12%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7, “Financial Instruments Measured at Fair Value” for additional information on the three-tier fair value hierarchy.</w:t>
      </w:r>
    </w:p>
    <w:p>
      <w:pPr>
        <w:spacing w:after="0" w:line="177"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66" w:lineRule="exact"/>
        <w:rPr>
          <w:sz w:val="20"/>
          <w:szCs w:val="20"/>
          <w:color w:val="auto"/>
        </w:rPr>
      </w:pPr>
    </w:p>
    <w:p>
      <w:pPr>
        <w:ind w:left="340" w:right="580"/>
        <w:spacing w:after="0" w:line="347" w:lineRule="auto"/>
        <w:rPr>
          <w:sz w:val="20"/>
          <w:szCs w:val="20"/>
          <w:color w:val="auto"/>
        </w:rPr>
      </w:pPr>
      <w:r>
        <w:rPr>
          <w:rFonts w:ascii="Arial" w:cs="Arial" w:eastAsia="Arial" w:hAnsi="Arial"/>
          <w:sz w:val="16"/>
          <w:szCs w:val="16"/>
          <w:b w:val="1"/>
          <w:bCs w:val="1"/>
          <w:color w:val="auto"/>
        </w:rPr>
        <w:t xml:space="preserve">Retiree Medical Benefits </w:t>
      </w:r>
      <w:r>
        <w:rPr>
          <w:rFonts w:ascii="Arial" w:cs="Arial" w:eastAsia="Arial" w:hAnsi="Arial"/>
          <w:sz w:val="16"/>
          <w:szCs w:val="16"/>
          <w:color w:val="auto"/>
        </w:rPr>
        <w:t>– We provide post-retirement health benefits to certain executives and directors under a noncontributory plan.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periodic benefit cost was $0.1 million in 2020, 2019, and 2018. We fund benefits as costs are incurred and as a result there are no plan assets.</w:t>
      </w:r>
    </w:p>
    <w:p>
      <w:pPr>
        <w:spacing w:after="0" w:line="120" w:lineRule="exact"/>
        <w:rPr>
          <w:sz w:val="20"/>
          <w:szCs w:val="20"/>
          <w:color w:val="auto"/>
        </w:rPr>
      </w:pPr>
    </w:p>
    <w:p>
      <w:pPr>
        <w:jc w:val="both"/>
        <w:ind w:left="340" w:right="140"/>
        <w:spacing w:after="0" w:line="263"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2.1% in 2020, 3.0% in 2019 and 4.1% in 2018. The annual rates of increase of the cost of health benefits was assumed to be 6.8% in 2021. This rate was then assumed to decrease 0.27% per year to 4.4% in 2030 and remain level thereafter.</w:t>
      </w:r>
    </w:p>
    <w:p>
      <w:pPr>
        <w:spacing w:after="0" w:line="184" w:lineRule="exact"/>
        <w:rPr>
          <w:sz w:val="20"/>
          <w:szCs w:val="20"/>
          <w:color w:val="auto"/>
        </w:rPr>
      </w:pPr>
    </w:p>
    <w:p>
      <w:pPr>
        <w:jc w:val="both"/>
        <w:ind w:left="340" w:right="380"/>
        <w:spacing w:after="0" w:line="263" w:lineRule="auto"/>
        <w:rPr>
          <w:sz w:val="20"/>
          <w:szCs w:val="20"/>
          <w:color w:val="auto"/>
        </w:rPr>
      </w:pPr>
      <w:r>
        <w:rPr>
          <w:rFonts w:ascii="Arial" w:cs="Arial" w:eastAsia="Arial" w:hAnsi="Arial"/>
          <w:sz w:val="18"/>
          <w:szCs w:val="18"/>
          <w:color w:val="auto"/>
        </w:rPr>
        <w:t>Contributions to the post-retirement health benefit plan are expected to total $0.1 million in 2021. Estimated benefit payments are expected to be as follows: 2021 - $0.1 million; 2022 - $0.1 million; 2023 - $0.1 million; 2024 - $0.1 million; 2025 - $0.1 million and $0.6 million thereafter through 2030.</w:t>
      </w:r>
    </w:p>
    <w:p>
      <w:pPr>
        <w:spacing w:after="0" w:line="184"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color w:val="auto"/>
        </w:rPr>
        <w:t>The following table sets forth the post-retirement benefit obligation, funded status and the liability we have recorded in our 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3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(2,880)</w:t>
            </w:r>
          </w:p>
        </w:tc>
      </w:tr>
      <w:tr>
        <w:trPr>
          <w:trHeight w:val="216"/>
        </w:trPr>
        <w:tc>
          <w:tcPr>
            <w:tcW w:w="6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(2,571)</w:t>
            </w:r>
          </w:p>
        </w:tc>
      </w:tr>
      <w:tr>
        <w:trPr>
          <w:trHeight w:val="216"/>
        </w:trPr>
        <w:tc>
          <w:tcPr>
            <w:tcW w:w="6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0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(2,571)</w:t>
            </w:r>
          </w:p>
        </w:tc>
      </w:tr>
      <w:tr>
        <w:trPr>
          <w:trHeight w:val="412"/>
        </w:trPr>
        <w:tc>
          <w:tcPr>
            <w:tcW w:w="66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jc w:val="right"/>
              <w:ind w:right="2210"/>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8"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26, 2020, the payroll liability to participants, included in accrued compensation and benefits in the consolidated balance sheet, was approximately $1.8 million and the cash surrender value of the related life insurance policies included in other current assets was approximately $1.8 million. At December 28, 2019, the liability totaled $2.0 million and the corresponding assets were $1.7 million.</w:t>
      </w:r>
    </w:p>
    <w:p>
      <w:pPr>
        <w:spacing w:after="0" w:line="187" w:lineRule="exact"/>
        <w:rPr>
          <w:sz w:val="20"/>
          <w:szCs w:val="20"/>
          <w:color w:val="auto"/>
        </w:rPr>
      </w:pPr>
    </w:p>
    <w:p>
      <w:pPr>
        <w:ind w:left="340" w:right="40"/>
        <w:spacing w:after="0" w:line="258"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2,650,000 shares of our common stock.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2020 - 242,633; 2019 - 187,273 and 2018 - 84,678. At December 26, 2020, there were 668,704 shares reserved for issuance under the Plan.</w:t>
      </w:r>
    </w:p>
    <w:p>
      <w:pPr>
        <w:spacing w:after="0" w:line="18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At December 26, 2020, a total of 1,671,053 shares were available for future equity grants under the Cohu, Inc. 2005 Equity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Plan (“the 2005 Plan”). 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2019 and 2018 no stock options were granted and the activity under our share-based compensation plans was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6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rPr>
              <w:t>Wt. Avg.</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9"/>
              </w:rPr>
              <w:t>Wt. Avg.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data)</w:t>
            </w: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Ex. Price</w:t>
            </w: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Ex. Price</w:t>
            </w: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Ex.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197"/>
        </w:trPr>
        <w:tc>
          <w:tcPr>
            <w:tcW w:w="264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aggregate intrinsic value of options exercised was $1.3 million in 2020, $0.2 million in 2019, and $0.9 million in 2018. At December 26, 2020, the aggregate intrinsic value of options outstanding, vested and expected to vest and exercisable was $7.5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Information about stock options outstanding at December 26, 2020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6"/>
          </w:tcPr>
          <w:p>
            <w:pPr>
              <w:jc w:val="center"/>
              <w:ind w:left="850"/>
              <w:spacing w:after="0"/>
              <w:rPr>
                <w:sz w:val="20"/>
                <w:szCs w:val="20"/>
                <w:color w:val="auto"/>
              </w:rPr>
            </w:pPr>
            <w:r>
              <w:rPr>
                <w:rFonts w:ascii="Arial" w:cs="Arial" w:eastAsia="Arial" w:hAnsi="Arial"/>
                <w:sz w:val="18"/>
                <w:szCs w:val="18"/>
                <w:color w:val="auto"/>
                <w:w w:val="90"/>
              </w:rPr>
              <w:t>Options Outstanding</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ind w:left="420"/>
              <w:spacing w:after="0"/>
              <w:rPr>
                <w:sz w:val="20"/>
                <w:szCs w:val="20"/>
                <w:color w:val="auto"/>
              </w:rPr>
            </w:pPr>
            <w:r>
              <w:rPr>
                <w:rFonts w:ascii="Arial" w:cs="Arial" w:eastAsia="Arial" w:hAnsi="Arial"/>
                <w:sz w:val="18"/>
                <w:szCs w:val="18"/>
                <w:color w:val="auto"/>
              </w:rPr>
              <w:t>Options Exercisable</w:t>
            </w:r>
          </w:p>
        </w:tc>
      </w:tr>
      <w:tr>
        <w:trPr>
          <w:trHeight w:val="195"/>
        </w:trPr>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4"/>
              </w:rPr>
              <w:t>Approximate</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Range of</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Number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Avg.</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Wt. Avg.</w:t>
            </w:r>
          </w:p>
        </w:tc>
      </w:tr>
      <w:tr>
        <w:trPr>
          <w:trHeight w:val="230"/>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Exercise Prices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Life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Ex. Price</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Exercisable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 Price</w:t>
            </w:r>
          </w:p>
        </w:tc>
        <w:tc>
          <w:tcPr>
            <w:tcW w:w="100" w:type="dxa"/>
            <w:vAlign w:val="bottom"/>
          </w:tcPr>
          <w:p>
            <w:pPr>
              <w:spacing w:after="0"/>
              <w:rPr>
                <w:sz w:val="20"/>
                <w:szCs w:val="20"/>
                <w:color w:val="auto"/>
              </w:rPr>
            </w:pPr>
          </w:p>
        </w:tc>
      </w:tr>
      <w:tr>
        <w:trPr>
          <w:trHeight w:val="209"/>
        </w:trPr>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$ 9.44</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$ 10.54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1660" w:type="dxa"/>
            <w:vAlign w:val="bottom"/>
          </w:tcPr>
          <w:p>
            <w:pPr>
              <w:jc w:val="right"/>
              <w:ind w:right="50"/>
              <w:spacing w:after="0"/>
              <w:rPr>
                <w:sz w:val="20"/>
                <w:szCs w:val="20"/>
                <w:color w:val="auto"/>
              </w:rPr>
            </w:pPr>
            <w:r>
              <w:rPr>
                <w:rFonts w:ascii="Arial" w:cs="Arial" w:eastAsia="Arial" w:hAnsi="Arial"/>
                <w:sz w:val="18"/>
                <w:szCs w:val="18"/>
                <w:color w:val="auto"/>
              </w:rPr>
              <w:t>$ 10.55</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910"/>
              <w:spacing w:after="0"/>
              <w:rPr>
                <w:sz w:val="20"/>
                <w:szCs w:val="20"/>
                <w:color w:val="auto"/>
              </w:rPr>
            </w:pPr>
            <w:r>
              <w:rPr>
                <w:rFonts w:ascii="Arial" w:cs="Arial" w:eastAsia="Arial" w:hAnsi="Arial"/>
                <w:sz w:val="18"/>
                <w:szCs w:val="18"/>
                <w:color w:val="auto"/>
              </w:rPr>
              <w:t>$ 10.58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10.58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$ 10.59</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$ 12.58</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r>
      <w:tr>
        <w:trPr>
          <w:trHeight w:val="210"/>
        </w:trPr>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r>
      <w:tr>
        <w:trPr>
          <w:trHeight w:val="20"/>
        </w:trPr>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Under our equity incentive plans, restricted stock units (“RSUs”) may be granted to employees, consultants and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Restricted stock units vest over a one-year, two-year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December 26, 2020.</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Avg.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8"/>
                <w:szCs w:val="18"/>
                <w:color w:val="auto"/>
              </w:rPr>
            </w:pPr>
          </w:p>
        </w:tc>
      </w:t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2"/>
              </w:rPr>
              <w:t>(in thousands, except per share data)</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5"/>
              </w:rPr>
              <w:t>Fair Value</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5"/>
              </w:rPr>
              <w:t>Fair Value</w:t>
            </w:r>
          </w:p>
        </w:tc>
        <w:tc>
          <w:tcPr>
            <w:tcW w:w="11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2"/>
              </w:rPr>
              <w:t>Fair Value</w:t>
            </w: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23.70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17.59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17.60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r>
      <w:tr>
        <w:trPr>
          <w:trHeight w:val="249"/>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RSUs granted in 2018 in the table above include the issuance of 529,995 assumed RSUs to Xcerra employees, based on a conversion formula.</w:t>
      </w:r>
    </w:p>
    <w:p>
      <w:pPr>
        <w:spacing w:after="0" w:line="233" w:lineRule="exact"/>
        <w:rPr>
          <w:sz w:val="20"/>
          <w:szCs w:val="20"/>
          <w:color w:val="auto"/>
        </w:rPr>
      </w:pPr>
    </w:p>
    <w:p>
      <w:pPr>
        <w:ind w:left="340" w:right="200"/>
        <w:spacing w:after="0" w:line="274" w:lineRule="auto"/>
        <w:rPr>
          <w:sz w:val="20"/>
          <w:szCs w:val="20"/>
          <w:color w:val="auto"/>
        </w:rPr>
      </w:pPr>
      <w:r>
        <w:rPr>
          <w:rFonts w:ascii="Arial" w:cs="Arial" w:eastAsia="Arial" w:hAnsi="Arial"/>
          <w:sz w:val="17"/>
          <w:szCs w:val="17"/>
          <w:b w:val="1"/>
          <w:bCs w:val="1"/>
          <w:color w:val="auto"/>
        </w:rPr>
        <w:t xml:space="preserve">Equity-Based Performance Stock Units </w:t>
      </w:r>
      <w:r>
        <w:rPr>
          <w:rFonts w:ascii="Arial" w:cs="Arial" w:eastAsia="Arial" w:hAnsi="Arial"/>
          <w:sz w:val="17"/>
          <w:szCs w:val="17"/>
          <w:color w:val="auto"/>
        </w:rPr>
        <w:t>– We grant performance stock units (“PSUs”) to certain senior executives as a part of our long-term equity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 The number of shares of common stock that will ultimately be issued to settle PSUs granted ranges from 25%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annualized TSR of certain peer companies for the performance period. PSUs granted vest 100% on the third anniversary of their grant, assuming achievement of the applicable performance criteria.</w:t>
      </w:r>
    </w:p>
    <w:p>
      <w:pPr>
        <w:spacing w:after="0" w:line="177" w:lineRule="exact"/>
        <w:rPr>
          <w:sz w:val="20"/>
          <w:szCs w:val="20"/>
          <w:color w:val="auto"/>
        </w:rPr>
      </w:pPr>
    </w:p>
    <w:p>
      <w:pPr>
        <w:ind w:left="340" w:right="480"/>
        <w:spacing w:after="0" w:line="263" w:lineRule="auto"/>
        <w:rPr>
          <w:sz w:val="20"/>
          <w:szCs w:val="20"/>
          <w:color w:val="auto"/>
        </w:rPr>
      </w:pPr>
      <w:r>
        <w:rPr>
          <w:rFonts w:ascii="Arial" w:cs="Arial" w:eastAsia="Arial" w:hAnsi="Arial"/>
          <w:sz w:val="18"/>
          <w:szCs w:val="18"/>
          <w:color w:val="auto"/>
        </w:rPr>
        <w:t>We estimated the fair value of the PSUs using a Monte Carlo simulation model on the date of grant. Compensation expense is recognized over the requisite service period. New shares of our common stock will be issued on the date the PSUs vest net of the minimum statutory tax withholding requirements to be paid by us on behalf of our employees.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PSU activity under our share-based compensation plans was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Avg.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8"/>
                <w:szCs w:val="18"/>
                <w:color w:val="auto"/>
              </w:rPr>
            </w:pPr>
          </w:p>
        </w:tc>
      </w:t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2"/>
              </w:rPr>
              <w:t>(in thousands, except per share data)</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5"/>
              </w:rPr>
              <w:t>Fair Value</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5"/>
              </w:rPr>
              <w:t>Fair Value</w:t>
            </w:r>
          </w:p>
        </w:tc>
        <w:tc>
          <w:tcPr>
            <w:tcW w:w="11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2"/>
              </w:rPr>
              <w:t>Fair Value</w:t>
            </w: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24.32</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50"/>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r>
    </w:tbl>
    <w:p>
      <w:pPr>
        <w:spacing w:after="0" w:line="198" w:lineRule="exact"/>
        <w:rPr>
          <w:sz w:val="20"/>
          <w:szCs w:val="20"/>
          <w:color w:val="auto"/>
        </w:rPr>
      </w:pPr>
    </w:p>
    <w:p>
      <w:pPr>
        <w:ind w:left="340" w:right="120"/>
        <w:spacing w:after="0" w:line="286"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estimate the fair value of stock options and RSUs on the grant date using the Black-Scholes valuation model. The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 of PSUs is determined on the grant date using the Monte Carlo simulation valuation model.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As a result of the COVID-19 pandemic, Cohu’s Board of Directors authorized suspending our quarterly cash dividend indefinitely, as of May 5, 2020. All awards granted in 2020 exclude the assumption of dividend payments and the estimated fair value awards granted in prior years, when dividends were being paid, are unchanged.</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Employee Stock Purchase Plan</w:t>
            </w:r>
          </w:p>
        </w:tc>
        <w:tc>
          <w:tcPr>
            <w:tcW w:w="1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67.1%</w:t>
            </w:r>
          </w:p>
        </w:tc>
        <w:tc>
          <w:tcPr>
            <w:tcW w:w="68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46.4%</w:t>
            </w:r>
          </w:p>
        </w:tc>
        <w:tc>
          <w:tcPr>
            <w:tcW w:w="66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39.0%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Expected term (years)</w:t>
            </w:r>
          </w:p>
        </w:tc>
        <w:tc>
          <w:tcPr>
            <w:tcW w:w="1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0.5</w:t>
            </w:r>
          </w:p>
        </w:tc>
        <w:tc>
          <w:tcPr>
            <w:tcW w:w="68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8"/>
                <w:szCs w:val="18"/>
                <w:color w:val="auto"/>
              </w:rPr>
            </w:pPr>
          </w:p>
        </w:tc>
        <w:tc>
          <w:tcPr>
            <w:tcW w:w="1260" w:type="dxa"/>
            <w:vAlign w:val="bottom"/>
          </w:tcPr>
          <w:p>
            <w:pPr>
              <w:jc w:val="right"/>
              <w:ind w:right="610"/>
              <w:spacing w:after="0"/>
              <w:rPr>
                <w:sz w:val="20"/>
                <w:szCs w:val="20"/>
                <w:color w:val="auto"/>
              </w:rPr>
            </w:pPr>
            <w:r>
              <w:rPr>
                <w:rFonts w:ascii="Arial" w:cs="Arial" w:eastAsia="Arial" w:hAnsi="Arial"/>
                <w:sz w:val="18"/>
                <w:szCs w:val="18"/>
                <w:color w:val="auto"/>
              </w:rPr>
              <w:t>0.5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6.01</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5.35</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5.90</w:t>
            </w:r>
          </w:p>
        </w:tc>
      </w:tr>
      <w:tr>
        <w:trPr>
          <w:trHeight w:val="43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Restricted Stock Units</w:t>
            </w:r>
          </w:p>
        </w:tc>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7,790</w:t>
            </w:r>
          </w:p>
        </w:tc>
      </w:tr>
      <w:tr>
        <w:trPr>
          <w:trHeight w:val="20"/>
        </w:trPr>
        <w:tc>
          <w:tcPr>
            <w:tcW w:w="56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Share-based compensation of continuing operations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14,234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14,148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10,053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r>
      <w:tr>
        <w:trPr>
          <w:trHeight w:val="20"/>
        </w:trPr>
        <w:tc>
          <w:tcPr>
            <w:tcW w:w="56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Total share-based compensation, net of tax</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13,271</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13,561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9,060</w:t>
            </w:r>
          </w:p>
        </w:tc>
      </w:tr>
      <w:tr>
        <w:trPr>
          <w:trHeight w:val="20"/>
        </w:trPr>
        <w:tc>
          <w:tcPr>
            <w:tcW w:w="5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00"/>
        <w:spacing w:after="0" w:line="263" w:lineRule="auto"/>
        <w:rPr>
          <w:sz w:val="20"/>
          <w:szCs w:val="20"/>
          <w:color w:val="auto"/>
        </w:rPr>
      </w:pPr>
      <w:r>
        <w:rPr>
          <w:rFonts w:ascii="Arial" w:cs="Arial" w:eastAsia="Arial" w:hAnsi="Arial"/>
          <w:sz w:val="18"/>
          <w:szCs w:val="18"/>
          <w:color w:val="auto"/>
        </w:rPr>
        <w:t>We account for forfeitures of plan-based awards as they occur. Share based compensation for the year ended December 29, 2018, excludes $8.2 million of compensation recorded related to the acceleration of RSU awards held by certain executive officers and the Board of Directors of Xcerra because of the change in control.</w:t>
      </w:r>
    </w:p>
    <w:p>
      <w:pPr>
        <w:spacing w:after="0" w:line="184" w:lineRule="exact"/>
        <w:rPr>
          <w:sz w:val="20"/>
          <w:szCs w:val="20"/>
          <w:color w:val="auto"/>
        </w:rPr>
      </w:pPr>
    </w:p>
    <w:p>
      <w:pPr>
        <w:ind w:left="340" w:right="260"/>
        <w:spacing w:after="0" w:line="308" w:lineRule="auto"/>
        <w:rPr>
          <w:sz w:val="20"/>
          <w:szCs w:val="20"/>
          <w:color w:val="auto"/>
        </w:rPr>
      </w:pPr>
      <w:r>
        <w:rPr>
          <w:rFonts w:ascii="Arial" w:cs="Arial" w:eastAsia="Arial" w:hAnsi="Arial"/>
          <w:sz w:val="17"/>
          <w:szCs w:val="17"/>
          <w:color w:val="auto"/>
        </w:rPr>
        <w:t>At December 26, 2020, we had approximately $17.6 million of pre-tax unrecognized compensation cost related to unvested restricted stock units and performance stock units which is expected to be recognized over a weighted-average period of approximately 2.2 years.</w:t>
      </w:r>
    </w:p>
    <w:p>
      <w:pPr>
        <w:spacing w:after="0" w:line="38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9" w:lineRule="exact"/>
        <w:rPr>
          <w:rFonts w:ascii="Arial" w:cs="Arial" w:eastAsia="Arial" w:hAnsi="Arial"/>
          <w:sz w:val="18"/>
          <w:szCs w:val="18"/>
          <w:b w:val="1"/>
          <w:bCs w:val="1"/>
          <w:color w:val="auto"/>
        </w:rPr>
      </w:pPr>
    </w:p>
    <w:p>
      <w:pPr>
        <w:jc w:val="both"/>
        <w:ind w:left="340" w:right="2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Our cash, cash equivalents, and short-term investments consisted primarily of cash and other investment grade securities. We do not hold investment securities for trading purposes. All short-term investments, which are comprised entirely of short-term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71" w:lineRule="exact"/>
        <w:rPr>
          <w:rFonts w:ascii="Arial" w:cs="Arial" w:eastAsia="Arial" w:hAnsi="Arial"/>
          <w:sz w:val="18"/>
          <w:szCs w:val="18"/>
          <w:b w:val="1"/>
          <w:bCs w:val="1"/>
          <w:color w:val="auto"/>
        </w:rPr>
      </w:pPr>
    </w:p>
    <w:p>
      <w:pPr>
        <w:ind w:left="34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260" w:type="dxa"/>
            <w:vAlign w:val="bottom"/>
            <w:gridSpan w:val="6"/>
          </w:tcPr>
          <w:p>
            <w:pPr>
              <w:jc w:val="right"/>
              <w:ind w:right="190"/>
              <w:spacing w:after="0"/>
              <w:rPr>
                <w:sz w:val="20"/>
                <w:szCs w:val="20"/>
                <w:color w:val="auto"/>
              </w:rPr>
            </w:pPr>
            <w:r>
              <w:rPr>
                <w:rFonts w:ascii="Arial" w:cs="Arial" w:eastAsia="Arial" w:hAnsi="Arial"/>
                <w:sz w:val="18"/>
                <w:szCs w:val="18"/>
                <w:color w:val="auto"/>
                <w:w w:val="89"/>
              </w:rPr>
              <w:t xml:space="preserve">Investments that we have classified as short-term, by security type, are as follows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8"/>
                <w:szCs w:val="18"/>
                <w:color w:val="auto"/>
              </w:rPr>
              <w:t>At December 26, 2020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93"/>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Estimated</w:t>
            </w:r>
          </w:p>
        </w:tc>
        <w:tc>
          <w:tcPr>
            <w:tcW w:w="1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Amortized</w:t>
            </w:r>
          </w:p>
        </w:tc>
        <w:tc>
          <w:tcPr>
            <w:tcW w:w="180" w:type="dxa"/>
            <w:vAlign w:val="bottom"/>
          </w:tcPr>
          <w:p>
            <w:pPr>
              <w:spacing w:after="0"/>
              <w:rPr>
                <w:sz w:val="18"/>
                <w:szCs w:val="18"/>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73"/>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r>
      <w:tr>
        <w:trPr>
          <w:trHeight w:val="230"/>
        </w:trPr>
        <w:tc>
          <w:tcPr>
            <w:tcW w:w="3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ind w:left="73"/>
              <w:spacing w:after="0" w:line="230" w:lineRule="exact"/>
              <w:rPr>
                <w:sz w:val="20"/>
                <w:szCs w:val="20"/>
                <w:color w:val="auto"/>
              </w:rPr>
            </w:pPr>
            <w:r>
              <w:rPr>
                <w:rFonts w:ascii="Arial" w:cs="Arial" w:eastAsia="Arial" w:hAnsi="Arial"/>
                <w:sz w:val="16"/>
                <w:szCs w:val="16"/>
                <w:color w:val="auto"/>
                <w:w w:val="94"/>
              </w:rPr>
              <w:t xml:space="preserve">Losses </w:t>
            </w:r>
            <w:r>
              <w:rPr>
                <w:rFonts w:ascii="Arial" w:cs="Arial" w:eastAsia="Arial" w:hAnsi="Arial"/>
                <w:sz w:val="26"/>
                <w:szCs w:val="26"/>
                <w:color w:val="auto"/>
                <w:w w:val="94"/>
                <w:vertAlign w:val="superscript"/>
              </w:rPr>
              <w:t>(1)</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r>
      <w:tr>
        <w:trPr>
          <w:trHeight w:val="209"/>
        </w:trPr>
        <w:tc>
          <w:tcPr>
            <w:tcW w:w="320" w:type="dxa"/>
            <w:vAlign w:val="bottom"/>
          </w:tcPr>
          <w:p>
            <w:pPr>
              <w:spacing w:after="0"/>
              <w:rPr>
                <w:sz w:val="18"/>
                <w:szCs w:val="18"/>
                <w:color w:val="auto"/>
              </w:rPr>
            </w:pPr>
          </w:p>
        </w:tc>
        <w:tc>
          <w:tcPr>
            <w:tcW w:w="442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Corporate debt securities </w:t>
            </w:r>
            <w:r>
              <w:rPr>
                <w:rFonts w:ascii="Arial" w:cs="Arial" w:eastAsia="Arial" w:hAnsi="Arial"/>
                <w:sz w:val="24"/>
                <w:szCs w:val="24"/>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12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14,944</w:t>
            </w:r>
          </w:p>
        </w:tc>
      </w:tr>
      <w:tr>
        <w:trPr>
          <w:trHeight w:val="216"/>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2,012</w:t>
            </w:r>
          </w:p>
        </w:tc>
      </w:tr>
      <w:tr>
        <w:trPr>
          <w:trHeight w:val="216"/>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w:t>
            </w:r>
          </w:p>
        </w:tc>
      </w:tr>
      <w:tr>
        <w:trPr>
          <w:trHeight w:val="216"/>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r>
      <w:tr>
        <w:trPr>
          <w:trHeight w:val="216"/>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r>
      <w:tr>
        <w:trPr>
          <w:trHeight w:val="20"/>
        </w:trPr>
        <w:tc>
          <w:tcPr>
            <w:tcW w:w="32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20,668</w:t>
            </w:r>
          </w:p>
        </w:tc>
        <w:tc>
          <w:tcPr>
            <w:tcW w:w="18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180" w:type="dxa"/>
            <w:vAlign w:val="bottom"/>
            <w:gridSpan w:val="2"/>
          </w:tcPr>
          <w:p>
            <w:pPr>
              <w:jc w:val="right"/>
              <w:ind w:right="913"/>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20,669</w:t>
            </w:r>
          </w:p>
        </w:tc>
      </w:tr>
      <w:tr>
        <w:trPr>
          <w:trHeight w:val="20"/>
        </w:trPr>
        <w:tc>
          <w:tcPr>
            <w:tcW w:w="3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8"/>
                <w:szCs w:val="18"/>
                <w:color w:val="auto"/>
              </w:rPr>
              <w:t>At December 28, 2019</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195"/>
        </w:trPr>
        <w:tc>
          <w:tcPr>
            <w:tcW w:w="3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left="53"/>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left="53"/>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48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ind w:left="53"/>
              <w:spacing w:after="0" w:line="230" w:lineRule="exact"/>
              <w:rPr>
                <w:sz w:val="20"/>
                <w:szCs w:val="20"/>
                <w:color w:val="auto"/>
              </w:rPr>
            </w:pPr>
            <w:r>
              <w:rPr>
                <w:rFonts w:ascii="Arial" w:cs="Arial" w:eastAsia="Arial" w:hAnsi="Arial"/>
                <w:sz w:val="16"/>
                <w:szCs w:val="16"/>
                <w:color w:val="auto"/>
                <w:w w:val="91"/>
              </w:rPr>
              <w:t xml:space="preserve">Losses </w:t>
            </w:r>
            <w:r>
              <w:rPr>
                <w:rFonts w:ascii="Arial" w:cs="Arial" w:eastAsia="Arial" w:hAnsi="Arial"/>
                <w:sz w:val="26"/>
                <w:szCs w:val="26"/>
                <w:color w:val="auto"/>
                <w:w w:val="91"/>
                <w:vertAlign w:val="superscript"/>
              </w:rPr>
              <w:t>(1)</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49"/>
        </w:trPr>
        <w:tc>
          <w:tcPr>
            <w:tcW w:w="32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c>
          <w:tcPr>
            <w:tcW w:w="1180" w:type="dxa"/>
            <w:vAlign w:val="bottom"/>
            <w:tcBorders>
              <w:bottom w:val="single" w:sz="8" w:color="auto"/>
            </w:tcBorders>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3"/>
            <w:shd w:val="clear" w:color="auto" w:fill="CCEEFF"/>
          </w:tcPr>
          <w:p>
            <w:pPr>
              <w:jc w:val="right"/>
              <w:ind w:right="893"/>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480" w:type="dxa"/>
            <w:vAlign w:val="bottom"/>
            <w:tcBorders>
              <w:bottom w:val="single" w:sz="8" w:color="auto"/>
            </w:tcBorders>
          </w:tcPr>
          <w:p>
            <w:pPr>
              <w:spacing w:after="0"/>
              <w:rPr>
                <w:sz w:val="21"/>
                <w:szCs w:val="21"/>
                <w:color w:val="auto"/>
              </w:rPr>
            </w:pPr>
          </w:p>
        </w:tc>
      </w:tr>
    </w:tbl>
    <w:p>
      <w:pPr>
        <w:ind w:left="660" w:right="80" w:hanging="328"/>
        <w:spacing w:after="0" w:line="25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26, 2020, the cost and fair value of investments with loss positions were approximately $8.7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 As of December 28, 2019, we had no investments with loss positions.</w:t>
      </w:r>
    </w:p>
    <w:p>
      <w:pPr>
        <w:spacing w:after="0" w:line="19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Effective maturities of short-term investments at December 26, 2020, were as follows: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3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Amortized</w:t>
            </w:r>
          </w:p>
        </w:tc>
        <w:tc>
          <w:tcPr>
            <w:tcW w:w="24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Estimated</w:t>
            </w:r>
          </w:p>
        </w:tc>
      </w:tr>
      <w:tr>
        <w:trPr>
          <w:trHeight w:val="230"/>
        </w:trPr>
        <w:tc>
          <w:tcPr>
            <w:tcW w:w="320" w:type="dxa"/>
            <w:vAlign w:val="bottom"/>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86"/>
              </w:rPr>
              <w:t>Cost</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r>
      <w:tr>
        <w:trPr>
          <w:trHeight w:val="250"/>
        </w:trPr>
        <w:tc>
          <w:tcPr>
            <w:tcW w:w="3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78" w:lineRule="exact"/>
        <w:rPr>
          <w:sz w:val="20"/>
          <w:szCs w:val="20"/>
          <w:color w:val="auto"/>
        </w:rPr>
      </w:pPr>
    </w:p>
    <w:p>
      <w:pPr>
        <w:ind w:left="340" w:right="740"/>
        <w:spacing w:after="0" w:line="277"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gridSpan w:val="11"/>
          </w:tcPr>
          <w:p>
            <w:pPr>
              <w:jc w:val="right"/>
              <w:ind w:right="940"/>
              <w:spacing w:after="0"/>
              <w:rPr>
                <w:sz w:val="20"/>
                <w:szCs w:val="20"/>
                <w:color w:val="auto"/>
              </w:rPr>
            </w:pPr>
            <w:r>
              <w:rPr>
                <w:rFonts w:ascii="Arial" w:cs="Arial" w:eastAsia="Arial" w:hAnsi="Arial"/>
                <w:sz w:val="18"/>
                <w:szCs w:val="18"/>
                <w:color w:val="auto"/>
              </w:rPr>
              <w:t>Fair value measurements at December 26, 2020 using:</w:t>
            </w:r>
          </w:p>
        </w:tc>
      </w:tr>
      <w:tr>
        <w:trPr>
          <w:trHeight w:val="195"/>
        </w:trPr>
        <w:tc>
          <w:tcPr>
            <w:tcW w:w="4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4"/>
              </w:rPr>
              <w:t>Total Estimated</w:t>
            </w:r>
          </w:p>
        </w:tc>
        <w:tc>
          <w:tcPr>
            <w:tcW w:w="120" w:type="dxa"/>
            <w:vAlign w:val="bottom"/>
          </w:tcPr>
          <w:p>
            <w:pPr>
              <w:spacing w:after="0"/>
              <w:rPr>
                <w:sz w:val="16"/>
                <w:szCs w:val="16"/>
                <w:color w:val="auto"/>
              </w:rPr>
            </w:pPr>
          </w:p>
        </w:tc>
      </w:tr>
      <w:tr>
        <w:trPr>
          <w:trHeight w:val="230"/>
        </w:trPr>
        <w:tc>
          <w:tcPr>
            <w:tcW w:w="4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Fair Value</w:t>
            </w:r>
          </w:p>
        </w:tc>
        <w:tc>
          <w:tcPr>
            <w:tcW w:w="120" w:type="dxa"/>
            <w:vAlign w:val="bottom"/>
          </w:tcPr>
          <w:p>
            <w:pPr>
              <w:spacing w:after="0"/>
              <w:rPr>
                <w:sz w:val="20"/>
                <w:szCs w:val="20"/>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128,874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19,734</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19,734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15,694</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15,694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1,998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1,998</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r>
      <w:tr>
        <w:trPr>
          <w:trHeight w:val="20"/>
        </w:trPr>
        <w:tc>
          <w:tcPr>
            <w:tcW w:w="44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4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128,874</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41,153</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170,027</w:t>
            </w:r>
          </w:p>
        </w:tc>
      </w:tr>
      <w:tr>
        <w:trPr>
          <w:trHeight w:val="20"/>
        </w:trPr>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12"/>
          </w:tcPr>
          <w:p>
            <w:pPr>
              <w:ind w:left="540"/>
              <w:spacing w:after="0"/>
              <w:rPr>
                <w:sz w:val="20"/>
                <w:szCs w:val="20"/>
                <w:color w:val="auto"/>
              </w:rPr>
            </w:pPr>
            <w:r>
              <w:rPr>
                <w:rFonts w:ascii="Arial" w:cs="Arial" w:eastAsia="Arial" w:hAnsi="Arial"/>
                <w:sz w:val="18"/>
                <w:szCs w:val="18"/>
                <w:color w:val="auto"/>
              </w:rPr>
              <w:t>Fair value measurements at December 28, 2019 using:</w:t>
            </w:r>
          </w:p>
        </w:tc>
      </w:tr>
      <w:tr>
        <w:trPr>
          <w:trHeight w:val="195"/>
        </w:trPr>
        <w:tc>
          <w:tcPr>
            <w:tcW w:w="45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1"/>
              </w:rPr>
              <w:t>Total Estimated</w:t>
            </w:r>
          </w:p>
        </w:tc>
        <w:tc>
          <w:tcPr>
            <w:tcW w:w="100" w:type="dxa"/>
            <w:vAlign w:val="bottom"/>
          </w:tcPr>
          <w:p>
            <w:pPr>
              <w:spacing w:after="0"/>
              <w:rPr>
                <w:sz w:val="16"/>
                <w:szCs w:val="16"/>
                <w:color w:val="auto"/>
              </w:rPr>
            </w:pPr>
          </w:p>
        </w:tc>
      </w:tr>
      <w:tr>
        <w:trPr>
          <w:trHeight w:val="230"/>
        </w:trPr>
        <w:tc>
          <w:tcPr>
            <w:tcW w:w="4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Fair Value</w:t>
            </w:r>
          </w:p>
        </w:tc>
        <w:tc>
          <w:tcPr>
            <w:tcW w:w="100" w:type="dxa"/>
            <w:vAlign w:val="bottom"/>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147,523</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147,523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7,671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r>
        <w:trPr>
          <w:trHeight w:val="20"/>
        </w:trPr>
        <w:tc>
          <w:tcPr>
            <w:tcW w:w="45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147,523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156,098</w:t>
            </w:r>
          </w:p>
        </w:tc>
      </w:tr>
      <w:tr>
        <w:trPr>
          <w:trHeight w:val="20"/>
        </w:trPr>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Derivative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Derivative Contracts</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operate and sell our products in various global markets and, as a result, we are exposed to changes in foreign currency exchange rates. In the fourth quarter of 2020, we began utilizing foreign currency forward contracts to hedge against future movements in foreign exchange rates that affect certain existing foreign currency denominated assets and liabilities.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spacing w:after="0" w:line="18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do not use derivative financial instruments for speculative or trading purposes. For accounting purposes, our foreign currency forward contracts are not designated as hedging instruments and, accordingly, we record the fair value of these contracts as of the end of our reporting period in our consolidated balance sheets with changes in fair value recorded within foreign transaction gain (loss) in our consolidated statements of operations for both realized and unrealized gains and losses. The cash flows associated with the foreign currency forward contracts are reported in net cash provided by operating activities in our consolidated statements of cash flows.</w:t>
      </w:r>
    </w:p>
    <w:p>
      <w:pPr>
        <w:spacing w:after="0" w:line="188"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fair value of our foreign exchange derivative contracts was determined based on current foreign currency exchange rates and forward points. All our foreign exchange derivative contracts outstanding at December 26, 2020 will mature during the first quarter of fiscal 2021.</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provides information about our foreign currency forward contracts outstanding as of December 26, 2020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40" w:type="dxa"/>
            <w:vAlign w:val="bottom"/>
          </w:tcPr>
          <w:p>
            <w:pPr>
              <w:ind w:left="720"/>
              <w:spacing w:after="0"/>
              <w:rPr>
                <w:sz w:val="20"/>
                <w:szCs w:val="20"/>
                <w:color w:val="auto"/>
              </w:rPr>
            </w:pPr>
            <w:r>
              <w:rPr>
                <w:rFonts w:ascii="Arial" w:cs="Arial" w:eastAsia="Arial" w:hAnsi="Arial"/>
                <w:sz w:val="18"/>
                <w:szCs w:val="18"/>
                <w:color w:val="auto"/>
              </w:rPr>
              <w:t>Contract Amount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 Amount</w:t>
            </w:r>
          </w:p>
        </w:tc>
      </w:tr>
      <w:tr>
        <w:trPr>
          <w:trHeight w:val="230"/>
        </w:trPr>
        <w:tc>
          <w:tcPr>
            <w:tcW w:w="2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Currency</w:t>
            </w:r>
          </w:p>
        </w:tc>
        <w:tc>
          <w:tcPr>
            <w:tcW w:w="30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1"/>
              </w:rPr>
              <w:t>Contract Position</w:t>
            </w:r>
          </w:p>
        </w:tc>
        <w:tc>
          <w:tcPr>
            <w:tcW w:w="21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(Local Currency)</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(U.S. Dollars)</w:t>
            </w:r>
          </w:p>
        </w:tc>
        <w:tc>
          <w:tcPr>
            <w:tcW w:w="100" w:type="dxa"/>
            <w:vAlign w:val="bottom"/>
          </w:tcPr>
          <w:p>
            <w:pPr>
              <w:spacing w:after="0"/>
              <w:rPr>
                <w:sz w:val="20"/>
                <w:szCs w:val="20"/>
                <w:color w:val="auto"/>
              </w:rPr>
            </w:pPr>
          </w:p>
        </w:tc>
      </w:tr>
      <w:tr>
        <w:trPr>
          <w:trHeight w:val="210"/>
        </w:trPr>
        <w:tc>
          <w:tcPr>
            <w:tcW w:w="26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Swiss Franc</w:t>
            </w:r>
          </w:p>
        </w:tc>
        <w:tc>
          <w:tcPr>
            <w:tcW w:w="30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6"/>
              </w:rPr>
              <w:t>Buy</w:t>
            </w:r>
          </w:p>
        </w:tc>
        <w:tc>
          <w:tcPr>
            <w:tcW w:w="21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13,349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2620" w:type="dxa"/>
            <w:vAlign w:val="bottom"/>
          </w:tcPr>
          <w:p>
            <w:pPr>
              <w:jc w:val="center"/>
              <w:ind w:right="130"/>
              <w:spacing w:after="0"/>
              <w:rPr>
                <w:sz w:val="20"/>
                <w:szCs w:val="20"/>
                <w:color w:val="auto"/>
              </w:rPr>
            </w:pPr>
            <w:r>
              <w:rPr>
                <w:rFonts w:ascii="Arial" w:cs="Arial" w:eastAsia="Arial" w:hAnsi="Arial"/>
                <w:sz w:val="18"/>
                <w:szCs w:val="18"/>
                <w:color w:val="auto"/>
                <w:w w:val="94"/>
              </w:rPr>
              <w:t>Euro</w:t>
            </w:r>
          </w:p>
        </w:tc>
        <w:tc>
          <w:tcPr>
            <w:tcW w:w="3000" w:type="dxa"/>
            <w:vAlign w:val="bottom"/>
          </w:tcPr>
          <w:p>
            <w:pPr>
              <w:jc w:val="center"/>
              <w:ind w:left="170"/>
              <w:spacing w:after="0"/>
              <w:rPr>
                <w:sz w:val="20"/>
                <w:szCs w:val="20"/>
                <w:color w:val="auto"/>
              </w:rPr>
            </w:pPr>
            <w:r>
              <w:rPr>
                <w:rFonts w:ascii="Arial" w:cs="Arial" w:eastAsia="Arial" w:hAnsi="Arial"/>
                <w:sz w:val="18"/>
                <w:szCs w:val="18"/>
                <w:color w:val="auto"/>
                <w:w w:val="96"/>
              </w:rPr>
              <w:t>Buy</w:t>
            </w:r>
          </w:p>
        </w:tc>
        <w:tc>
          <w:tcPr>
            <w:tcW w:w="2140" w:type="dxa"/>
            <w:vAlign w:val="bottom"/>
          </w:tcPr>
          <w:p>
            <w:pPr>
              <w:jc w:val="right"/>
              <w:ind w:right="450"/>
              <w:spacing w:after="0"/>
              <w:rPr>
                <w:sz w:val="20"/>
                <w:szCs w:val="20"/>
                <w:color w:val="auto"/>
              </w:rPr>
            </w:pPr>
            <w:r>
              <w:rPr>
                <w:rFonts w:ascii="Arial" w:cs="Arial" w:eastAsia="Arial" w:hAnsi="Arial"/>
                <w:sz w:val="18"/>
                <w:szCs w:val="18"/>
                <w:color w:val="auto"/>
              </w:rPr>
              <w:t>9,424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r>
      <w:tr>
        <w:trPr>
          <w:trHeight w:val="20"/>
        </w:trPr>
        <w:tc>
          <w:tcPr>
            <w:tcW w:w="2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6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26,500</w:t>
            </w:r>
          </w:p>
        </w:tc>
      </w:tr>
      <w:tr>
        <w:trPr>
          <w:trHeight w:val="20"/>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Our foreign currency contracts are classified within Level 2 of the fair value hierarchy as they are valued using pricing models that utilize observable market inputs. The fair value of our foreign currency contracts as of December 26, 2020 was immaterial.</w:t>
      </w:r>
    </w:p>
    <w:p>
      <w:pPr>
        <w:spacing w:after="0" w:line="17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location and amount of gains (losses) related to non-designated derivative instruments in the consolidated statements of operations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Derivatives Not Designated</w:t>
            </w:r>
          </w:p>
        </w:tc>
        <w:tc>
          <w:tcPr>
            <w:tcW w:w="3360" w:type="dxa"/>
            <w:vAlign w:val="bottom"/>
          </w:tcPr>
          <w:p>
            <w:pPr>
              <w:jc w:val="center"/>
              <w:ind w:left="250"/>
              <w:spacing w:after="0"/>
              <w:rPr>
                <w:sz w:val="20"/>
                <w:szCs w:val="20"/>
                <w:color w:val="auto"/>
              </w:rPr>
            </w:pPr>
            <w:r>
              <w:rPr>
                <w:rFonts w:ascii="Arial" w:cs="Arial" w:eastAsia="Arial" w:hAnsi="Arial"/>
                <w:sz w:val="18"/>
                <w:szCs w:val="18"/>
                <w:color w:val="auto"/>
                <w:w w:val="93"/>
              </w:rPr>
              <w:t>Location of Gain (Loss)</w:t>
            </w:r>
          </w:p>
        </w:tc>
        <w:tc>
          <w:tcPr>
            <w:tcW w:w="640" w:type="dxa"/>
            <w:vAlign w:val="bottom"/>
          </w:tcPr>
          <w:p>
            <w:pPr>
              <w:spacing w:after="0"/>
              <w:rPr>
                <w:sz w:val="19"/>
                <w:szCs w:val="19"/>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8"/>
              </w:rPr>
              <w:t>Fiscal Year</w:t>
            </w:r>
          </w:p>
        </w:tc>
        <w:tc>
          <w:tcPr>
            <w:tcW w:w="12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as Hedging Instruments</w:t>
            </w:r>
          </w:p>
        </w:tc>
        <w:tc>
          <w:tcPr>
            <w:tcW w:w="33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0"/>
              </w:rPr>
              <w:t>Recognized on Derivatives</w:t>
            </w:r>
          </w:p>
        </w:tc>
        <w:tc>
          <w:tcPr>
            <w:tcW w:w="6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Foreign exchange forward contracts</w:t>
            </w:r>
          </w:p>
        </w:tc>
        <w:tc>
          <w:tcPr>
            <w:tcW w:w="33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Foreign transaction gain (loss)</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360" w:type="dxa"/>
            <w:vAlign w:val="bottom"/>
          </w:tcPr>
          <w:p>
            <w:pPr>
              <w:jc w:val="right"/>
              <w:ind w:right="2190"/>
              <w:spacing w:after="0"/>
              <w:rPr>
                <w:sz w:val="20"/>
                <w:szCs w:val="20"/>
                <w:color w:val="auto"/>
              </w:rPr>
            </w:pPr>
            <w:r>
              <w:rPr>
                <w:rFonts w:ascii="Arial" w:cs="Arial" w:eastAsia="Arial" w:hAnsi="Arial"/>
                <w:sz w:val="18"/>
                <w:szCs w:val="18"/>
                <w:color w:val="auto"/>
              </w:rPr>
              <w:t>72</w:t>
            </w: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provision (benefit) for income taxes for continuing operations are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5,950</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2,173</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8,787</w:t>
            </w:r>
          </w:p>
        </w:tc>
      </w:tr>
      <w:tr>
        <w:trPr>
          <w:trHeight w:val="20"/>
        </w:trPr>
        <w:tc>
          <w:tcPr>
            <w:tcW w:w="4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5,971</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U.S. State</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(5,313)</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(8,263)</w:t>
            </w:r>
          </w:p>
        </w:tc>
      </w:tr>
      <w:tr>
        <w:trPr>
          <w:trHeight w:val="20"/>
        </w:trPr>
        <w:tc>
          <w:tcPr>
            <w:tcW w:w="4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88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(5,305)</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(5,385)</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(8,207)</w:t>
            </w:r>
          </w:p>
        </w:tc>
      </w:tr>
      <w:tr>
        <w:trPr>
          <w:trHeight w:val="20"/>
        </w:trPr>
        <w:tc>
          <w:tcPr>
            <w:tcW w:w="4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8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income taxes from continuing operations consisted of the following:</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(42,682)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Foreign</w:t>
            </w: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11,828</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10,770</w:t>
            </w:r>
          </w:p>
        </w:tc>
      </w:tr>
      <w:tr>
        <w:trPr>
          <w:trHeight w:val="20"/>
        </w:trPr>
        <w:tc>
          <w:tcPr>
            <w:tcW w:w="3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(13,177)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(72,077)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(31,912)</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color w:val="auto"/>
        </w:rPr>
        <w:t>The Tax Act was enacted on December 22, 2017, and introduced significant changes to U.S. income tax law. Effective in 2018, the Tax Act reduced the U.S. statutory tax rate from 35% to 21% and created new taxes on certain foreign-sourced earnings and related-party payments, which are referred to as the global intangible low-taxed income (“GILTI”) tax and the base erosion and anti-abuse tax, respectively. In addition, in 2017 we were subject to a one-time transition tax on accumulated foreign subsidiary earnings not previously subject to U.S. income tax. The Tax Act also repealed the alternative minimum tax (AMT) effective January 1, 2018, and made changes to net operating loss provisions, expensing of certain assets and capitalization of research and development expense with such changes effective for 2018 and later years.</w:t>
      </w:r>
    </w:p>
    <w:p>
      <w:pPr>
        <w:spacing w:after="0" w:line="178"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Due to the timing of the enactment and the complexity involved in applying the provisions of the Tax Act, we made reasonable estimates of the effects and recorded provisional amounts in our financial statements as of December 30, 2017 by applying the guidance in SAB 118 because we had not completed our accounting for these effects. During 2018, we completed the accounting for these effects. Except as described below under “One-time transition tax”, due to the valuation allowance against our deferred tax assets, there was no net change made in 2018 to our 2017 enactment-date provisional income tax.</w:t>
      </w:r>
    </w:p>
    <w:p>
      <w:pPr>
        <w:spacing w:after="0" w:line="188" w:lineRule="exact"/>
        <w:rPr>
          <w:sz w:val="20"/>
          <w:szCs w:val="20"/>
          <w:color w:val="auto"/>
        </w:rPr>
      </w:pPr>
    </w:p>
    <w:p>
      <w:pPr>
        <w:jc w:val="both"/>
        <w:ind w:left="340" w:right="120"/>
        <w:spacing w:after="0" w:line="263" w:lineRule="auto"/>
        <w:rPr>
          <w:sz w:val="20"/>
          <w:szCs w:val="20"/>
          <w:color w:val="auto"/>
        </w:rPr>
      </w:pPr>
      <w:r>
        <w:rPr>
          <w:rFonts w:ascii="Arial" w:cs="Arial" w:eastAsia="Arial" w:hAnsi="Arial"/>
          <w:sz w:val="18"/>
          <w:szCs w:val="18"/>
          <w:color w:val="auto"/>
        </w:rPr>
        <w:t>Under GAAP, we are allowed to make an accounting policy election to either (i) treat taxes due on future U.S. inclusions in taxable income related to GILTI as a current-period expense when incurred or (ii) factor such amounts into a company’s measurement of its deferred taxes. We have elected to account for GILTI as a period cost.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One-time transition tax</w:t>
      </w:r>
    </w:p>
    <w:p>
      <w:pPr>
        <w:spacing w:after="0" w:line="225"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color w:val="auto"/>
        </w:rPr>
        <w:t>The Tax Act required us to pay U.S. income taxes on accumulated foreign subsidiary earnings not previously subject to U.S. income tax at a rate of 15.5% to the extent of foreign cash and certain other net current assets and 8% on the remaining earnings. Foreign tax credits and net operating losses may be used to reduce this tax which is referred to as a transition or deemed repatriation tax.</w:t>
      </w:r>
    </w:p>
    <w:p>
      <w:pPr>
        <w:spacing w:after="0" w:line="184"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In 2017 we recorded a provisional amount for our one-time transition tax liability of $16.6 million and used foreign tax credits and net operating losses to fully offset this liability. In 2018 the IRS and U.S. Treasury issued Notice 2018-29 that addresses certain aspects of the calculation of the transition tax (“Notice 2018-29”). Application of Notice 2018-29 resulted in an increase to our transition tax liability of approximately $5.1 million that was fully offset by net operating losses resulting in no net increase to income tax expense.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Deferred tax effects</w:t>
      </w:r>
    </w:p>
    <w:p>
      <w:pPr>
        <w:spacing w:after="0" w:line="225"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The Tax Act reduces the U.S. statutory tax rate from 35% to 21% for years after 2017. Accordingly, we remeasured our deferred taxes as of December 30, 2017 to reflect the reduced rate that will apply in future periods when these deferred taxes are settled or realized. We recognized a deferred tax benefit of $4.0 million in 2017, net of a reduction in the related valuation allowance, to reflect the reduced U.S. tax rate and other effects of the Tax Act including the change in the life of NOL carryforwards from 20 years to indefinite.</w:t>
      </w:r>
    </w:p>
    <w:p>
      <w:pPr>
        <w:spacing w:after="0" w:line="187" w:lineRule="exact"/>
        <w:rPr>
          <w:sz w:val="20"/>
          <w:szCs w:val="20"/>
          <w:color w:val="auto"/>
        </w:rPr>
      </w:pPr>
    </w:p>
    <w:p>
      <w:pPr>
        <w:jc w:val="both"/>
        <w:ind w:left="340" w:right="340"/>
        <w:spacing w:after="0" w:line="259" w:lineRule="auto"/>
        <w:rPr>
          <w:sz w:val="20"/>
          <w:szCs w:val="20"/>
          <w:color w:val="auto"/>
        </w:rPr>
      </w:pPr>
      <w:r>
        <w:rPr>
          <w:rFonts w:ascii="Arial" w:cs="Arial" w:eastAsia="Arial" w:hAnsi="Arial"/>
          <w:sz w:val="18"/>
          <w:szCs w:val="18"/>
          <w:color w:val="auto"/>
        </w:rPr>
        <w:t>Beginning in 2018, the Tax Act provides a 100% deduction for dividends received from 10-percent owned foreign corporations by U.S. corporate shareholders, subject to a one-year holding period. Although dividend income is now exempt from U.S. federal tax in the hands of U.S. corporate shareholders, we must still apply the guidance of ASC 740-30-25-18 to account for the tax consequences of outside basis differences and other tax impacts of their investments in non-U.S. subsidiaries.</w:t>
      </w:r>
    </w:p>
    <w:p>
      <w:pPr>
        <w:spacing w:after="0" w:line="187"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Except for working capital requirements in certain foreign jurisdictions, we provide for all taxes, including withholding and other residual taxes, related to unremitted earnings of our foreign subsidiaries.</w:t>
      </w:r>
    </w:p>
    <w:p>
      <w:pPr>
        <w:spacing w:after="0" w:line="170"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Inventory, receivable and warranty reserves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11,720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11,235</w:t>
            </w:r>
          </w:p>
        </w:tc>
      </w:tr>
      <w:tr>
        <w:trPr>
          <w:trHeight w:val="216"/>
        </w:trPr>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56,777</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69,092</w:t>
            </w: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37,393</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36,489</w:t>
            </w:r>
          </w:p>
        </w:tc>
      </w:tr>
      <w:tr>
        <w:trPr>
          <w:trHeight w:val="216"/>
        </w:trPr>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employee benefits</w:t>
            </w: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5,306</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4,274</w:t>
            </w: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2,210</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2,372</w:t>
            </w:r>
          </w:p>
        </w:tc>
      </w:tr>
      <w:tr>
        <w:trPr>
          <w:trHeight w:val="216"/>
        </w:trPr>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5,146</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5,804</w:t>
            </w: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9,390</w:t>
            </w:r>
          </w:p>
        </w:tc>
      </w:tr>
      <w:tr>
        <w:trPr>
          <w:trHeight w:val="20"/>
        </w:trPr>
        <w:tc>
          <w:tcPr>
            <w:tcW w:w="6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122,773</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138,656</w:t>
            </w: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(86,124)</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(93,494)</w:t>
            </w:r>
          </w:p>
        </w:tc>
      </w:tr>
      <w:tr>
        <w:trPr>
          <w:trHeight w:val="20"/>
        </w:trPr>
        <w:tc>
          <w:tcPr>
            <w:tcW w:w="6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36,649</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45,162</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and other acquisition basis differences</w:t>
            </w: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52,012</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63,866</w:t>
            </w: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4,706</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5,258</w:t>
            </w:r>
          </w:p>
        </w:tc>
      </w:tr>
      <w:tr>
        <w:trPr>
          <w:trHeight w:val="216"/>
        </w:trPr>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Unremitted earnings of foreign subsidiaries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2,462</w:t>
            </w:r>
          </w:p>
        </w:tc>
      </w:tr>
      <w:tr>
        <w:trPr>
          <w:trHeight w:val="20"/>
        </w:trPr>
        <w:tc>
          <w:tcPr>
            <w:tcW w:w="6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660" w:type="dxa"/>
            <w:vAlign w:val="bottom"/>
          </w:tcPr>
          <w:p>
            <w:pPr>
              <w:ind w:left="3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59,837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71,586</w:t>
            </w:r>
          </w:p>
        </w:tc>
      </w:tr>
      <w:tr>
        <w:trPr>
          <w:trHeight w:val="20"/>
        </w:trPr>
        <w:tc>
          <w:tcPr>
            <w:tcW w:w="6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deferred tax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(23,188)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(26,424)</w:t>
            </w:r>
          </w:p>
        </w:tc>
      </w:tr>
      <w:tr>
        <w:trPr>
          <w:trHeight w:val="20"/>
        </w:trPr>
        <w:tc>
          <w:tcPr>
            <w:tcW w:w="6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5"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6"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loss history at the end of various fiscal periods including 2020.</w:t>
      </w:r>
    </w:p>
    <w:p>
      <w:pPr>
        <w:spacing w:after="0" w:line="18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2020 we were unable to conclude that it was “more likely than not” that our U.S. DTAs would be realized. We will evaluate the realizability of our DTAs at the end of each quarterly reporting period in 2021 and should circumstances change it is possible an additional valuation allowance will be recorded or the remaining valuation allowance, or a portion thereof, will be reversed in a future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Our valuation allowance on our DTAs at December 26, 2020, and December 28, 2019, was approximately $86.1 million and $93.5 million, respectively. The remaining gross DTAs for which a valuation allowance was not recorded are realizable primarily through future reversals of existing taxable temporary differences.</w:t>
      </w:r>
    </w:p>
    <w:p>
      <w:pPr>
        <w:spacing w:after="0" w:line="184"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by our non-U.S. subsidiaries were not a source of taxable income in assessing the realization of our DTAs in the U.S.</w:t>
      </w:r>
    </w:p>
    <w:p>
      <w:pPr>
        <w:spacing w:after="0" w:line="170"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The CARES Act was signed into law on March 27,2020.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Due to our overall loss position in the US, the CARES Act did not have a significant impact on Company’s financial position or statement of operations.</w:t>
      </w:r>
    </w:p>
    <w:p>
      <w:pPr>
        <w:spacing w:after="0" w:line="192"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for continuing operations is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U.S. 21% statutory rate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Impact of Tax Act, before reduction in valuation allowance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5,095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tax benefit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 limited by Section 162(m)</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(1,691)</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11,270</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(2,015)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related costs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Deemed dividend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1,453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GILTI</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(1,512)</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0"/>
        </w:trPr>
        <w:tc>
          <w:tcPr>
            <w:tcW w:w="50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6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0"/>
        </w:trPr>
        <w:tc>
          <w:tcPr>
            <w:tcW w:w="5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color w:val="auto"/>
        </w:rPr>
        <w:t>At December 26, 2020, including carryforwards from the Xcerra acquisition as described below, we had federal, state and foreign net operating loss carryforwards of approximately $200.9 million, $130.1 million and $22.5 million, respectively, that expire in various tax years beginning in 2021 through 2040 or have no expiration date. We also have federal and state tax credit carryforwards at December 26, 2020 of approximately $11.5 million and $32.8 million, respectively, certain of which expire in various tax years beginning in 2021 through 2040 or have no expiration date. The federal and state loss and credit carryforwards are subject to annual limitations under Sections 382 and 383 of the Internal Revenue Code and applicable state tax law. We believe the state tax credit is not likely to be realized in the foreseeable future.</w:t>
      </w:r>
    </w:p>
    <w:p>
      <w:pPr>
        <w:spacing w:after="0" w:line="178"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We have completed a Section 382 and 383 analysis of the Internal Revenue Code and applicable state law, regarding the limitation of its net operating loss and business tax credit carryforwards as of December 26, 2020. As a result of the analysis, we concluded that the acquisition of Xcerra on October 1, 2018, triggered a limitation in the utilization of Xcerra’s net operating loss and research credit carryforwards. We reduced our deferred tax assets related to the Xcerra U.S. net operating loss and credit carryforwards that are anticipated to expire unused as a result of ownership changes. These tax attributes have been excluded from deferred tax assets with a corresponding reduction of the valuation allowance with no net effect on the income tax provision or effective tax rate. We will continue to assess the realizability of these carryforwards in subsequent periods. Future changes in the ownership of Cohu could further limit the utilization of these carryforwards.</w:t>
      </w:r>
    </w:p>
    <w:p>
      <w:pPr>
        <w:spacing w:after="0" w:line="177" w:lineRule="exact"/>
        <w:rPr>
          <w:sz w:val="20"/>
          <w:szCs w:val="20"/>
          <w:color w:val="auto"/>
        </w:rPr>
      </w:pPr>
    </w:p>
    <w:p>
      <w:pPr>
        <w:jc w:val="both"/>
        <w:ind w:left="340" w:right="40"/>
        <w:spacing w:after="0" w:line="286" w:lineRule="auto"/>
        <w:rPr>
          <w:sz w:val="20"/>
          <w:szCs w:val="20"/>
          <w:color w:val="auto"/>
        </w:rPr>
      </w:pPr>
      <w:r>
        <w:rPr>
          <w:rFonts w:ascii="Arial" w:cs="Arial" w:eastAsia="Arial" w:hAnsi="Arial"/>
          <w:sz w:val="17"/>
          <w:szCs w:val="17"/>
          <w:color w:val="auto"/>
        </w:rPr>
        <w:t>We have certain tax holidays with respect to our operations in Malaysia and the Philippines. These holidays require compliance with certain conditions and expire at various dates through 2027. The impact of these holidays was an increase in net income of approximately $3.6 million or $0.09 per share in 2020, $2.1 million, or $0.05 per share, in 2019 and $2.4 million, or $0.08 per share, in fiscal 2018.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our gross unrecognized tax benefits, excluding accrued interest and penalties, is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34,873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1,231</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of prior years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Additions related to Xcerra acquisition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Reductions due to settlements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 impact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09"/>
        </w:trPr>
        <w:tc>
          <w:tcPr>
            <w:tcW w:w="5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33,696</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34,740</w:t>
            </w: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34,873</w:t>
            </w:r>
          </w:p>
        </w:tc>
        <w:tc>
          <w:tcPr>
            <w:tcW w:w="100" w:type="dxa"/>
            <w:vAlign w:val="bottom"/>
            <w:tcBorders>
              <w:top w:val="single" w:sz="8" w:color="CCEEFF"/>
            </w:tcBorders>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line="301" w:lineRule="auto"/>
        <w:rPr>
          <w:sz w:val="20"/>
          <w:szCs w:val="20"/>
          <w:color w:val="auto"/>
        </w:rPr>
      </w:pPr>
      <w:r>
        <w:rPr>
          <w:rFonts w:ascii="Arial" w:cs="Arial" w:eastAsia="Arial" w:hAnsi="Arial"/>
          <w:sz w:val="16"/>
          <w:szCs w:val="16"/>
          <w:color w:val="auto"/>
        </w:rPr>
        <w:t>If the unrecognized tax benefits at December 26, 2020 are ultimately recognized, excluding the impact of U.S. tax benefits netted against deferred taxes that are subject to a valuation allowance, approximately $5.7 million ($7.0 million at December 28, 2019 and $8.2 million at December 29, 2018) would result in a reduction in our income tax expense and effective tax rate. It is reasonably possible that our gross unrecognized tax benefits as of December 26, 2020, could decrease in 2021 by approximately $0.6 million as a result of the expiration of certain statutes of limitations.</w:t>
      </w:r>
    </w:p>
    <w:p>
      <w:pPr>
        <w:spacing w:after="0" w:line="157" w:lineRule="exact"/>
        <w:rPr>
          <w:sz w:val="20"/>
          <w:szCs w:val="20"/>
          <w:color w:val="auto"/>
        </w:rPr>
      </w:pPr>
    </w:p>
    <w:p>
      <w:pPr>
        <w:jc w:val="both"/>
        <w:ind w:left="340" w:right="60"/>
        <w:spacing w:after="0" w:line="263"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$1.0 million and $1.3 million accrued for the payment of interest and penalties at December 26, 2020, and December 28, 2019, respectively. Interest expense, net of accrued interest reversed, was $(0.3) million in 2020, $(0.3) million in 2019 and $0.6 million in 2018.</w:t>
      </w:r>
    </w:p>
    <w:p>
      <w:pPr>
        <w:spacing w:after="0" w:line="184"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Our U.S. federal and state income tax returns for years after 2016 and 2015,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 While the examination of several of our German subsidiaries income tax returns for 2012 through 2017 were concluded in 2020, our other German subsidiaries income tax returns for 2015 to 2017 are currently under routine examination by tax authorities in Germany. Similarly, our Philippines subsidiary income tax return for 2017 is currently under routine examination by the Bureau of Internal Revenue, and the audit for the 2018 income tax year was concluded in 2020. Subsequent to December 26, 2020, we were notified by the taxing authority in Malaysia of its intent to perform an audit for 2014 to 2019 for one of our Malaysian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rFonts w:ascii="Arial" w:cs="Arial" w:eastAsia="Arial" w:hAnsi="Arial"/>
          <w:sz w:val="18"/>
          <w:szCs w:val="18"/>
          <w:b w:val="1"/>
          <w:bCs w:val="1"/>
          <w:color w:val="auto"/>
        </w:rPr>
      </w:pPr>
    </w:p>
    <w:p>
      <w:pPr>
        <w:ind w:left="34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We applied the provisions of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&amp; Inspection and PCB Test.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585,240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540,878</w:t>
            </w:r>
          </w:p>
        </w:tc>
        <w:tc>
          <w:tcPr>
            <w:tcW w:w="34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443,276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42,451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8,492</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Total consolidated net sales for reportable segments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636,007</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583,329</w:t>
            </w:r>
          </w:p>
        </w:tc>
        <w:tc>
          <w:tcPr>
            <w:tcW w:w="34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451,768</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profit (loss) before tax:</w:t>
            </w:r>
          </w:p>
        </w:tc>
        <w:tc>
          <w:tcPr>
            <w:tcW w:w="4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(2,497)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(45,072)</w:t>
            </w:r>
          </w:p>
        </w:tc>
        <w:tc>
          <w:tcPr>
            <w:tcW w:w="34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2,489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2,635</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(5,154)</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Profit (loss) for reportable segments</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(42,437)</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(2,665)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4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(4,384)</w:t>
            </w: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(9,848)</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(25,457)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(13,759)</w:t>
            </w:r>
          </w:p>
        </w:tc>
        <w:tc>
          <w:tcPr>
            <w:tcW w:w="3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Loss from continuing operations before taxes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(13,177)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(72,077)</w:t>
            </w:r>
          </w:p>
        </w:tc>
        <w:tc>
          <w:tcPr>
            <w:tcW w:w="34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(31,912)</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 by segment deducted in arriving at profit (loss):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51,548</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56,621</w:t>
            </w:r>
          </w:p>
        </w:tc>
        <w:tc>
          <w:tcPr>
            <w:tcW w:w="200" w:type="dxa"/>
            <w:vAlign w:val="bottom"/>
          </w:tcPr>
          <w:p>
            <w:pPr>
              <w:spacing w:after="0"/>
              <w:rPr>
                <w:sz w:val="18"/>
                <w:szCs w:val="18"/>
                <w:color w:val="auto"/>
              </w:rPr>
            </w:pPr>
          </w:p>
        </w:tc>
        <w:tc>
          <w:tcPr>
            <w:tcW w:w="340" w:type="dxa"/>
            <w:vAlign w:val="bottom"/>
          </w:tcPr>
          <w:p>
            <w:pPr>
              <w:jc w:val="right"/>
              <w:ind w:right="216"/>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24,634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Total depreciation and amortization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52,746</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58,871</w:t>
            </w:r>
          </w:p>
        </w:tc>
        <w:tc>
          <w:tcPr>
            <w:tcW w:w="200" w:type="dxa"/>
            <w:vAlign w:val="bottom"/>
          </w:tcPr>
          <w:p>
            <w:pPr>
              <w:spacing w:after="0"/>
              <w:rPr>
                <w:sz w:val="18"/>
                <w:szCs w:val="18"/>
                <w:color w:val="auto"/>
              </w:rPr>
            </w:pPr>
          </w:p>
        </w:tc>
        <w:tc>
          <w:tcPr>
            <w:tcW w:w="340" w:type="dxa"/>
            <w:vAlign w:val="bottom"/>
          </w:tcPr>
          <w:p>
            <w:pPr>
              <w:jc w:val="right"/>
              <w:ind w:right="216"/>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26,047</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 by segment:</w:t>
            </w:r>
          </w:p>
        </w:tc>
        <w:tc>
          <w:tcPr>
            <w:tcW w:w="4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18,616</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17,831</w:t>
            </w:r>
          </w:p>
        </w:tc>
        <w:tc>
          <w:tcPr>
            <w:tcW w:w="200" w:type="dxa"/>
            <w:vAlign w:val="bottom"/>
          </w:tcPr>
          <w:p>
            <w:pPr>
              <w:spacing w:after="0"/>
              <w:rPr>
                <w:sz w:val="18"/>
                <w:szCs w:val="18"/>
                <w:color w:val="auto"/>
              </w:rPr>
            </w:pPr>
          </w:p>
        </w:tc>
        <w:tc>
          <w:tcPr>
            <w:tcW w:w="340" w:type="dxa"/>
            <w:vAlign w:val="bottom"/>
          </w:tcPr>
          <w:p>
            <w:pPr>
              <w:jc w:val="right"/>
              <w:ind w:right="216"/>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4,957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Total consolidated capital expenditures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18,660</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18"/>
                <w:szCs w:val="18"/>
                <w:color w:val="auto"/>
              </w:rPr>
            </w:pPr>
          </w:p>
        </w:tc>
        <w:tc>
          <w:tcPr>
            <w:tcW w:w="340" w:type="dxa"/>
            <w:vAlign w:val="bottom"/>
          </w:tcPr>
          <w:p>
            <w:pPr>
              <w:jc w:val="right"/>
              <w:ind w:right="216"/>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4,967</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 by segment: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968,028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998,756</w:t>
            </w:r>
          </w:p>
        </w:tc>
        <w:tc>
          <w:tcPr>
            <w:tcW w:w="34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1,038,053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4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56,938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57,762</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ind w:left="480"/>
              <w:spacing w:after="0"/>
              <w:rPr>
                <w:sz w:val="20"/>
                <w:szCs w:val="20"/>
                <w:color w:val="auto"/>
              </w:rPr>
            </w:pPr>
            <w:r>
              <w:rPr>
                <w:rFonts w:ascii="Arial" w:cs="Arial" w:eastAsia="Arial" w:hAnsi="Arial"/>
                <w:sz w:val="18"/>
                <w:szCs w:val="18"/>
                <w:color w:val="auto"/>
              </w:rPr>
              <w:t>Total assets for reportable segments</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1,034,854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1,055,694</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1,095,815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principally cash and investments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55,492</w:t>
            </w:r>
          </w:p>
        </w:tc>
        <w:tc>
          <w:tcPr>
            <w:tcW w:w="3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34,367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3,618</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consolidated assets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1,090,346</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1,077,710</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1,134,002</w:t>
            </w:r>
          </w:p>
        </w:tc>
        <w:tc>
          <w:tcPr>
            <w:tcW w:w="48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8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77</w:t>
            </w: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right="900"/>
        <w:spacing w:after="0" w:line="277" w:lineRule="auto"/>
        <w:rPr>
          <w:sz w:val="20"/>
          <w:szCs w:val="20"/>
          <w:color w:val="auto"/>
        </w:rPr>
      </w:pPr>
      <w:r>
        <w:rPr>
          <w:rFonts w:ascii="Arial" w:cs="Arial" w:eastAsia="Arial" w:hAnsi="Arial"/>
          <w:sz w:val="18"/>
          <w:szCs w:val="18"/>
          <w:color w:val="auto"/>
        </w:rPr>
        <w:t>During the last three years, the following customers of our Semiconductor Test &amp; Inspection segment that comprised 10% or greater of our consolidated net sales were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2018</w:t>
            </w:r>
          </w:p>
        </w:tc>
      </w:tr>
      <w:tr>
        <w:trPr>
          <w:trHeight w:val="20"/>
        </w:trPr>
        <w:tc>
          <w:tcPr>
            <w:tcW w:w="39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980" w:right="1640"/>
        <w:spacing w:after="0" w:line="277" w:lineRule="auto"/>
        <w:rPr>
          <w:sz w:val="20"/>
          <w:szCs w:val="20"/>
          <w:color w:val="auto"/>
        </w:rPr>
      </w:pPr>
      <w:r>
        <w:rPr>
          <w:rFonts w:ascii="Arial" w:cs="Arial" w:eastAsia="Arial" w:hAnsi="Arial"/>
          <w:sz w:val="18"/>
          <w:szCs w:val="18"/>
          <w:color w:val="auto"/>
        </w:rPr>
        <w:t>*No single customer exceeded 10% of consolidated net sales for the years ended December 26, 2020 and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-302260</wp:posOffset>
            </wp:positionV>
            <wp:extent cx="57003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50"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color w:val="auto"/>
        </w:rPr>
        <w:t>No customer of our PCB Test segment exceeded 10% of consolidated net sales for the years ended December 26, 2020, December 28, 2019 and December 29,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143,360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118,213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90,255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United States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108,694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71,963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61,177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83,685</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75,725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Malaysia</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57,893</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61,826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61,793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56,272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51,683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Rest of the world</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186,103</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203,919</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167,048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636,007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583,329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451,768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7"/>
          </w:tcPr>
          <w:p>
            <w:pPr>
              <w:ind w:left="340"/>
              <w:spacing w:after="0"/>
              <w:rPr>
                <w:sz w:val="20"/>
                <w:szCs w:val="20"/>
                <w:color w:val="auto"/>
              </w:rPr>
            </w:pPr>
            <w:r>
              <w:rPr>
                <w:rFonts w:ascii="Arial" w:cs="Arial" w:eastAsia="Arial" w:hAnsi="Arial"/>
                <w:sz w:val="18"/>
                <w:szCs w:val="18"/>
                <w:color w:val="auto"/>
                <w:w w:val="92"/>
              </w:rPr>
              <w:t>Geographic location of our property, plant and equipment and other long-lived assets was as follows: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Germany</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19,817</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25,234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Japan</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13,231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9,964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Philippines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9,333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8,637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66,916</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70,912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228,476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177,585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207,642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Singapore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Japan</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3,872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485,989</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513,688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We lease certain of our facilities, equipment and vehicles under non-cancelable operating and finance leases. Leases with initial terms with 12 months or less are not recorded in the consolidated balance sheet, but we recognized those lease payments in the consolidated statements of operations on a straight-line basis over the lease term. Lease and non-lease components are included in the calculation of the right of use asset (“ROU”) asset and lease liabilities.</w:t>
      </w:r>
    </w:p>
    <w:p>
      <w:pPr>
        <w:spacing w:after="0" w:line="187"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8"/>
          <w:szCs w:val="18"/>
          <w:color w:val="auto"/>
        </w:rPr>
        <w:t>Our leases have remaining lease terms ranging from 1 year to 37 years, some of which include one or more options to extend the lease for up to 25 years. Our lease term includes renewal terms when we are reasonably certain that we will exercise the renewal options. We sublease certain leased assets to third parties, mainly as a result of unused space in our facilities.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December 26,</w:t>
            </w:r>
          </w:p>
        </w:tc>
        <w:tc>
          <w:tcPr>
            <w:tcW w:w="180" w:type="dxa"/>
            <w:vAlign w:val="bottom"/>
          </w:tcPr>
          <w:p>
            <w:pPr>
              <w:spacing w:after="0"/>
              <w:rPr>
                <w:sz w:val="19"/>
                <w:szCs w:val="19"/>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December 28,</w:t>
            </w:r>
          </w:p>
        </w:tc>
      </w:tr>
      <w:tr>
        <w:trPr>
          <w:trHeight w:val="230"/>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Classification</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3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120" w:type="dxa"/>
            <w:vAlign w:val="bottom"/>
          </w:tcPr>
          <w:p>
            <w:pPr>
              <w:ind w:left="320"/>
              <w:spacing w:after="0"/>
              <w:rPr>
                <w:sz w:val="20"/>
                <w:szCs w:val="20"/>
                <w:color w:val="auto"/>
              </w:rPr>
            </w:pPr>
            <w:r>
              <w:rPr>
                <w:rFonts w:ascii="Arial" w:cs="Arial" w:eastAsia="Arial" w:hAnsi="Arial"/>
                <w:sz w:val="18"/>
                <w:szCs w:val="18"/>
                <w:color w:val="auto"/>
                <w:w w:val="96"/>
              </w:rPr>
              <w:t>Operating lease assets</w:t>
            </w:r>
          </w:p>
        </w:tc>
        <w:tc>
          <w:tcPr>
            <w:tcW w:w="3600" w:type="dxa"/>
            <w:vAlign w:val="bottom"/>
          </w:tcPr>
          <w:p>
            <w:pPr>
              <w:ind w:left="16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29,203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33,269</w:t>
            </w:r>
          </w:p>
        </w:tc>
      </w:tr>
      <w:tr>
        <w:trPr>
          <w:trHeight w:val="216"/>
        </w:trPr>
        <w:tc>
          <w:tcPr>
            <w:tcW w:w="2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assets</w:t>
            </w:r>
          </w:p>
        </w:tc>
        <w:tc>
          <w:tcPr>
            <w:tcW w:w="3600" w:type="dxa"/>
            <w:vAlign w:val="bottom"/>
            <w:tcBorders>
              <w:bottom w:val="single" w:sz="8" w:color="CCEEFF"/>
            </w:tcBorders>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Property, plant and equipment, net </w:t>
            </w:r>
            <w:r>
              <w:rPr>
                <w:rFonts w:ascii="Arial" w:cs="Arial" w:eastAsia="Arial" w:hAnsi="Arial"/>
                <w:sz w:val="25"/>
                <w:szCs w:val="25"/>
                <w:color w:val="auto"/>
                <w:vertAlign w:val="superscript"/>
              </w:rPr>
              <w:t>(1)</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0"/>
        </w:trPr>
        <w:tc>
          <w:tcPr>
            <w:tcW w:w="2120" w:type="dxa"/>
            <w:vAlign w:val="bottom"/>
          </w:tcPr>
          <w:p>
            <w:pPr>
              <w:ind w:left="480"/>
              <w:spacing w:after="0"/>
              <w:rPr>
                <w:sz w:val="20"/>
                <w:szCs w:val="20"/>
                <w:color w:val="auto"/>
              </w:rPr>
            </w:pPr>
            <w:r>
              <w:rPr>
                <w:rFonts w:ascii="Arial" w:cs="Arial" w:eastAsia="Arial" w:hAnsi="Arial"/>
                <w:sz w:val="18"/>
                <w:szCs w:val="18"/>
                <w:color w:val="auto"/>
              </w:rPr>
              <w:t>Total lease assets</w:t>
            </w:r>
          </w:p>
        </w:tc>
        <w:tc>
          <w:tcPr>
            <w:tcW w:w="36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29,689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35,784</w:t>
            </w:r>
          </w:p>
        </w:tc>
      </w:tr>
      <w:tr>
        <w:trPr>
          <w:trHeight w:val="20"/>
        </w:trPr>
        <w:tc>
          <w:tcPr>
            <w:tcW w:w="2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1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Liabilities:</w:t>
            </w:r>
          </w:p>
        </w:tc>
        <w:tc>
          <w:tcPr>
            <w:tcW w:w="3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20" w:type="dxa"/>
            <w:vAlign w:val="bottom"/>
          </w:tcPr>
          <w:p>
            <w:pPr>
              <w:ind w:left="320"/>
              <w:spacing w:after="0"/>
              <w:rPr>
                <w:sz w:val="20"/>
                <w:szCs w:val="20"/>
                <w:color w:val="auto"/>
              </w:rPr>
            </w:pPr>
            <w:r>
              <w:rPr>
                <w:rFonts w:ascii="Arial" w:cs="Arial" w:eastAsia="Arial" w:hAnsi="Arial"/>
                <w:sz w:val="18"/>
                <w:szCs w:val="18"/>
                <w:color w:val="auto"/>
              </w:rPr>
              <w:t>Current:</w:t>
            </w:r>
          </w:p>
        </w:tc>
        <w:tc>
          <w:tcPr>
            <w:tcW w:w="3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w:t>
            </w: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5,287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5,458</w:t>
            </w:r>
          </w:p>
        </w:tc>
      </w:tr>
      <w:tr>
        <w:trPr>
          <w:trHeight w:val="216"/>
        </w:trPr>
        <w:tc>
          <w:tcPr>
            <w:tcW w:w="2120" w:type="dxa"/>
            <w:vAlign w:val="bottom"/>
          </w:tcPr>
          <w:p>
            <w:pPr>
              <w:ind w:left="480"/>
              <w:spacing w:after="0"/>
              <w:rPr>
                <w:sz w:val="20"/>
                <w:szCs w:val="20"/>
                <w:color w:val="auto"/>
              </w:rPr>
            </w:pPr>
            <w:r>
              <w:rPr>
                <w:rFonts w:ascii="Arial" w:cs="Arial" w:eastAsia="Arial" w:hAnsi="Arial"/>
                <w:sz w:val="18"/>
                <w:szCs w:val="18"/>
                <w:color w:val="auto"/>
              </w:rPr>
              <w:t>Finance</w:t>
            </w:r>
          </w:p>
        </w:tc>
        <w:tc>
          <w:tcPr>
            <w:tcW w:w="360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2,574</w:t>
            </w:r>
          </w:p>
        </w:tc>
      </w:tr>
      <w:tr>
        <w:trPr>
          <w:trHeight w:val="216"/>
        </w:trPr>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w:t>
            </w:r>
          </w:p>
        </w:tc>
        <w:tc>
          <w:tcPr>
            <w:tcW w:w="3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120" w:type="dxa"/>
            <w:vAlign w:val="bottom"/>
          </w:tcPr>
          <w:p>
            <w:pPr>
              <w:ind w:left="480"/>
              <w:spacing w:after="0"/>
              <w:rPr>
                <w:sz w:val="20"/>
                <w:szCs w:val="20"/>
                <w:color w:val="auto"/>
              </w:rPr>
            </w:pPr>
            <w:r>
              <w:rPr>
                <w:rFonts w:ascii="Arial" w:cs="Arial" w:eastAsia="Arial" w:hAnsi="Arial"/>
                <w:sz w:val="18"/>
                <w:szCs w:val="18"/>
                <w:color w:val="auto"/>
              </w:rPr>
              <w:t>Operating</w:t>
            </w:r>
          </w:p>
        </w:tc>
        <w:tc>
          <w:tcPr>
            <w:tcW w:w="3600" w:type="dxa"/>
            <w:vAlign w:val="bottom"/>
          </w:tcPr>
          <w:p>
            <w:pPr>
              <w:ind w:left="160"/>
              <w:spacing w:after="0"/>
              <w:rPr>
                <w:sz w:val="20"/>
                <w:szCs w:val="20"/>
                <w:color w:val="auto"/>
              </w:rPr>
            </w:pPr>
            <w:r>
              <w:rPr>
                <w:rFonts w:ascii="Arial" w:cs="Arial" w:eastAsia="Arial" w:hAnsi="Arial"/>
                <w:sz w:val="18"/>
                <w:szCs w:val="18"/>
                <w:color w:val="auto"/>
              </w:rPr>
              <w:t>Long-term lease liabilities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25,565</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28,877</w:t>
            </w:r>
          </w:p>
        </w:tc>
      </w:tr>
      <w:tr>
        <w:trPr>
          <w:trHeight w:val="216"/>
        </w:trPr>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Finance</w:t>
            </w:r>
          </w:p>
        </w:tc>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lease liabilities</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0"/>
        </w:trPr>
        <w:tc>
          <w:tcPr>
            <w:tcW w:w="2120" w:type="dxa"/>
            <w:vAlign w:val="bottom"/>
          </w:tcPr>
          <w:p>
            <w:pPr>
              <w:ind w:left="480"/>
              <w:spacing w:after="0"/>
              <w:rPr>
                <w:sz w:val="20"/>
                <w:szCs w:val="20"/>
                <w:color w:val="auto"/>
              </w:rPr>
            </w:pPr>
            <w:r>
              <w:rPr>
                <w:rFonts w:ascii="Arial" w:cs="Arial" w:eastAsia="Arial" w:hAnsi="Arial"/>
                <w:sz w:val="18"/>
                <w:szCs w:val="18"/>
                <w:color w:val="auto"/>
              </w:rPr>
              <w:t>Total lease liabilities</w:t>
            </w:r>
          </w:p>
        </w:tc>
        <w:tc>
          <w:tcPr>
            <w:tcW w:w="36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31,253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36,909</w:t>
            </w:r>
          </w:p>
        </w:tc>
      </w:tr>
      <w:tr>
        <w:trPr>
          <w:trHeight w:val="20"/>
        </w:trPr>
        <w:tc>
          <w:tcPr>
            <w:tcW w:w="2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720" w:type="dxa"/>
            <w:vAlign w:val="bottom"/>
            <w:gridSpan w:val="2"/>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Weighted-average remaining lease term (years):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leases</w:t>
            </w:r>
          </w:p>
        </w:tc>
        <w:tc>
          <w:tcPr>
            <w:tcW w:w="3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r>
      <w:tr>
        <w:trPr>
          <w:trHeight w:val="216"/>
        </w:trPr>
        <w:tc>
          <w:tcPr>
            <w:tcW w:w="2120" w:type="dxa"/>
            <w:vAlign w:val="bottom"/>
          </w:tcPr>
          <w:p>
            <w:pPr>
              <w:ind w:left="320"/>
              <w:spacing w:after="0"/>
              <w:rPr>
                <w:sz w:val="20"/>
                <w:szCs w:val="20"/>
                <w:color w:val="auto"/>
              </w:rPr>
            </w:pPr>
            <w:r>
              <w:rPr>
                <w:rFonts w:ascii="Arial" w:cs="Arial" w:eastAsia="Arial" w:hAnsi="Arial"/>
                <w:sz w:val="18"/>
                <w:szCs w:val="18"/>
                <w:color w:val="auto"/>
              </w:rPr>
              <w:t>Finance leases</w:t>
            </w:r>
          </w:p>
        </w:tc>
        <w:tc>
          <w:tcPr>
            <w:tcW w:w="3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r>
      <w:tr>
        <w:trPr>
          <w:trHeight w:val="216"/>
        </w:trPr>
        <w:tc>
          <w:tcPr>
            <w:tcW w:w="57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Weighted-average discount rate: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leases</w:t>
            </w:r>
          </w:p>
        </w:tc>
        <w:tc>
          <w:tcPr>
            <w:tcW w:w="3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30"/>
        </w:trPr>
        <w:tc>
          <w:tcPr>
            <w:tcW w:w="2120" w:type="dxa"/>
            <w:vAlign w:val="bottom"/>
          </w:tcPr>
          <w:p>
            <w:pPr>
              <w:ind w:left="320"/>
              <w:spacing w:after="0"/>
              <w:rPr>
                <w:sz w:val="20"/>
                <w:szCs w:val="20"/>
                <w:color w:val="auto"/>
              </w:rPr>
            </w:pPr>
            <w:r>
              <w:rPr>
                <w:rFonts w:ascii="Arial" w:cs="Arial" w:eastAsia="Arial" w:hAnsi="Arial"/>
                <w:sz w:val="18"/>
                <w:szCs w:val="18"/>
                <w:color w:val="auto"/>
              </w:rPr>
              <w:t>Finance leases</w:t>
            </w:r>
          </w:p>
        </w:tc>
        <w:tc>
          <w:tcPr>
            <w:tcW w:w="3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bl>
    <w:p>
      <w:pPr>
        <w:spacing w:after="0" w:line="201" w:lineRule="exact"/>
        <w:rPr>
          <w:sz w:val="20"/>
          <w:szCs w:val="20"/>
          <w:color w:val="auto"/>
        </w:rPr>
      </w:pPr>
    </w:p>
    <w:p>
      <w:pPr>
        <w:ind w:left="340" w:right="1180" w:firstLine="316"/>
        <w:spacing w:after="0" w:line="500" w:lineRule="auto"/>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Finance lease assets are recorded net of accumulated amortization of $48,000 and $0.1 million in 2020 and 2019, respectively. The components of lease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-546735</wp:posOffset>
            </wp:positionV>
            <wp:extent cx="6412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w w:val="93"/>
              </w:rPr>
              <w:t>December 26,</w:t>
            </w:r>
          </w:p>
        </w:tc>
        <w:tc>
          <w:tcPr>
            <w:tcW w:w="24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28,</w:t>
            </w:r>
          </w:p>
        </w:tc>
      </w:tr>
      <w:tr>
        <w:trPr>
          <w:trHeight w:val="230"/>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r>
      <w:tr>
        <w:trPr>
          <w:trHeight w:val="210"/>
        </w:trPr>
        <w:tc>
          <w:tcPr>
            <w:tcW w:w="6200" w:type="dxa"/>
            <w:vAlign w:val="bottom"/>
            <w:shd w:val="clear" w:color="auto" w:fill="CCEEFF"/>
          </w:tcPr>
          <w:p>
            <w:pPr>
              <w:ind w:left="160"/>
              <w:spacing w:after="0" w:line="210"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8,374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Variable lease expense</w:t>
            </w:r>
          </w:p>
        </w:tc>
        <w:tc>
          <w:tcPr>
            <w:tcW w:w="18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2,110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operating leases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leased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Interest on lease liabilities</w:t>
            </w:r>
          </w:p>
        </w:tc>
        <w:tc>
          <w:tcPr>
            <w:tcW w:w="18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Sublease income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09"/>
        </w:trPr>
        <w:tc>
          <w:tcPr>
            <w:tcW w:w="620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Net lease cost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10,605</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100" w:type="dxa"/>
            <w:vAlign w:val="bottom"/>
            <w:tcBorders>
              <w:top w:val="single" w:sz="8" w:color="CCEEFF"/>
            </w:tcBorders>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40" w:hanging="8"/>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lease cost excludes impairment expense of $0.2 million related to the write-down of the Fontana facility right-of-use asset recognized in 2019.</w:t>
      </w:r>
    </w:p>
    <w:p>
      <w:pPr>
        <w:sectPr>
          <w:pgSz w:w="11900" w:h="16838" w:orient="portrait"/>
          <w:cols w:equalWidth="0" w:num="1">
            <w:col w:w="11220"/>
          </w:cols>
          <w:pgMar w:left="320" w:top="125"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at December 26, 2020,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Finance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620"/>
              <w:spacing w:after="0" w:line="230" w:lineRule="exact"/>
              <w:rPr>
                <w:sz w:val="20"/>
                <w:szCs w:val="20"/>
                <w:color w:val="auto"/>
              </w:rPr>
            </w:pPr>
            <w:r>
              <w:rPr>
                <w:rFonts w:ascii="Arial" w:cs="Arial" w:eastAsia="Arial" w:hAnsi="Arial"/>
                <w:sz w:val="16"/>
                <w:szCs w:val="16"/>
                <w:color w:val="auto"/>
              </w:rPr>
              <w:t xml:space="preserve">leases </w:t>
            </w:r>
            <w:r>
              <w:rPr>
                <w:rFonts w:ascii="Arial" w:cs="Arial" w:eastAsia="Arial" w:hAnsi="Arial"/>
                <w:sz w:val="26"/>
                <w:szCs w:val="26"/>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leases</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09"/>
        </w:trPr>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7,194</w:t>
            </w:r>
          </w:p>
        </w:tc>
      </w:tr>
      <w:tr>
        <w:trPr>
          <w:trHeight w:val="216"/>
        </w:trPr>
        <w:tc>
          <w:tcPr>
            <w:tcW w:w="3540" w:type="dxa"/>
            <w:vAlign w:val="bottom"/>
          </w:tcPr>
          <w:p>
            <w:pPr>
              <w:ind w:left="16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6,187</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6,366</w:t>
            </w:r>
          </w:p>
        </w:tc>
      </w:tr>
      <w:tr>
        <w:trPr>
          <w:trHeight w:val="216"/>
        </w:trPr>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w:t>
            </w:r>
          </w:p>
        </w:tc>
      </w:tr>
      <w:tr>
        <w:trPr>
          <w:trHeight w:val="216"/>
        </w:trPr>
        <w:tc>
          <w:tcPr>
            <w:tcW w:w="3540" w:type="dxa"/>
            <w:vAlign w:val="bottom"/>
          </w:tcPr>
          <w:p>
            <w:pPr>
              <w:ind w:left="16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4,766</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4,766</w:t>
            </w:r>
          </w:p>
        </w:tc>
      </w:tr>
      <w:tr>
        <w:trPr>
          <w:trHeight w:val="216"/>
        </w:trPr>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w:t>
            </w:r>
          </w:p>
        </w:tc>
      </w:tr>
      <w:tr>
        <w:trPr>
          <w:trHeight w:val="216"/>
        </w:trPr>
        <w:tc>
          <w:tcPr>
            <w:tcW w:w="354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11,942</w:t>
            </w:r>
          </w:p>
        </w:tc>
      </w:tr>
      <w:tr>
        <w:trPr>
          <w:trHeight w:val="20"/>
        </w:trPr>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40,036</w:t>
            </w:r>
          </w:p>
        </w:tc>
      </w:tr>
      <w:tr>
        <w:trPr>
          <w:trHeight w:val="216"/>
        </w:trPr>
        <w:tc>
          <w:tcPr>
            <w:tcW w:w="3540" w:type="dxa"/>
            <w:vAlign w:val="bottom"/>
          </w:tcPr>
          <w:p>
            <w:pPr>
              <w:ind w:left="160"/>
              <w:spacing w:after="0"/>
              <w:rPr>
                <w:sz w:val="20"/>
                <w:szCs w:val="20"/>
                <w:color w:val="auto"/>
              </w:rPr>
            </w:pPr>
            <w:r>
              <w:rPr>
                <w:rFonts w:ascii="Arial" w:cs="Arial" w:eastAsia="Arial" w:hAnsi="Arial"/>
                <w:sz w:val="18"/>
                <w:szCs w:val="18"/>
                <w:color w:val="auto"/>
              </w:rPr>
              <w:t>Less: Interest</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(8,783)</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(8,783)</w:t>
            </w:r>
          </w:p>
        </w:tc>
      </w:tr>
      <w:tr>
        <w:trPr>
          <w:trHeight w:val="20"/>
        </w:trPr>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31,253</w:t>
            </w: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(1) Excludes sublease income of $0.1 million in 2021.</w:t>
            </w: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1"/>
        </w:trPr>
        <w:tc>
          <w:tcPr>
            <w:tcW w:w="6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w w:val="95"/>
              </w:rPr>
              <w:t>December 26,</w:t>
            </w:r>
          </w:p>
        </w:tc>
        <w:tc>
          <w:tcPr>
            <w:tcW w:w="300" w:type="dxa"/>
            <w:vAlign w:val="bottom"/>
          </w:tcPr>
          <w:p>
            <w:pPr>
              <w:spacing w:after="0"/>
              <w:rPr>
                <w:sz w:val="24"/>
                <w:szCs w:val="24"/>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w w:val="97"/>
              </w:rPr>
              <w:t>December 28,</w:t>
            </w:r>
          </w:p>
        </w:tc>
      </w:tr>
      <w:tr>
        <w:trPr>
          <w:trHeight w:val="230"/>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r>
      <w:tr>
        <w:trPr>
          <w:trHeight w:val="210"/>
        </w:trPr>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6300" w:type="dxa"/>
            <w:vAlign w:val="bottom"/>
          </w:tcPr>
          <w:p>
            <w:pPr>
              <w:ind w:left="480"/>
              <w:spacing w:after="0"/>
              <w:rPr>
                <w:sz w:val="20"/>
                <w:szCs w:val="20"/>
                <w:color w:val="auto"/>
              </w:rPr>
            </w:pPr>
            <w:r>
              <w:rPr>
                <w:rFonts w:ascii="Arial" w:cs="Arial" w:eastAsia="Arial" w:hAnsi="Arial"/>
                <w:sz w:val="18"/>
                <w:szCs w:val="18"/>
                <w:color w:val="auto"/>
              </w:rPr>
              <w:t>Operating cash flows from operating leases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8,079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6,932</w:t>
            </w:r>
          </w:p>
        </w:tc>
      </w:tr>
      <w:tr>
        <w:trPr>
          <w:trHeight w:val="216"/>
        </w:trPr>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cash flows from finance leases</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16"/>
        </w:trPr>
        <w:tc>
          <w:tcPr>
            <w:tcW w:w="6300" w:type="dxa"/>
            <w:vAlign w:val="bottom"/>
          </w:tcPr>
          <w:p>
            <w:pPr>
              <w:ind w:left="480"/>
              <w:spacing w:after="0"/>
              <w:rPr>
                <w:sz w:val="20"/>
                <w:szCs w:val="20"/>
                <w:color w:val="auto"/>
              </w:rPr>
            </w:pPr>
            <w:r>
              <w:rPr>
                <w:rFonts w:ascii="Arial" w:cs="Arial" w:eastAsia="Arial" w:hAnsi="Arial"/>
                <w:sz w:val="18"/>
                <w:szCs w:val="18"/>
                <w:color w:val="auto"/>
              </w:rPr>
              <w:t>Financing cash flows from finance leases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3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2,403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40,844</w:t>
            </w:r>
          </w:p>
        </w:tc>
      </w:tr>
    </w:tbl>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jc w:val="both"/>
        <w:ind w:left="340" w:right="2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387" w:lineRule="exact"/>
        <w:rPr>
          <w:rFonts w:ascii="Arial" w:cs="Arial" w:eastAsia="Arial" w:hAnsi="Arial"/>
          <w:sz w:val="18"/>
          <w:szCs w:val="18"/>
          <w:b w:val="1"/>
          <w:bCs w:val="1"/>
          <w:color w:val="auto"/>
        </w:rPr>
      </w:pPr>
    </w:p>
    <w:p>
      <w:pPr>
        <w:ind w:left="340" w:right="9540" w:hanging="332"/>
        <w:spacing w:after="0" w:line="566" w:lineRule="auto"/>
        <w:tabs>
          <w:tab w:leader="none" w:pos="3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i w:val="1"/>
          <w:iCs w:val="1"/>
          <w:u w:val="single" w:color="auto"/>
          <w:color w:val="auto"/>
        </w:rPr>
        <w:t>Accrued Warranty</w:t>
      </w: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Changes in accrued warranty during the three-year period ended December 26, 2020, was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4,849</w:t>
            </w:r>
          </w:p>
        </w:tc>
      </w:tr>
      <w:tr>
        <w:trPr>
          <w:trHeight w:val="216"/>
        </w:trPr>
        <w:tc>
          <w:tcPr>
            <w:tcW w:w="3540" w:type="dxa"/>
            <w:vAlign w:val="bottom"/>
          </w:tcPr>
          <w:p>
            <w:pPr>
              <w:ind w:left="160"/>
              <w:spacing w:after="0"/>
              <w:rPr>
                <w:sz w:val="20"/>
                <w:szCs w:val="20"/>
                <w:color w:val="auto"/>
              </w:rPr>
            </w:pPr>
            <w:r>
              <w:rPr>
                <w:rFonts w:ascii="Arial" w:cs="Arial" w:eastAsia="Arial" w:hAnsi="Arial"/>
                <w:sz w:val="18"/>
                <w:szCs w:val="18"/>
                <w:color w:val="auto"/>
              </w:rPr>
              <w:t>Warranty accruals</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6,173</w:t>
            </w: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6,714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7,154</w:t>
            </w:r>
          </w:p>
        </w:tc>
      </w:tr>
      <w:tr>
        <w:trPr>
          <w:trHeight w:val="216"/>
        </w:trPr>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Warranty payments</w:t>
            </w: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(8,573)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(8,358)</w:t>
            </w:r>
          </w:p>
        </w:tc>
      </w:tr>
      <w:tr>
        <w:trPr>
          <w:trHeight w:val="216"/>
        </w:trPr>
        <w:tc>
          <w:tcPr>
            <w:tcW w:w="3540" w:type="dxa"/>
            <w:vAlign w:val="bottom"/>
          </w:tcPr>
          <w:p>
            <w:pPr>
              <w:ind w:left="160"/>
              <w:spacing w:after="0"/>
              <w:rPr>
                <w:sz w:val="20"/>
                <w:szCs w:val="20"/>
                <w:color w:val="auto"/>
              </w:rPr>
            </w:pPr>
            <w:r>
              <w:rPr>
                <w:rFonts w:ascii="Arial" w:cs="Arial" w:eastAsia="Arial" w:hAnsi="Arial"/>
                <w:sz w:val="18"/>
                <w:szCs w:val="18"/>
                <w:color w:val="auto"/>
              </w:rPr>
              <w:t>Warranty liability assumed</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4,369</w:t>
            </w:r>
          </w:p>
        </w:tc>
      </w:tr>
      <w:tr>
        <w:trPr>
          <w:trHeight w:val="20"/>
        </w:trPr>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6,382</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8,014</w:t>
            </w: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warranty amounts expected to be incurred after one year are included in noncurrent other accrued liabilities in the consolidated balance sheet.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amounts totaled $0.3 million at both December 26, 2020 and December 28, 2019.</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Fixtures Services Business (“FSG”)</w:t>
      </w:r>
    </w:p>
    <w:p>
      <w:pPr>
        <w:spacing w:after="0" w:line="225" w:lineRule="exact"/>
        <w:rPr>
          <w:rFonts w:ascii="Arial" w:cs="Arial" w:eastAsia="Arial" w:hAnsi="Arial"/>
          <w:sz w:val="18"/>
          <w:szCs w:val="18"/>
          <w:b w:val="1"/>
          <w:bCs w:val="1"/>
          <w:color w:val="auto"/>
        </w:rPr>
      </w:pPr>
    </w:p>
    <w:p>
      <w:pPr>
        <w:ind w:left="340" w:right="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October 1, 2018, we acquired a fixtures services business as part of Xcerra. At the time of the acquisition our management determined that this business did not align with Cohu’s core business and was not a strategic fit within our organization. As a result, the fixtures services business was marketed for sale since we acquired Xcerra on October 1, 2018 and it has been presented as discontinued operations. For financial statement purposes, the results of operations for this business have been segregated from those of continuing operations and are presented in our consolidated financial statements as discontinued operations for all periods presented.</w:t>
      </w:r>
    </w:p>
    <w:p>
      <w:pPr>
        <w:spacing w:after="0" w:line="176" w:lineRule="exact"/>
        <w:rPr>
          <w:rFonts w:ascii="Arial" w:cs="Arial" w:eastAsia="Arial" w:hAnsi="Arial"/>
          <w:sz w:val="18"/>
          <w:szCs w:val="18"/>
          <w:b w:val="1"/>
          <w:bCs w:val="1"/>
          <w:color w:val="auto"/>
        </w:rPr>
      </w:pPr>
    </w:p>
    <w:p>
      <w:pPr>
        <w:ind w:left="34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fourth quarter of 2019, we recorded a charge of $1.1 million to impair goodwill and purchased intangible assets associated with this operating segment as the estimated fair value less cost to sell exceeded the carrying value. We completed the sale of this business in February 2020 which resulted in an immaterial gain that that was recorded in our statement of operations for the twelve months ended December 26, 2020, as noted below.</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xml:space="preserve">Balance sheet information for our fixtures services business presented as discontinued operations is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28,</w:t>
            </w:r>
          </w:p>
        </w:tc>
      </w:tr>
      <w:tr>
        <w:trPr>
          <w:trHeight w:val="230"/>
        </w:trPr>
        <w:tc>
          <w:tcPr>
            <w:tcW w:w="7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r>
      <w:tr>
        <w:trPr>
          <w:trHeight w:val="216"/>
        </w:trPr>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1,411</w:t>
            </w:r>
          </w:p>
        </w:tc>
      </w:tr>
      <w:tr>
        <w:trPr>
          <w:trHeight w:val="216"/>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2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3,503</w:t>
            </w:r>
          </w:p>
        </w:tc>
      </w:tr>
      <w:tr>
        <w:trPr>
          <w:trHeight w:val="216"/>
        </w:trPr>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r>
      <w:tr>
        <w:trPr>
          <w:trHeight w:val="249"/>
        </w:trPr>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3,618</w:t>
            </w:r>
          </w:p>
        </w:tc>
      </w:tr>
      <w:tr>
        <w:trPr>
          <w:trHeight w:val="197"/>
        </w:trPr>
        <w:tc>
          <w:tcPr>
            <w:tcW w:w="7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Other accrued current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r>
      <w:tr>
        <w:trPr>
          <w:trHeight w:val="250"/>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6"/>
          </w:tcPr>
          <w:p>
            <w:pPr>
              <w:jc w:val="right"/>
              <w:ind w:right="400"/>
              <w:spacing w:after="0"/>
              <w:rPr>
                <w:sz w:val="20"/>
                <w:szCs w:val="20"/>
                <w:color w:val="auto"/>
              </w:rPr>
            </w:pPr>
            <w:r>
              <w:rPr>
                <w:rFonts w:ascii="Arial" w:cs="Arial" w:eastAsia="Arial" w:hAnsi="Arial"/>
                <w:sz w:val="18"/>
                <w:szCs w:val="18"/>
                <w:color w:val="auto"/>
                <w:w w:val="94"/>
              </w:rPr>
              <w:t xml:space="preserve">Operating results of our discontinued operations are summarized as follows </w:t>
            </w:r>
            <w:r>
              <w:rPr>
                <w:rFonts w:ascii="Arial" w:cs="Arial" w:eastAsia="Arial" w:hAnsi="Arial"/>
                <w:sz w:val="18"/>
                <w:szCs w:val="18"/>
                <w:i w:val="1"/>
                <w:iCs w:val="1"/>
                <w:color w:val="auto"/>
                <w:w w:val="94"/>
              </w:rPr>
              <w:t>(in thousands)</w:t>
            </w:r>
            <w:r>
              <w:rPr>
                <w:rFonts w:ascii="Arial" w:cs="Arial" w:eastAsia="Arial" w:hAnsi="Arial"/>
                <w:sz w:val="18"/>
                <w:szCs w:val="18"/>
                <w:color w:val="auto"/>
                <w:w w:val="94"/>
              </w:rPr>
              <w: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26,</w:t>
            </w:r>
          </w:p>
        </w:tc>
        <w:tc>
          <w:tcPr>
            <w:tcW w:w="16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December 28,</w:t>
            </w:r>
          </w:p>
        </w:tc>
        <w:tc>
          <w:tcPr>
            <w:tcW w:w="1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29,</w:t>
            </w:r>
          </w:p>
        </w:tc>
        <w:tc>
          <w:tcPr>
            <w:tcW w:w="6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9"/>
        </w:trPr>
        <w:tc>
          <w:tcPr>
            <w:tcW w:w="50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w:t>
            </w:r>
          </w:p>
        </w:tc>
        <w:tc>
          <w:tcPr>
            <w:tcW w:w="64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Loss from impairment of FSG</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FSG</w:t>
            </w:r>
          </w:p>
        </w:tc>
        <w:tc>
          <w:tcPr>
            <w:tcW w:w="1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4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4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(loss), net of tax</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9"/>
              </w:rPr>
              <w:t>81</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loss, on an after-tax basis, were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left="258"/>
              <w:spacing w:after="0"/>
              <w:rPr>
                <w:sz w:val="20"/>
                <w:szCs w:val="20"/>
                <w:color w:val="auto"/>
              </w:rPr>
            </w:pPr>
            <w:r>
              <w:rPr>
                <w:rFonts w:ascii="Arial" w:cs="Arial" w:eastAsia="Arial" w:hAnsi="Arial"/>
                <w:sz w:val="18"/>
                <w:szCs w:val="18"/>
                <w:color w:val="auto"/>
                <w:w w:val="93"/>
              </w:rPr>
              <w:t>Tax</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Before Tax</w:t>
            </w:r>
          </w:p>
        </w:tc>
        <w:tc>
          <w:tcPr>
            <w:tcW w:w="1220" w:type="dxa"/>
            <w:vAlign w:val="bottom"/>
            <w:gridSpan w:val="2"/>
          </w:tcPr>
          <w:p>
            <w:pPr>
              <w:jc w:val="center"/>
              <w:ind w:left="258"/>
              <w:spacing w:after="0"/>
              <w:rPr>
                <w:sz w:val="20"/>
                <w:szCs w:val="20"/>
                <w:color w:val="auto"/>
              </w:rPr>
            </w:pPr>
            <w:r>
              <w:rPr>
                <w:rFonts w:ascii="Arial" w:cs="Arial" w:eastAsia="Arial" w:hAnsi="Arial"/>
                <w:sz w:val="18"/>
                <w:szCs w:val="18"/>
                <w:color w:val="auto"/>
                <w:w w:val="87"/>
              </w:rPr>
              <w:t>(Expense)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8"/>
                <w:szCs w:val="18"/>
                <w:color w:val="auto"/>
              </w:rPr>
              <w:t>Net of Tax</w:t>
            </w:r>
          </w:p>
        </w:tc>
      </w:tr>
      <w:tr>
        <w:trPr>
          <w:trHeight w:val="230"/>
        </w:trPr>
        <w:tc>
          <w:tcPr>
            <w:tcW w:w="16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8"/>
                <w:szCs w:val="18"/>
                <w:color w:val="auto"/>
              </w:rPr>
              <w:t>Amount</w:t>
            </w:r>
          </w:p>
        </w:tc>
        <w:tc>
          <w:tcPr>
            <w:tcW w:w="1220" w:type="dxa"/>
            <w:vAlign w:val="bottom"/>
            <w:tcBorders>
              <w:bottom w:val="single" w:sz="8" w:color="auto"/>
            </w:tcBorders>
            <w:gridSpan w:val="2"/>
          </w:tcPr>
          <w:p>
            <w:pPr>
              <w:jc w:val="center"/>
              <w:ind w:left="258"/>
              <w:spacing w:after="0"/>
              <w:rPr>
                <w:sz w:val="20"/>
                <w:szCs w:val="20"/>
                <w:color w:val="auto"/>
              </w:rPr>
            </w:pPr>
            <w:r>
              <w:rPr>
                <w:rFonts w:ascii="Arial" w:cs="Arial" w:eastAsia="Arial" w:hAnsi="Arial"/>
                <w:sz w:val="18"/>
                <w:szCs w:val="18"/>
                <w:color w:val="auto"/>
                <w:w w:val="92"/>
              </w:rPr>
              <w:t>Benefit</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color w:val="auto"/>
              </w:rPr>
              <w:t>Amount</w:t>
            </w:r>
          </w:p>
        </w:tc>
      </w:tr>
      <w:tr>
        <w:trPr>
          <w:trHeight w:val="209"/>
        </w:trPr>
        <w:tc>
          <w:tcPr>
            <w:tcW w:w="1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(8,905)</w:t>
            </w:r>
          </w:p>
        </w:tc>
        <w:tc>
          <w:tcPr>
            <w:tcW w:w="1040" w:type="dxa"/>
            <w:vAlign w:val="bottom"/>
          </w:tcPr>
          <w:p>
            <w:pPr>
              <w:jc w:val="right"/>
              <w:ind w:right="87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(8,905)</w:t>
            </w:r>
          </w:p>
        </w:tc>
      </w:tr>
      <w:tr>
        <w:trPr>
          <w:trHeight w:val="216"/>
        </w:trPr>
        <w:tc>
          <w:tcPr>
            <w:tcW w:w="16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805</w:t>
            </w:r>
          </w:p>
        </w:tc>
      </w:tr>
      <w:tr>
        <w:trPr>
          <w:trHeight w:val="216"/>
        </w:trPr>
        <w:tc>
          <w:tcPr>
            <w:tcW w:w="16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160" w:type="dxa"/>
            <w:vAlign w:val="bottom"/>
          </w:tcPr>
          <w:p>
            <w:pPr>
              <w:spacing w:after="0"/>
              <w:rPr>
                <w:sz w:val="21"/>
                <w:szCs w:val="21"/>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(8,033)</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CCEEFF"/>
            </w:tcBorders>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(8,093)</w:t>
            </w:r>
          </w:p>
        </w:tc>
      </w:tr>
      <w:tr>
        <w:trPr>
          <w:trHeight w:val="197"/>
        </w:trPr>
        <w:tc>
          <w:tcPr>
            <w:tcW w:w="160" w:type="dxa"/>
            <w:vAlign w:val="bottom"/>
          </w:tcPr>
          <w:p>
            <w:pPr>
              <w:spacing w:after="0"/>
              <w:rPr>
                <w:sz w:val="17"/>
                <w:szCs w:val="17"/>
                <w:color w:val="auto"/>
              </w:rPr>
            </w:pPr>
          </w:p>
        </w:tc>
        <w:tc>
          <w:tcPr>
            <w:tcW w:w="47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Year ended December 28, 2019</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(7,522)</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(7,522)</w:t>
            </w:r>
          </w:p>
        </w:tc>
      </w:tr>
      <w:tr>
        <w:trPr>
          <w:trHeight w:val="216"/>
        </w:trPr>
        <w:tc>
          <w:tcPr>
            <w:tcW w:w="16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(856)</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(628)</w:t>
            </w:r>
          </w:p>
        </w:tc>
      </w:tr>
      <w:tr>
        <w:trPr>
          <w:trHeight w:val="20"/>
        </w:trPr>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(8,378)</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CCEEFF"/>
            </w:tcBorders>
            <w:shd w:val="clear" w:color="auto" w:fill="CCEEFF"/>
          </w:tcPr>
          <w:p>
            <w:pPr>
              <w:spacing w:after="0"/>
              <w:rPr>
                <w:sz w:val="21"/>
                <w:szCs w:val="21"/>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(8,150)</w:t>
            </w:r>
          </w:p>
        </w:tc>
      </w:tr>
      <w:tr>
        <w:trPr>
          <w:trHeight w:val="196"/>
        </w:trPr>
        <w:tc>
          <w:tcPr>
            <w:tcW w:w="160" w:type="dxa"/>
            <w:vAlign w:val="bottom"/>
          </w:tcPr>
          <w:p>
            <w:pPr>
              <w:spacing w:after="0"/>
              <w:rPr>
                <w:sz w:val="17"/>
                <w:szCs w:val="17"/>
                <w:color w:val="auto"/>
              </w:rPr>
            </w:pPr>
          </w:p>
        </w:tc>
        <w:tc>
          <w:tcPr>
            <w:tcW w:w="47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Year ended December 26, 2020</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27,321</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27,321</w:t>
            </w:r>
          </w:p>
        </w:tc>
      </w:tr>
      <w:tr>
        <w:trPr>
          <w:trHeight w:val="216"/>
        </w:trPr>
        <w:tc>
          <w:tcPr>
            <w:tcW w:w="16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2,599</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(216)</w:t>
            </w:r>
          </w:p>
        </w:tc>
        <w:tc>
          <w:tcPr>
            <w:tcW w:w="240" w:type="dxa"/>
            <w:vAlign w:val="bottom"/>
          </w:tcPr>
          <w:p>
            <w:pPr>
              <w:spacing w:after="0"/>
              <w:rPr>
                <w:sz w:val="18"/>
                <w:szCs w:val="18"/>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2,383</w:t>
            </w:r>
          </w:p>
        </w:tc>
      </w:tr>
      <w:tr>
        <w:trPr>
          <w:trHeight w:val="20"/>
        </w:trPr>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29,920</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(216)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29,704</w:t>
            </w:r>
          </w:p>
        </w:tc>
      </w:tr>
      <w:tr>
        <w:trPr>
          <w:trHeight w:val="20"/>
        </w:trPr>
        <w:tc>
          <w:tcPr>
            <w:tcW w:w="160" w:type="dxa"/>
            <w:vAlign w:val="bottom"/>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020" w:type="dxa"/>
            <w:vAlign w:val="bottom"/>
            <w:gridSpan w:val="9"/>
          </w:tcPr>
          <w:p>
            <w:pPr>
              <w:jc w:val="right"/>
              <w:ind w:right="360"/>
              <w:spacing w:after="0"/>
              <w:rPr>
                <w:sz w:val="20"/>
                <w:szCs w:val="20"/>
                <w:color w:val="auto"/>
              </w:rPr>
            </w:pPr>
            <w:r>
              <w:rPr>
                <w:rFonts w:ascii="Arial" w:cs="Arial" w:eastAsia="Arial" w:hAnsi="Arial"/>
                <w:sz w:val="18"/>
                <w:szCs w:val="18"/>
                <w:color w:val="auto"/>
                <w:w w:val="89"/>
              </w:rPr>
              <w:t>Components of accumulated other comprehensive loss, net of tax, at the end of each period are as follows: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16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w w:val="99"/>
              </w:rPr>
              <w:t>2019</w:t>
            </w:r>
          </w:p>
        </w:tc>
        <w:tc>
          <w:tcPr>
            <w:tcW w:w="1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currency translation adjustments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(30,198)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3"/>
              </w:rPr>
              <w:t>Accumulated net adjustments related to postretirement benefits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(3,832)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(34,030)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right="7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At December 26, 2020 certain of our cash and short-term investments were held and managed by BlackRock, Inc. which owns 15.2% of our outstanding common stock as reported in its Form 13-G filing made with the Securities and Exchange Commission on January 26, 2021.</w:t>
      </w:r>
    </w:p>
    <w:p>
      <w:pPr>
        <w:spacing w:after="0" w:line="123" w:lineRule="exact"/>
        <w:rPr>
          <w:rFonts w:ascii="Arial" w:cs="Arial" w:eastAsia="Arial" w:hAnsi="Arial"/>
          <w:sz w:val="18"/>
          <w:szCs w:val="18"/>
          <w:b w:val="1"/>
          <w:bCs w:val="1"/>
          <w:color w:val="auto"/>
        </w:rPr>
      </w:pPr>
    </w:p>
    <w:p>
      <w:pPr>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As part of Xcerra, we gained ownership interests in two companies that supply components and provide services to wholly owned subsidiaries of Xcerra. Multitest elektronische Systeme GmbH and atg-Luther &amp; Maelzer GmbH of FTZ Fraes-und Technologiezentrum GmbH Frasdorf (“FTZ”) and ETZ Elektrisches Testzentrum fuer Leiterplatten GmbH (“ETZ”), respectively. FTZ, based in Germany, provides milling services and ETZ, which is also based in Germany, provides certain component parts. These investments are accounted for under the equity method and are not material to our consolidated balance sheets. During 2020, 2019 and 2018, purchases of products from FTZ and ETZ were not material.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4"/>
              </w:rPr>
              <w:t>17. Quarterly Financial Data (Unaudited)</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Quarter</w:t>
            </w: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First (a)</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Second (a)</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Third (a)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Fourth (a)</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Year</w:t>
            </w:r>
          </w:p>
        </w:tc>
      </w:tr>
      <w:tr>
        <w:trPr>
          <w:trHeight w:val="210"/>
        </w:trPr>
        <w:tc>
          <w:tcPr>
            <w:tcW w:w="6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138,921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144,084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150,647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202,355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636,007</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147,809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150,011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143,498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142,011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583,329</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Cost of sales:</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tcPr>
          <w:p>
            <w:pPr>
              <w:ind w:left="260"/>
              <w:spacing w:after="0"/>
              <w:rPr>
                <w:sz w:val="20"/>
                <w:szCs w:val="20"/>
                <w:color w:val="auto"/>
              </w:rPr>
            </w:pPr>
            <w:r>
              <w:rPr>
                <w:rFonts w:ascii="Arial" w:cs="Arial" w:eastAsia="Arial" w:hAnsi="Arial"/>
                <w:sz w:val="18"/>
                <w:szCs w:val="18"/>
                <w:color w:val="auto"/>
              </w:rPr>
              <w:t>(b)</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82,837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83,127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87,147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111,114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364,225</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93,394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87,605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84,565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87,936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353,500</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14,861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(19,383)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(16,281)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(68,995)</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(4,740)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14,861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(13,801)</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(69,692)</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(loss) attributable to</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Cohu</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14,861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(13,801)</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(17,266)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(69,700)</w:t>
            </w:r>
          </w:p>
        </w:tc>
      </w:tr>
      <w:tr>
        <w:trPr>
          <w:trHeight w:val="216"/>
        </w:trPr>
        <w:tc>
          <w:tcPr>
            <w:tcW w:w="660" w:type="dxa"/>
            <w:vAlign w:val="bottom"/>
          </w:tcPr>
          <w:p>
            <w:pPr>
              <w:spacing w:after="0"/>
              <w:rPr>
                <w:sz w:val="18"/>
                <w:szCs w:val="18"/>
                <w:color w:val="auto"/>
              </w:rPr>
            </w:pPr>
          </w:p>
        </w:tc>
        <w:tc>
          <w:tcPr>
            <w:tcW w:w="3760" w:type="dxa"/>
            <w:vAlign w:val="bottom"/>
            <w:gridSpan w:val="3"/>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w w:val="97"/>
              </w:rPr>
              <w:t>Income (loss) per share attributable to Cohu (c):</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520" w:type="dxa"/>
            <w:vAlign w:val="bottom"/>
          </w:tcPr>
          <w:p>
            <w:pPr>
              <w:ind w:left="320"/>
              <w:spacing w:after="0" w:line="201" w:lineRule="exact"/>
              <w:rPr>
                <w:sz w:val="20"/>
                <w:szCs w:val="20"/>
                <w:color w:val="auto"/>
              </w:rPr>
            </w:pPr>
            <w:r>
              <w:rPr>
                <w:rFonts w:ascii="Arial" w:cs="Arial" w:eastAsia="Arial" w:hAnsi="Arial"/>
                <w:sz w:val="18"/>
                <w:szCs w:val="18"/>
                <w:color w:val="auto"/>
                <w:w w:val="92"/>
              </w:rPr>
              <w:t>Income (loss) from continuing</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2520" w:type="dxa"/>
            <w:vAlign w:val="bottom"/>
          </w:tcPr>
          <w:p>
            <w:pPr>
              <w:ind w:left="480"/>
              <w:spacing w:after="0"/>
              <w:rPr>
                <w:sz w:val="20"/>
                <w:szCs w:val="20"/>
                <w:color w:val="auto"/>
              </w:rPr>
            </w:pPr>
            <w:r>
              <w:rPr>
                <w:rFonts w:ascii="Arial" w:cs="Arial" w:eastAsia="Arial" w:hAnsi="Arial"/>
                <w:sz w:val="18"/>
                <w:szCs w:val="18"/>
                <w:color w:val="auto"/>
              </w:rPr>
              <w:t>operations</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5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Income (loss) from continuing</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2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operations</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16"/>
        </w:trPr>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2020</w:t>
            </w:r>
          </w:p>
        </w:tc>
        <w:tc>
          <w:tcPr>
            <w:tcW w:w="6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16"/>
        </w:trPr>
        <w:tc>
          <w:tcPr>
            <w:tcW w:w="66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2019</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bl>
    <w:p>
      <w:pPr>
        <w:spacing w:after="0" w:line="215" w:lineRule="exact"/>
        <w:rPr>
          <w:sz w:val="20"/>
          <w:szCs w:val="20"/>
          <w:color w:val="auto"/>
        </w:rPr>
      </w:pPr>
    </w:p>
    <w:p>
      <w:pPr>
        <w:ind w:left="940" w:hanging="651"/>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quarters presented above were comprised of 13 weeks.</w:t>
      </w:r>
    </w:p>
    <w:p>
      <w:pPr>
        <w:spacing w:after="0" w:line="23" w:lineRule="exact"/>
        <w:rPr>
          <w:rFonts w:ascii="Arial" w:cs="Arial" w:eastAsia="Arial" w:hAnsi="Arial"/>
          <w:sz w:val="18"/>
          <w:szCs w:val="18"/>
          <w:color w:val="auto"/>
        </w:rPr>
      </w:pPr>
    </w:p>
    <w:p>
      <w:pPr>
        <w:ind w:left="940" w:hanging="651"/>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 of sales is shown exclusive of the amortization of purchased intangible assets.</w:t>
      </w:r>
    </w:p>
    <w:p>
      <w:pPr>
        <w:spacing w:after="0" w:line="9" w:lineRule="exact"/>
        <w:rPr>
          <w:rFonts w:ascii="Arial" w:cs="Arial" w:eastAsia="Arial" w:hAnsi="Arial"/>
          <w:sz w:val="18"/>
          <w:szCs w:val="18"/>
          <w:color w:val="auto"/>
        </w:rPr>
      </w:pPr>
    </w:p>
    <w:p>
      <w:pPr>
        <w:ind w:left="940" w:right="660" w:hanging="651"/>
        <w:spacing w:after="0" w:line="180" w:lineRule="auto"/>
        <w:tabs>
          <w:tab w:leader="none" w:pos="940" w:val="left"/>
        </w:tabs>
        <w:numPr>
          <w:ilvl w:val="0"/>
          <w:numId w:val="44"/>
        </w:numPr>
        <w:rPr>
          <w:rFonts w:ascii="Arial" w:cs="Arial" w:eastAsia="Arial" w:hAnsi="Arial"/>
          <w:sz w:val="33"/>
          <w:szCs w:val="33"/>
          <w:color w:val="auto"/>
          <w:vertAlign w:val="subscript"/>
        </w:rPr>
      </w:pPr>
      <w:r>
        <w:rPr>
          <w:rFonts w:ascii="Arial" w:cs="Arial" w:eastAsia="Arial" w:hAnsi="Arial"/>
          <w:sz w:val="17"/>
          <w:szCs w:val="17"/>
          <w:color w:val="auto"/>
        </w:rPr>
        <w:t>The sum of the four quarters may not agree to the year total due to rounding or losses within a quarter and the inclusion or exclusion of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-556260</wp:posOffset>
            </wp:positionV>
            <wp:extent cx="67722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have audited the accompanying consolidated balance sheets of Cohu, Inc. (the Company) as of December 26, 2020, and December 28, 2019, and the related consolidated statements of operations, comprehensive income (loss), stockholders’ equity, and cash flows for each of the three years in the period ended December 26, 2020, and the related notes and the financial statement schedule listed in the Index at Item 15(a) (collectively referred to as the “consolidated financial statements”). In our opinion, the consolidated financial statements present fairly, in all material respects, the consolidated financial position of the Company at December 26, 2020, and December 28, 2019, and the consolidated results of its operations and its cash flows for each of the three years in the period ended December 26, 2020, in conformity with U.S. generally accepted accounting principles.</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26,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Valuation of inventories</w:t>
            </w:r>
          </w:p>
        </w:tc>
        <w:tc>
          <w:tcPr>
            <w:tcW w:w="0" w:type="dxa"/>
            <w:vAlign w:val="bottom"/>
          </w:tcPr>
          <w:p>
            <w:pPr>
              <w:spacing w:after="0"/>
              <w:rPr>
                <w:sz w:val="1"/>
                <w:szCs w:val="1"/>
                <w:color w:val="auto"/>
              </w:rPr>
            </w:pPr>
          </w:p>
        </w:tc>
      </w:tr>
      <w:tr>
        <w:trPr>
          <w:trHeight w:val="216"/>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Description of</w:t>
            </w: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As of December 26, 2020, the Company’s consolidated inventories balance was $142.5 million. As described in Note 1 to the</w:t>
            </w:r>
          </w:p>
        </w:tc>
        <w:tc>
          <w:tcPr>
            <w:tcW w:w="0" w:type="dxa"/>
            <w:vAlign w:val="bottom"/>
          </w:tcPr>
          <w:p>
            <w:pPr>
              <w:spacing w:after="0"/>
              <w:rPr>
                <w:sz w:val="1"/>
                <w:szCs w:val="1"/>
                <w:color w:val="auto"/>
              </w:rPr>
            </w:pPr>
          </w:p>
        </w:tc>
      </w:tr>
      <w:tr>
        <w:trPr>
          <w:trHeight w:val="216"/>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the Matter</w:t>
            </w:r>
          </w:p>
        </w:tc>
        <w:tc>
          <w:tcPr>
            <w:tcW w:w="9640" w:type="dxa"/>
            <w:vAlign w:val="bottom"/>
          </w:tcPr>
          <w:p>
            <w:pPr>
              <w:ind w:left="320"/>
              <w:spacing w:after="0"/>
              <w:rPr>
                <w:sz w:val="20"/>
                <w:szCs w:val="20"/>
                <w:color w:val="auto"/>
              </w:rPr>
            </w:pPr>
            <w:r>
              <w:rPr>
                <w:rFonts w:ascii="Arial" w:cs="Arial" w:eastAsia="Arial" w:hAnsi="Arial"/>
                <w:sz w:val="18"/>
                <w:szCs w:val="18"/>
                <w:color w:val="auto"/>
                <w:w w:val="92"/>
              </w:rPr>
              <w:t>consolidated financial statements, the Company values its inventories at lower of cost, determine on a first-in, first-out basis, or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1"/>
              </w:rPr>
              <w:t>net realizable value. Obsolete inventory or inventory in excess of management's estimated usage requirement is written down to</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rPr>
              <w:t>its estimated net realizable value.</w:t>
            </w:r>
          </w:p>
        </w:tc>
        <w:tc>
          <w:tcPr>
            <w:tcW w:w="0" w:type="dxa"/>
            <w:vAlign w:val="bottom"/>
          </w:tcPr>
          <w:p>
            <w:pPr>
              <w:spacing w:after="0"/>
              <w:rPr>
                <w:sz w:val="1"/>
                <w:szCs w:val="1"/>
                <w:color w:val="auto"/>
              </w:rPr>
            </w:pPr>
          </w:p>
        </w:tc>
      </w:tr>
      <w:tr>
        <w:trPr>
          <w:trHeight w:val="418"/>
        </w:trPr>
        <w:tc>
          <w:tcPr>
            <w:tcW w:w="1600" w:type="dxa"/>
            <w:vAlign w:val="bottom"/>
          </w:tcPr>
          <w:p>
            <w:pPr>
              <w:spacing w:after="0"/>
              <w:rPr>
                <w:sz w:val="24"/>
                <w:szCs w:val="24"/>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0"/>
              </w:rPr>
              <w:t>Auditing management’s estimates for excess and obsolete inventory involved subjective auditor judgment because the estimates</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rely on a number of factors that are affected by market and economic conditions outside the Company's control. In particular,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the excess and obsolete inventory calculations are sensitive to significant assumptions, including product life cycles, historical</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rPr>
              <w:t>usage, expected future usage and on-hand quantities of individual materials.</w:t>
            </w: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4"/>
                <w:szCs w:val="24"/>
                <w:color w:val="auto"/>
              </w:rPr>
            </w:pPr>
          </w:p>
        </w:tc>
        <w:tc>
          <w:tcPr>
            <w:tcW w:w="9640" w:type="dxa"/>
            <w:vAlign w:val="bottom"/>
          </w:tcPr>
          <w:p>
            <w:pPr>
              <w:ind w:left="39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9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9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How We</w:t>
            </w:r>
          </w:p>
        </w:tc>
        <w:tc>
          <w:tcPr>
            <w:tcW w:w="9640" w:type="dxa"/>
            <w:vAlign w:val="bottom"/>
          </w:tcPr>
          <w:p>
            <w:pPr>
              <w:ind w:left="320"/>
              <w:spacing w:after="0"/>
              <w:rPr>
                <w:sz w:val="20"/>
                <w:szCs w:val="20"/>
                <w:color w:val="auto"/>
              </w:rPr>
            </w:pPr>
            <w:r>
              <w:rPr>
                <w:rFonts w:ascii="Arial" w:cs="Arial" w:eastAsia="Arial" w:hAnsi="Arial"/>
                <w:sz w:val="18"/>
                <w:szCs w:val="18"/>
                <w:color w:val="auto"/>
                <w:w w:val="97"/>
              </w:rPr>
              <w:t>We obtained an understanding, evaluated the design and tested the operating effectiveness of internal controls over the</w:t>
            </w:r>
          </w:p>
        </w:tc>
        <w:tc>
          <w:tcPr>
            <w:tcW w:w="0" w:type="dxa"/>
            <w:vAlign w:val="bottom"/>
          </w:tcPr>
          <w:p>
            <w:pPr>
              <w:spacing w:after="0"/>
              <w:rPr>
                <w:sz w:val="1"/>
                <w:szCs w:val="1"/>
                <w:color w:val="auto"/>
              </w:rPr>
            </w:pPr>
          </w:p>
        </w:tc>
      </w:tr>
      <w:tr>
        <w:trPr>
          <w:trHeight w:val="216"/>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Addressed the</w:t>
            </w: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Company's excess and obsolete inventory valuation process, including management's assessment of the assumptions stated</w:t>
            </w:r>
          </w:p>
        </w:tc>
        <w:tc>
          <w:tcPr>
            <w:tcW w:w="0" w:type="dxa"/>
            <w:vAlign w:val="bottom"/>
          </w:tcPr>
          <w:p>
            <w:pPr>
              <w:spacing w:after="0"/>
              <w:rPr>
                <w:sz w:val="1"/>
                <w:szCs w:val="1"/>
                <w:color w:val="auto"/>
              </w:rPr>
            </w:pPr>
          </w:p>
        </w:tc>
      </w:tr>
      <w:tr>
        <w:trPr>
          <w:trHeight w:val="216"/>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Matter in Our</w:t>
            </w:r>
          </w:p>
        </w:tc>
        <w:tc>
          <w:tcPr>
            <w:tcW w:w="9640" w:type="dxa"/>
            <w:vAlign w:val="bottom"/>
          </w:tcPr>
          <w:p>
            <w:pPr>
              <w:ind w:left="320"/>
              <w:spacing w:after="0"/>
              <w:rPr>
                <w:sz w:val="20"/>
                <w:szCs w:val="20"/>
                <w:color w:val="auto"/>
              </w:rPr>
            </w:pPr>
            <w:r>
              <w:rPr>
                <w:rFonts w:ascii="Arial" w:cs="Arial" w:eastAsia="Arial" w:hAnsi="Arial"/>
                <w:sz w:val="18"/>
                <w:szCs w:val="18"/>
                <w:color w:val="auto"/>
              </w:rPr>
              <w:t>above and data underlying the excess and obsolete inventory valuation.</w:t>
            </w:r>
          </w:p>
        </w:tc>
        <w:tc>
          <w:tcPr>
            <w:tcW w:w="0" w:type="dxa"/>
            <w:vAlign w:val="bottom"/>
          </w:tcPr>
          <w:p>
            <w:pPr>
              <w:spacing w:after="0"/>
              <w:rPr>
                <w:sz w:val="1"/>
                <w:szCs w:val="1"/>
                <w:color w:val="auto"/>
              </w:rPr>
            </w:pPr>
          </w:p>
        </w:tc>
      </w:tr>
      <w:tr>
        <w:trPr>
          <w:trHeight w:val="230"/>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Audit</w:t>
            </w:r>
          </w:p>
        </w:tc>
        <w:tc>
          <w:tcPr>
            <w:tcW w:w="9640" w:type="dxa"/>
            <w:vAlign w:val="bottom"/>
            <w:vMerge w:val="restart"/>
          </w:tcPr>
          <w:p>
            <w:pPr>
              <w:ind w:left="320"/>
              <w:spacing w:after="0"/>
              <w:rPr>
                <w:sz w:val="20"/>
                <w:szCs w:val="20"/>
                <w:color w:val="auto"/>
              </w:rPr>
            </w:pPr>
            <w:r>
              <w:rPr>
                <w:rFonts w:ascii="Arial" w:cs="Arial" w:eastAsia="Arial" w:hAnsi="Arial"/>
                <w:sz w:val="18"/>
                <w:szCs w:val="18"/>
                <w:color w:val="auto"/>
                <w:w w:val="92"/>
              </w:rPr>
              <w:t>To test the valuation of inventories, our audit procedures included, among others, evaluating the significant assumptions stated</w:t>
            </w: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9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above and testing the completeness and accuracy of the underlying data used by management in the analysis of excess and</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1"/>
              </w:rPr>
              <w:t>obsolete inventory. We evaluated adjustments to inventory reserves for specific product life cycles, compared the balance of on-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2"/>
              </w:rPr>
              <w:t>hand inventories to usage forecasts and historical usage, and assessed the historical accuracy of management’s estimates by</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rPr>
              <w:t>performing a retrospective analysis comparing prior period forecasted demand to actual historical sales.</w:t>
            </w: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4"/>
                <w:szCs w:val="24"/>
                <w:color w:val="auto"/>
              </w:rPr>
            </w:pPr>
          </w:p>
        </w:tc>
        <w:tc>
          <w:tcPr>
            <w:tcW w:w="96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Impairment evaluation of goodwill and indefinite-lived intangible assets</w:t>
            </w:r>
          </w:p>
        </w:tc>
        <w:tc>
          <w:tcPr>
            <w:tcW w:w="0" w:type="dxa"/>
            <w:vAlign w:val="bottom"/>
          </w:tcPr>
          <w:p>
            <w:pPr>
              <w:spacing w:after="0"/>
              <w:rPr>
                <w:sz w:val="1"/>
                <w:szCs w:val="1"/>
                <w:color w:val="auto"/>
              </w:rPr>
            </w:pPr>
          </w:p>
        </w:tc>
      </w:tr>
      <w:tr>
        <w:trPr>
          <w:trHeight w:val="418"/>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Description of</w:t>
            </w:r>
          </w:p>
        </w:tc>
        <w:tc>
          <w:tcPr>
            <w:tcW w:w="9640" w:type="dxa"/>
            <w:vAlign w:val="bottom"/>
          </w:tcPr>
          <w:p>
            <w:pPr>
              <w:ind w:left="320"/>
              <w:spacing w:after="0"/>
              <w:rPr>
                <w:sz w:val="20"/>
                <w:szCs w:val="20"/>
                <w:color w:val="auto"/>
              </w:rPr>
            </w:pPr>
            <w:r>
              <w:rPr>
                <w:rFonts w:ascii="Arial" w:cs="Arial" w:eastAsia="Arial" w:hAnsi="Arial"/>
                <w:sz w:val="18"/>
                <w:szCs w:val="18"/>
                <w:color w:val="auto"/>
                <w:w w:val="98"/>
              </w:rPr>
              <w:t>As of December 26, 2020, the Company’s goodwill balance was $252.3 million and indefinite-lived intangibles balance,</w:t>
            </w:r>
          </w:p>
        </w:tc>
        <w:tc>
          <w:tcPr>
            <w:tcW w:w="0" w:type="dxa"/>
            <w:vAlign w:val="bottom"/>
          </w:tcPr>
          <w:p>
            <w:pPr>
              <w:spacing w:after="0"/>
              <w:rPr>
                <w:sz w:val="1"/>
                <w:szCs w:val="1"/>
                <w:color w:val="auto"/>
              </w:rPr>
            </w:pPr>
          </w:p>
        </w:tc>
      </w:tr>
      <w:tr>
        <w:trPr>
          <w:trHeight w:val="216"/>
        </w:trPr>
        <w:tc>
          <w:tcPr>
            <w:tcW w:w="1600" w:type="dxa"/>
            <w:vAlign w:val="bottom"/>
          </w:tcPr>
          <w:p>
            <w:pPr>
              <w:ind w:left="100"/>
              <w:spacing w:after="0"/>
              <w:rPr>
                <w:sz w:val="20"/>
                <w:szCs w:val="20"/>
                <w:color w:val="auto"/>
              </w:rPr>
            </w:pPr>
            <w:r>
              <w:rPr>
                <w:rFonts w:ascii="Arial" w:cs="Arial" w:eastAsia="Arial" w:hAnsi="Arial"/>
                <w:sz w:val="18"/>
                <w:szCs w:val="18"/>
                <w:i w:val="1"/>
                <w:iCs w:val="1"/>
                <w:color w:val="auto"/>
              </w:rPr>
              <w:t>the Matter</w:t>
            </w:r>
          </w:p>
        </w:tc>
        <w:tc>
          <w:tcPr>
            <w:tcW w:w="9640" w:type="dxa"/>
            <w:vAlign w:val="bottom"/>
          </w:tcPr>
          <w:p>
            <w:pPr>
              <w:ind w:left="320"/>
              <w:spacing w:after="0"/>
              <w:rPr>
                <w:sz w:val="20"/>
                <w:szCs w:val="20"/>
                <w:color w:val="auto"/>
              </w:rPr>
            </w:pPr>
            <w:r>
              <w:rPr>
                <w:rFonts w:ascii="Arial" w:cs="Arial" w:eastAsia="Arial" w:hAnsi="Arial"/>
                <w:sz w:val="18"/>
                <w:szCs w:val="18"/>
                <w:color w:val="auto"/>
                <w:w w:val="96"/>
              </w:rPr>
              <w:t>consisting of in-process research and development (IPR&amp;D), was $7.8 million. As described in Note 1 to the consolidated</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2"/>
              </w:rPr>
              <w:t>financial statements, goodwill and indefinite-lived intangibles are evaluated by the Company for impairment annually and when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an event occurs, or circumstances change that indicate that the carrying value may not be recoverable. Goodwill is tested for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rPr>
              <w:t>impairment at the reporting unit level.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-2682240</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72" w:name="page73"/>
    <w:bookmarkEnd w:id="72"/>
    <w:p>
      <w:pPr>
        <w:ind w:left="1920"/>
        <w:spacing w:after="0" w:line="293" w:lineRule="auto"/>
        <w:rPr>
          <w:sz w:val="20"/>
          <w:szCs w:val="20"/>
          <w:color w:val="auto"/>
        </w:rPr>
      </w:pPr>
      <w:r>
        <w:rPr>
          <w:rFonts w:ascii="Arial" w:cs="Arial" w:eastAsia="Arial" w:hAnsi="Arial"/>
          <w:sz w:val="16"/>
          <w:szCs w:val="16"/>
          <w:color w:val="auto"/>
        </w:rPr>
        <w:t>Auditing management’s impairment tests was complex and highly judgmental due to the significant estimation required in determining the fair value of the reporting units for goodwill and the fair value of IPR&amp;D assets. For goodwill, significant assumptions used in management’s evaluation included revenue and margin forecasts, the selection of the discount rates, and the estimation of the long-term growth rates. For IPR&amp;D assets, significant assumptions used in management’s evaluation included estimated revenues from the products, royalty rates, and discount rates. These assumptions are affected by expectations about future market or economic conditions that materially impact the fair value of the reporting units and the IPR&amp;D assets.</w:t>
      </w:r>
    </w:p>
    <w:p>
      <w:pPr>
        <w:spacing w:after="0" w:line="164"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goodwill and indefinite-lived intangible asset impairment review processes. For example, we tested controls over the</w:t>
      </w:r>
    </w:p>
    <w:p>
      <w:pPr>
        <w:spacing w:after="0" w:line="9"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6"/>
          <w:szCs w:val="16"/>
          <w:color w:val="auto"/>
        </w:rPr>
        <w:t>quantitative impairment analyses of goodwill and IPR&amp;D, including management’s review of the prospective financial</w:t>
      </w:r>
    </w:p>
    <w:p>
      <w:pPr>
        <w:spacing w:after="0" w:line="9"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information, valuation models and underlying assumptions used to develop such estimates.</w:t>
      </w:r>
    </w:p>
    <w:p>
      <w:pPr>
        <w:spacing w:after="0" w:line="211" w:lineRule="exact"/>
        <w:rPr>
          <w:sz w:val="20"/>
          <w:szCs w:val="20"/>
          <w:color w:val="auto"/>
        </w:rPr>
      </w:pPr>
    </w:p>
    <w:p>
      <w:pPr>
        <w:ind w:left="1920" w:right="140"/>
        <w:spacing w:after="0" w:line="255" w:lineRule="auto"/>
        <w:rPr>
          <w:sz w:val="20"/>
          <w:szCs w:val="20"/>
          <w:color w:val="auto"/>
        </w:rPr>
      </w:pPr>
      <w:r>
        <w:rPr>
          <w:rFonts w:ascii="Arial" w:cs="Arial" w:eastAsia="Arial" w:hAnsi="Arial"/>
          <w:sz w:val="18"/>
          <w:szCs w:val="18"/>
          <w:color w:val="auto"/>
        </w:rPr>
        <w:t>Our audit procedures included, among others, evaluating the Company’s valuation methodology used, evaluating the prospective financial information utilized in the valuations, evaluating the Company’s estimates relating to the development of its IPR&amp;D assets, and involving our valuation specialists to assist in testing certain significant assumptions described above, such as discount rates and long-term growth rates. We assessed the historical accuracy of management’s estimates and performed sensitivity analyses on significant assumptions to evaluate the changes in the fair value that would result from changes in the assumptions.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240"/>
              <w:spacing w:after="0"/>
              <w:rPr>
                <w:sz w:val="20"/>
                <w:szCs w:val="20"/>
                <w:color w:val="auto"/>
              </w:rPr>
            </w:pPr>
            <w:r>
              <w:rPr>
                <w:rFonts w:ascii="Arial" w:cs="Arial" w:eastAsia="Arial" w:hAnsi="Arial"/>
                <w:sz w:val="18"/>
                <w:szCs w:val="18"/>
                <w:color w:val="auto"/>
              </w:rPr>
              <w:t>15. (b)</w:t>
            </w:r>
          </w:p>
        </w:tc>
        <w:tc>
          <w:tcPr>
            <w:tcW w:w="10260" w:type="dxa"/>
            <w:vAlign w:val="bottom"/>
            <w:gridSpan w:val="20"/>
          </w:tcPr>
          <w:p>
            <w:pPr>
              <w:ind w:left="260"/>
              <w:spacing w:after="0"/>
              <w:rPr>
                <w:sz w:val="20"/>
                <w:szCs w:val="20"/>
                <w:color w:val="auto"/>
              </w:rPr>
            </w:pPr>
            <w:r>
              <w:rPr>
                <w:rFonts w:ascii="Arial" w:cs="Arial" w:eastAsia="Arial" w:hAnsi="Arial"/>
                <w:sz w:val="18"/>
                <w:szCs w:val="18"/>
                <w:color w:val="auto"/>
              </w:rPr>
              <w:t>The following exhibits are filed as part of, or incorporated into, the 2020 Cohu, Inc. Annual Report on Form 10-K:</w:t>
            </w:r>
          </w:p>
        </w:tc>
      </w:tr>
      <w:tr>
        <w:trPr>
          <w:trHeight w:val="391"/>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966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Amended and Restated Certificate of Incorporation of Cohu, Inc. incorporated herein by reference to Exhibit 3.1 from the Cohu, Inc.</w:t>
              </w:r>
            </w:hyperlink>
          </w:p>
        </w:tc>
      </w:tr>
      <w:tr>
        <w:trPr>
          <w:trHeight w:val="237"/>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6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Current Report on Form 8-K (file no. 001-04298) filed with the Securities and Exchange Commission on May 17, 2018</w:t>
              </w:r>
            </w:hyperlink>
          </w:p>
        </w:tc>
        <w:tc>
          <w:tcPr>
            <w:tcW w:w="100" w:type="dxa"/>
            <w:vAlign w:val="bottom"/>
            <w:gridSpan w:val="3"/>
          </w:tcPr>
          <w:p>
            <w:pPr>
              <w:spacing w:after="0"/>
              <w:rPr>
                <w:sz w:val="20"/>
                <w:szCs w:val="20"/>
                <w:color w:val="auto"/>
              </w:rPr>
            </w:pPr>
          </w:p>
        </w:tc>
      </w:tr>
      <w:tr>
        <w:trPr>
          <w:trHeight w:val="392"/>
        </w:trPr>
        <w:tc>
          <w:tcPr>
            <w:tcW w:w="880" w:type="dxa"/>
            <w:vAlign w:val="bottom"/>
          </w:tcPr>
          <w:p>
            <w:pPr>
              <w:ind w:left="24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Amended and Restated Bylaws of Cohu, Inc. incorporated herein by reference to Exhibit 3.2 from the Cohu, Inc. Current Report on</w:t>
              </w:r>
            </w:hyperlink>
          </w:p>
        </w:tc>
        <w:tc>
          <w:tcPr>
            <w:tcW w:w="18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Form 8-K (file no. 001-04298) filed with the Securities and Exchange Commission on May 17, 2018</w:t>
              </w:r>
            </w:hyperlink>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500" w:type="dxa"/>
            <w:vAlign w:val="bottom"/>
            <w:tcBorders>
              <w:bottom w:val="single" w:sz="8" w:color="0000EE"/>
            </w:tcBorders>
            <w:gridSpan w:val="15"/>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Description of Capital Stock incorporated herein by reference to Exhibit 4.1 from the Cohu, Inc. Annual Report on Form 10-K filed</w:t>
              </w:r>
            </w:hyperlink>
          </w:p>
        </w:tc>
        <w:tc>
          <w:tcPr>
            <w:tcW w:w="16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with the Securities and Exchange Commission on March 10, 2020</w:t>
              </w:r>
            </w:hyperlink>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100" w:type="dxa"/>
            <w:vAlign w:val="bottom"/>
            <w:tcBorders>
              <w:bottom w:val="single" w:sz="8" w:color="0000EE"/>
            </w:tcBorders>
            <w:gridSpan w:val="10"/>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Credit and Guaranty Agreement dated as of October 1, 2018, by and among Cohu, Inc., Certain Subsidiaries of Cohu, Inc. and</w:t>
              </w:r>
            </w:hyperlink>
          </w:p>
        </w:tc>
        <w:tc>
          <w:tcPr>
            <w:tcW w:w="56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Deutsche Bank AG New York Branch, incorporated herein by reference to Exhibit 10.1 from the Cohu, Inc. Form 10-Q filed with the</w:t>
              </w:r>
            </w:hyperlink>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Securities and Exchange Commission on November 7, 2018</w:t>
              </w:r>
            </w:hyperlink>
          </w:p>
        </w:tc>
        <w:tc>
          <w:tcPr>
            <w:tcW w:w="526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5"/>
              </w:rPr>
            </w:pPr>
            <w:hyperlink r:id="rId146">
              <w:r>
                <w:rPr>
                  <w:rFonts w:ascii="Arial" w:cs="Arial" w:eastAsia="Arial" w:hAnsi="Arial"/>
                  <w:sz w:val="18"/>
                  <w:szCs w:val="18"/>
                  <w:color w:val="0000EE"/>
                  <w:w w:val="95"/>
                </w:rPr>
                <w:t>Pledge and Security Agreement dated as of October 1, 2018, by and among Cohu, Inc., Certain Subsidiaries of Cohu, Inc. and</w:t>
              </w:r>
            </w:hyperlink>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Deutsche Bank AG New York Branch, incorporated herein by reference to Exhibit 10.2 from the Cohu, Inc. Form 10-Q filed with the</w:t>
              </w:r>
            </w:hyperlink>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Securities and Exchange Commission on November 7, 2018</w:t>
              </w:r>
            </w:hyperlink>
          </w:p>
        </w:tc>
        <w:tc>
          <w:tcPr>
            <w:tcW w:w="526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Amended Cohu, Inc. 2005 Equity Incentive Plan incorporated herein by reference to Appendix A from the Cohu, Inc. Form DEF 14A</w:t>
              </w:r>
            </w:hyperlink>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filed with the Securities and Exchange Commission on March 28, 2019*</w:t>
              </w:r>
            </w:hyperlink>
          </w:p>
        </w:tc>
        <w:tc>
          <w:tcPr>
            <w:tcW w:w="440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Amended Cohu, Inc. 1997 Employee Stock Purchase Plan, herein by reference to Appendix B from the Cohu, Inc. Form DEF 14A</w:t>
              </w:r>
            </w:hyperlink>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filed with the Securities and Exchange Commission on March 28, 2019*</w:t>
              </w:r>
            </w:hyperlink>
          </w:p>
        </w:tc>
        <w:tc>
          <w:tcPr>
            <w:tcW w:w="4160" w:type="dxa"/>
            <w:vAlign w:val="bottom"/>
            <w:tcBorders>
              <w:top w:val="single" w:sz="8" w:color="0000EE"/>
            </w:tcBorders>
            <w:gridSpan w:val="6"/>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460" w:type="dxa"/>
            <w:vAlign w:val="bottom"/>
            <w:tcBorders>
              <w:bottom w:val="single" w:sz="8" w:color="0000EE"/>
            </w:tcBorders>
            <w:gridSpan w:val="13"/>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Cohu, Inc. Deferred Compensation Plan (as amended and restated) incorporated herein by reference to Exhibit 10.1 from the Cohu,</w:t>
              </w:r>
            </w:hyperlink>
          </w:p>
        </w:tc>
        <w:tc>
          <w:tcPr>
            <w:tcW w:w="200" w:type="dxa"/>
            <w:vAlign w:val="bottom"/>
            <w:gridSpan w:val="6"/>
          </w:tcPr>
          <w:p>
            <w:pPr>
              <w:spacing w:after="0"/>
              <w:rPr>
                <w:sz w:val="24"/>
                <w:szCs w:val="24"/>
                <w:color w:val="auto"/>
              </w:rPr>
            </w:pPr>
          </w:p>
        </w:tc>
      </w:tr>
      <w:tr>
        <w:trPr>
          <w:trHeight w:val="236"/>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60" w:type="dxa"/>
            <w:vAlign w:val="bottom"/>
            <w:gridSpan w:val="19"/>
          </w:tcPr>
          <w:p>
            <w:pPr>
              <w:spacing w:after="0"/>
              <w:rPr>
                <w:rFonts w:ascii="Arial" w:cs="Arial" w:eastAsia="Arial" w:hAnsi="Arial"/>
                <w:sz w:val="18"/>
                <w:szCs w:val="18"/>
                <w:u w:val="single" w:color="auto"/>
                <w:color w:val="0000EE"/>
                <w:w w:val="93"/>
              </w:rPr>
            </w:pPr>
            <w:hyperlink r:id="rId149">
              <w:r>
                <w:rPr>
                  <w:rFonts w:ascii="Arial" w:cs="Arial" w:eastAsia="Arial" w:hAnsi="Arial"/>
                  <w:sz w:val="18"/>
                  <w:szCs w:val="18"/>
                  <w:u w:val="single" w:color="auto"/>
                  <w:color w:val="0000EE"/>
                  <w:w w:val="93"/>
                </w:rPr>
                <w:t>Inc. Current Report on Form 8-K (file no. 001-04298) filed with the Securities and Exchange Commission on December 29, 2008*</w:t>
              </w:r>
            </w:hyperlink>
          </w:p>
        </w:tc>
      </w:tr>
      <w:tr>
        <w:trPr>
          <w:trHeight w:val="392"/>
        </w:trPr>
        <w:tc>
          <w:tcPr>
            <w:tcW w:w="880" w:type="dxa"/>
            <w:vAlign w:val="bottom"/>
          </w:tcPr>
          <w:p>
            <w:pPr>
              <w:ind w:left="240"/>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460" w:type="dxa"/>
            <w:vAlign w:val="bottom"/>
            <w:tcBorders>
              <w:bottom w:val="single" w:sz="8" w:color="0000EE"/>
            </w:tcBorders>
            <w:gridSpan w:val="13"/>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Form of employee restricted stock unit agreement for use with restricted stock units granted pursuant to the Cohu, Inc. 2005 Equity</w:t>
              </w:r>
            </w:hyperlink>
          </w:p>
        </w:tc>
        <w:tc>
          <w:tcPr>
            <w:tcW w:w="20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Incentive Plan incorporated herein by reference to Exhibit 10.1 from the Cohu, Inc. Quarterly Report on Form 10-Q filed with the</w:t>
              </w:r>
            </w:hyperlink>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Securities and Exchange Commission on August 4, 2015*</w:t>
              </w:r>
            </w:hyperlink>
          </w:p>
        </w:tc>
        <w:tc>
          <w:tcPr>
            <w:tcW w:w="320" w:type="dxa"/>
            <w:vAlign w:val="bottom"/>
            <w:gridSpan w:val="8"/>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460" w:type="dxa"/>
            <w:vAlign w:val="bottom"/>
            <w:tcBorders>
              <w:bottom w:val="single" w:sz="8" w:color="0000EE"/>
            </w:tcBorders>
            <w:gridSpan w:val="13"/>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Form of non-employee director restricted stock unit agreement for use with restricted stock units granted pursuant to the Cohu, Inc.</w:t>
              </w:r>
            </w:hyperlink>
          </w:p>
        </w:tc>
        <w:tc>
          <w:tcPr>
            <w:tcW w:w="20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2005 Equity Incentive Plan incorporated herein by reference to Exhibit 10.2 from the Cohu, Inc. Quarterly Report on Form 10-Q filed</w:t>
              </w:r>
            </w:hyperlink>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with the Securities and Exchange Commission on August 4, 2015*</w:t>
              </w:r>
            </w:hyperlink>
          </w:p>
        </w:tc>
        <w:tc>
          <w:tcPr>
            <w:tcW w:w="482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Form of non-employee director restricted stock unit deferral election form for use with restricted stock units granted pursuant to the</w:t>
              </w:r>
            </w:hyperlink>
          </w:p>
        </w:tc>
        <w:tc>
          <w:tcPr>
            <w:tcW w:w="18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Cohu, Inc. 2005 Equity Incentive Plan incorporated herein by reference to Exhibit 10.3 from the Cohu, Inc. Quarterly Report on Form</w:t>
              </w:r>
            </w:hyperlink>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10-Q filed with the Securities and Exchange Commission on August 4, 2015*</w:t>
              </w:r>
            </w:hyperlink>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0" w:gutter="0" w:footer="0" w:header="0"/>
        </w:sectPr>
      </w:pP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480" w:type="dxa"/>
            <w:vAlign w:val="bottom"/>
          </w:tcPr>
          <w:p>
            <w:pPr>
              <w:ind w:left="240"/>
              <w:spacing w:after="0"/>
              <w:rPr>
                <w:sz w:val="20"/>
                <w:szCs w:val="20"/>
                <w:color w:val="auto"/>
              </w:rPr>
            </w:pPr>
            <w:r>
              <w:rPr>
                <w:rFonts w:ascii="Arial" w:cs="Arial" w:eastAsia="Arial" w:hAnsi="Arial"/>
                <w:sz w:val="18"/>
                <w:szCs w:val="18"/>
                <w:color w:val="auto"/>
              </w:rPr>
              <w:t>10.9</w:t>
            </w:r>
          </w:p>
        </w:tc>
        <w:tc>
          <w:tcPr>
            <w:tcW w:w="9260" w:type="dxa"/>
            <w:vAlign w:val="bottom"/>
            <w:tcBorders>
              <w:bottom w:val="single" w:sz="8" w:color="0000EE"/>
            </w:tcBorders>
            <w:gridSpan w:val="14"/>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Non-employee director fee deferral election form incorporated herein by reference to Exhibit 10.4 from the Cohu, Inc. Quarterly</w:t>
              </w:r>
            </w:hyperlink>
          </w:p>
        </w:tc>
        <w:tc>
          <w:tcPr>
            <w:tcW w:w="50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Report on Form 10-Q filed with the Securities and Exchange Commission on August 4, 2015*</w:t>
              </w:r>
            </w:hyperlink>
          </w:p>
        </w:tc>
      </w:tr>
      <w:tr>
        <w:trPr>
          <w:trHeight w:val="20"/>
        </w:trPr>
        <w:tc>
          <w:tcPr>
            <w:tcW w:w="1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10.10</w:t>
            </w:r>
          </w:p>
        </w:tc>
        <w:tc>
          <w:tcPr>
            <w:tcW w:w="9380" w:type="dxa"/>
            <w:vAlign w:val="bottom"/>
            <w:tcBorders>
              <w:bottom w:val="single" w:sz="8" w:color="0000EE"/>
            </w:tcBorders>
            <w:gridSpan w:val="16"/>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Form of deferred stock agreement for shares granted pursuant to the Cohu, Inc. 2005 Equity Incentive Plan incorporated herein by</w:t>
              </w:r>
            </w:hyperlink>
          </w:p>
        </w:tc>
        <w:tc>
          <w:tcPr>
            <w:tcW w:w="38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reference to Exhibit 10.5 from the Cohu, Inc. Quarterly Report on Form 10-Q filed with the Securities and Exchange Commission on</w:t>
              </w:r>
            </w:hyperlink>
          </w:p>
        </w:tc>
      </w:tr>
      <w:tr>
        <w:trPr>
          <w:trHeight w:val="196"/>
        </w:trPr>
        <w:tc>
          <w:tcPr>
            <w:tcW w:w="14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August 4, 2015*</w:t>
              </w:r>
            </w:hyperlink>
          </w:p>
        </w:tc>
        <w:tc>
          <w:tcPr>
            <w:tcW w:w="8380" w:type="dxa"/>
            <w:vAlign w:val="bottom"/>
            <w:tcBorders>
              <w:top w:val="single" w:sz="8" w:color="0000EE"/>
            </w:tcBorders>
            <w:gridSpan w:val="14"/>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10.11</w:t>
            </w:r>
          </w:p>
        </w:tc>
        <w:tc>
          <w:tcPr>
            <w:tcW w:w="9680" w:type="dxa"/>
            <w:vAlign w:val="bottom"/>
            <w:tcBorders>
              <w:bottom w:val="single" w:sz="8" w:color="0000EE"/>
            </w:tcBorders>
            <w:gridSpan w:val="23"/>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Form of stock option agreement for use with stock options granted pursuant to the Cohu, Inc. 2005 Equity Incentive Plan incorporated</w:t>
              </w:r>
            </w:hyperlink>
          </w:p>
        </w:tc>
        <w:tc>
          <w:tcPr>
            <w:tcW w:w="8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7"/>
              </w:rPr>
            </w:pPr>
            <w:hyperlink r:id="rId156">
              <w:r>
                <w:rPr>
                  <w:rFonts w:ascii="Arial" w:cs="Arial" w:eastAsia="Arial" w:hAnsi="Arial"/>
                  <w:sz w:val="18"/>
                  <w:szCs w:val="18"/>
                  <w:color w:val="0000EE"/>
                  <w:w w:val="97"/>
                </w:rPr>
                <w:t>herein by reference to Exhibit 10.6 from the Cohu, Inc. Quarterly Report on Form 10-Q filed with the Securities and Exchange</w:t>
              </w:r>
            </w:hyperlink>
          </w:p>
        </w:tc>
      </w:tr>
      <w:tr>
        <w:trPr>
          <w:trHeight w:val="196"/>
        </w:trPr>
        <w:tc>
          <w:tcPr>
            <w:tcW w:w="148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Commission on August 4, 2015*</w:t>
              </w:r>
            </w:hyperlink>
          </w:p>
        </w:tc>
        <w:tc>
          <w:tcPr>
            <w:tcW w:w="6740" w:type="dxa"/>
            <w:vAlign w:val="bottom"/>
            <w:tcBorders>
              <w:top w:val="single" w:sz="8" w:color="0000EE"/>
            </w:tcBorders>
            <w:gridSpan w:val="3"/>
          </w:tcPr>
          <w:p>
            <w:pPr>
              <w:spacing w:after="0"/>
              <w:rPr>
                <w:sz w:val="17"/>
                <w:szCs w:val="17"/>
                <w:color w:val="auto"/>
              </w:rPr>
            </w:pPr>
          </w:p>
        </w:tc>
        <w:tc>
          <w:tcPr>
            <w:tcW w:w="640" w:type="dxa"/>
            <w:vAlign w:val="bottom"/>
            <w:gridSpan w:val="13"/>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10.12</w:t>
            </w:r>
          </w:p>
        </w:tc>
        <w:tc>
          <w:tcPr>
            <w:tcW w:w="9540" w:type="dxa"/>
            <w:vAlign w:val="bottom"/>
            <w:tcBorders>
              <w:bottom w:val="single" w:sz="8" w:color="0000EE"/>
            </w:tcBorders>
            <w:gridSpan w:val="18"/>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Intel Corporation Purchase Agreement Capital Equipment, Goods and Services, dated April 30, 2012, by and between Delta Design,</w:t>
              </w:r>
            </w:hyperlink>
          </w:p>
        </w:tc>
        <w:tc>
          <w:tcPr>
            <w:tcW w:w="22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Inc. and Intel Corporation incorporated herein by reference to Exhibit 99.1 from the Cohu, Inc. Current Report on Form 8-K/A (file no.</w:t>
              </w:r>
            </w:hyperlink>
          </w:p>
        </w:tc>
      </w:tr>
      <w:tr>
        <w:trPr>
          <w:trHeight w:val="196"/>
        </w:trPr>
        <w:tc>
          <w:tcPr>
            <w:tcW w:w="1480" w:type="dxa"/>
            <w:vAlign w:val="bottom"/>
          </w:tcPr>
          <w:p>
            <w:pPr>
              <w:spacing w:after="0"/>
              <w:rPr>
                <w:sz w:val="17"/>
                <w:szCs w:val="17"/>
                <w:color w:val="auto"/>
              </w:rPr>
            </w:pPr>
          </w:p>
        </w:tc>
        <w:tc>
          <w:tcPr>
            <w:tcW w:w="97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001-04298) filed August 1, 2012</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10.13</w:t>
            </w:r>
          </w:p>
        </w:tc>
        <w:tc>
          <w:tcPr>
            <w:tcW w:w="9760" w:type="dxa"/>
            <w:vAlign w:val="bottom"/>
            <w:tcBorders>
              <w:bottom w:val="single" w:sz="8" w:color="0000EE"/>
            </w:tcBorders>
            <w:gridSpan w:val="25"/>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Form of Indemnification Agreement, incorporated herein by reference to Exhibit 10.1 from the Cohu, Inc. Current Report on Form 8-K</w:t>
              </w:r>
            </w:hyperlink>
          </w:p>
        </w:tc>
      </w:tr>
      <w:tr>
        <w:trPr>
          <w:trHeight w:val="196"/>
        </w:trPr>
        <w:tc>
          <w:tcPr>
            <w:tcW w:w="1480" w:type="dxa"/>
            <w:vAlign w:val="bottom"/>
          </w:tcPr>
          <w:p>
            <w:pPr>
              <w:spacing w:after="0"/>
              <w:rPr>
                <w:sz w:val="17"/>
                <w:szCs w:val="17"/>
                <w:color w:val="auto"/>
              </w:rPr>
            </w:pPr>
          </w:p>
        </w:tc>
        <w:tc>
          <w:tcPr>
            <w:tcW w:w="33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(file no. 001-04298) filed December 13, 2018*</w:t>
              </w:r>
            </w:hyperlink>
          </w:p>
        </w:tc>
        <w:tc>
          <w:tcPr>
            <w:tcW w:w="6380" w:type="dxa"/>
            <w:vAlign w:val="bottom"/>
            <w:gridSpan w:val="15"/>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10.14</w:t>
            </w:r>
          </w:p>
        </w:tc>
        <w:tc>
          <w:tcPr>
            <w:tcW w:w="9760" w:type="dxa"/>
            <w:vAlign w:val="bottom"/>
            <w:gridSpan w:val="25"/>
          </w:tcPr>
          <w:p>
            <w:pPr>
              <w:spacing w:after="0"/>
              <w:rPr>
                <w:rFonts w:ascii="Arial" w:cs="Arial" w:eastAsia="Arial" w:hAnsi="Arial"/>
                <w:sz w:val="18"/>
                <w:szCs w:val="18"/>
                <w:color w:val="0000EE"/>
                <w:w w:val="95"/>
              </w:rPr>
            </w:pPr>
            <w:hyperlink r:id="rId159">
              <w:r>
                <w:rPr>
                  <w:rFonts w:ascii="Arial" w:cs="Arial" w:eastAsia="Arial" w:hAnsi="Arial"/>
                  <w:sz w:val="18"/>
                  <w:szCs w:val="18"/>
                  <w:color w:val="0000EE"/>
                  <w:w w:val="95"/>
                </w:rPr>
                <w:t>Cohu, Inc. Retiree Health Benefits Agreement (as amended) incorporated herein by reference to Exhibit 10.2 from the Cohu, Inc.</w:t>
              </w:r>
            </w:hyperlink>
          </w:p>
        </w:tc>
      </w:tr>
      <w:tr>
        <w:trPr>
          <w:trHeight w:val="237"/>
        </w:trPr>
        <w:tc>
          <w:tcPr>
            <w:tcW w:w="1480" w:type="dxa"/>
            <w:vAlign w:val="bottom"/>
          </w:tcPr>
          <w:p>
            <w:pPr>
              <w:spacing w:after="0"/>
              <w:rPr>
                <w:sz w:val="20"/>
                <w:szCs w:val="20"/>
                <w:color w:val="auto"/>
              </w:rPr>
            </w:pPr>
          </w:p>
        </w:tc>
        <w:tc>
          <w:tcPr>
            <w:tcW w:w="9300" w:type="dxa"/>
            <w:vAlign w:val="bottom"/>
            <w:tcBorders>
              <w:top w:val="single" w:sz="8" w:color="0000EE"/>
            </w:tcBorders>
            <w:gridSpan w:val="15"/>
          </w:tcPr>
          <w:p>
            <w:pPr>
              <w:spacing w:after="0"/>
              <w:rPr>
                <w:rFonts w:ascii="Arial" w:cs="Arial" w:eastAsia="Arial" w:hAnsi="Arial"/>
                <w:sz w:val="18"/>
                <w:szCs w:val="18"/>
                <w:u w:val="single" w:color="auto"/>
                <w:color w:val="0000EE"/>
                <w:w w:val="93"/>
              </w:rPr>
            </w:pPr>
            <w:hyperlink r:id="rId159">
              <w:r>
                <w:rPr>
                  <w:rFonts w:ascii="Arial" w:cs="Arial" w:eastAsia="Arial" w:hAnsi="Arial"/>
                  <w:sz w:val="18"/>
                  <w:szCs w:val="18"/>
                  <w:u w:val="single" w:color="auto"/>
                  <w:color w:val="0000EE"/>
                  <w:w w:val="93"/>
                </w:rPr>
                <w:t>Current Report on Form 8-K (file no. 001-04298) filed with the Securities and Exchange Commission on December 29, 2008*</w:t>
              </w:r>
            </w:hyperlink>
          </w:p>
        </w:tc>
        <w:tc>
          <w:tcPr>
            <w:tcW w:w="460" w:type="dxa"/>
            <w:vAlign w:val="bottom"/>
            <w:gridSpan w:val="10"/>
          </w:tcPr>
          <w:p>
            <w:pPr>
              <w:spacing w:after="0"/>
              <w:rPr>
                <w:sz w:val="20"/>
                <w:szCs w:val="20"/>
                <w:color w:val="auto"/>
              </w:rPr>
            </w:pPr>
          </w:p>
        </w:tc>
      </w:tr>
      <w:tr>
        <w:trPr>
          <w:trHeight w:val="391"/>
        </w:trPr>
        <w:tc>
          <w:tcPr>
            <w:tcW w:w="1480" w:type="dxa"/>
            <w:vAlign w:val="bottom"/>
          </w:tcPr>
          <w:p>
            <w:pPr>
              <w:ind w:left="240"/>
              <w:spacing w:after="0"/>
              <w:rPr>
                <w:sz w:val="20"/>
                <w:szCs w:val="20"/>
                <w:color w:val="auto"/>
              </w:rPr>
            </w:pPr>
            <w:r>
              <w:rPr>
                <w:rFonts w:ascii="Arial" w:cs="Arial" w:eastAsia="Arial" w:hAnsi="Arial"/>
                <w:sz w:val="18"/>
                <w:szCs w:val="18"/>
                <w:color w:val="auto"/>
              </w:rPr>
              <w:t>10.15</w:t>
            </w:r>
          </w:p>
        </w:tc>
        <w:tc>
          <w:tcPr>
            <w:tcW w:w="9600" w:type="dxa"/>
            <w:vAlign w:val="bottom"/>
            <w:tcBorders>
              <w:bottom w:val="single" w:sz="8" w:color="0000EE"/>
            </w:tcBorders>
            <w:gridSpan w:val="20"/>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Lease agreement dated December 4, 2015 by and between CT Crosthwaite I, LLC and Cohu, Inc. incorporated herein by reference to</w:t>
              </w:r>
            </w:hyperlink>
          </w:p>
        </w:tc>
        <w:tc>
          <w:tcPr>
            <w:tcW w:w="16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Exhibit 10.14 from the Cohu, Inc. Annual Report on Form 10-K filed with the Securities and Exchange Commission on February 23,</w:t>
              </w:r>
            </w:hyperlink>
          </w:p>
        </w:tc>
      </w:tr>
      <w:tr>
        <w:trPr>
          <w:trHeight w:val="196"/>
        </w:trPr>
        <w:tc>
          <w:tcPr>
            <w:tcW w:w="14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60">
              <w:r>
                <w:rPr>
                  <w:rFonts w:ascii="Arial" w:cs="Arial" w:eastAsia="Arial" w:hAnsi="Arial"/>
                  <w:sz w:val="18"/>
                  <w:szCs w:val="18"/>
                  <w:color w:val="0000EE"/>
                  <w:w w:val="84"/>
                </w:rPr>
                <w:t>2016</w:t>
              </w:r>
            </w:hyperlink>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10.16</w:t>
            </w:r>
          </w:p>
        </w:tc>
        <w:tc>
          <w:tcPr>
            <w:tcW w:w="9760" w:type="dxa"/>
            <w:vAlign w:val="bottom"/>
            <w:gridSpan w:val="25"/>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Severance Agreement, dated September 8, 2020, between the Company and Christopher G. Bohrson incorporated herein by reference</w:t>
              </w:r>
            </w:hyperlink>
          </w:p>
        </w:tc>
      </w:tr>
      <w:tr>
        <w:trPr>
          <w:trHeight w:val="20"/>
        </w:trPr>
        <w:tc>
          <w:tcPr>
            <w:tcW w:w="14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5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to Exhibit 10.1 from the Cohu, Inc. Quarterly Report on Form 10-Q filed with the Securities and Exchange Commission on November</w:t>
              </w:r>
            </w:hyperlink>
          </w:p>
        </w:tc>
      </w:tr>
      <w:tr>
        <w:trPr>
          <w:trHeight w:val="196"/>
        </w:trPr>
        <w:tc>
          <w:tcPr>
            <w:tcW w:w="14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161">
              <w:r>
                <w:rPr>
                  <w:rFonts w:ascii="Arial" w:cs="Arial" w:eastAsia="Arial" w:hAnsi="Arial"/>
                  <w:sz w:val="18"/>
                  <w:szCs w:val="18"/>
                  <w:color w:val="0000EE"/>
                  <w:w w:val="94"/>
                </w:rPr>
                <w:t>4, 2020 *</w:t>
              </w:r>
            </w:hyperlink>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10.17</w:t>
            </w:r>
          </w:p>
        </w:tc>
        <w:tc>
          <w:tcPr>
            <w:tcW w:w="9760" w:type="dxa"/>
            <w:vAlign w:val="bottom"/>
            <w:gridSpan w:val="25"/>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Severance Agreement, dated September 8, 2020, between the Company and Jeffrey D. Jones incorporated herein by reference to</w:t>
              </w:r>
            </w:hyperlink>
          </w:p>
        </w:tc>
      </w:tr>
      <w:tr>
        <w:trPr>
          <w:trHeight w:val="20"/>
        </w:trPr>
        <w:tc>
          <w:tcPr>
            <w:tcW w:w="14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5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Exhibit 10.2 from the Cohu, Inc. Quarterly Report on Form 10-Q filed with the Securities and Exchange Commission on November 4,</w:t>
              </w:r>
            </w:hyperlink>
          </w:p>
        </w:tc>
      </w:tr>
      <w:tr>
        <w:trPr>
          <w:trHeight w:val="196"/>
        </w:trPr>
        <w:tc>
          <w:tcPr>
            <w:tcW w:w="148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2020 *</w:t>
              </w:r>
            </w:hyperlink>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10.18</w:t>
            </w:r>
          </w:p>
        </w:tc>
        <w:tc>
          <w:tcPr>
            <w:tcW w:w="9760" w:type="dxa"/>
            <w:vAlign w:val="bottom"/>
            <w:gridSpan w:val="25"/>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Severance Agreement, dated September 8, 2020, between the Company and Thomas D. Kampfer incorporated herein by reference to</w:t>
              </w:r>
            </w:hyperlink>
          </w:p>
        </w:tc>
      </w:tr>
      <w:tr>
        <w:trPr>
          <w:trHeight w:val="20"/>
        </w:trPr>
        <w:tc>
          <w:tcPr>
            <w:tcW w:w="14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Exhibit 10.3 from the Cohu, Inc. Quarterly Report on Form 10-Q filed with the Securities and Exchange Commission on November 4,</w:t>
              </w:r>
            </w:hyperlink>
          </w:p>
        </w:tc>
      </w:tr>
      <w:tr>
        <w:trPr>
          <w:trHeight w:val="196"/>
        </w:trPr>
        <w:tc>
          <w:tcPr>
            <w:tcW w:w="148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2020 *</w:t>
              </w:r>
            </w:hyperlink>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10.19</w:t>
            </w:r>
          </w:p>
        </w:tc>
        <w:tc>
          <w:tcPr>
            <w:tcW w:w="9740" w:type="dxa"/>
            <w:vAlign w:val="bottom"/>
            <w:tcBorders>
              <w:bottom w:val="single" w:sz="8" w:color="0000EE"/>
            </w:tcBorders>
            <w:gridSpan w:val="24"/>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Severance Agreement, dated September 8, 2020, between the Company and Luis A. Müller incorporated herein by reference to Exhibit</w:t>
              </w:r>
            </w:hyperlink>
          </w:p>
        </w:tc>
        <w:tc>
          <w:tcPr>
            <w:tcW w:w="20" w:type="dxa"/>
            <w:vAlign w:val="bottom"/>
          </w:tcPr>
          <w:p>
            <w:pPr>
              <w:spacing w:after="0"/>
              <w:rPr>
                <w:sz w:val="24"/>
                <w:szCs w:val="24"/>
                <w:color w:val="auto"/>
              </w:rPr>
            </w:pPr>
          </w:p>
        </w:tc>
      </w:tr>
      <w:tr>
        <w:trPr>
          <w:trHeight w:val="237"/>
        </w:trPr>
        <w:tc>
          <w:tcPr>
            <w:tcW w:w="1480" w:type="dxa"/>
            <w:vAlign w:val="bottom"/>
          </w:tcPr>
          <w:p>
            <w:pPr>
              <w:spacing w:after="0"/>
              <w:rPr>
                <w:sz w:val="20"/>
                <w:szCs w:val="20"/>
                <w:color w:val="auto"/>
              </w:rPr>
            </w:pPr>
          </w:p>
        </w:tc>
        <w:tc>
          <w:tcPr>
            <w:tcW w:w="9760" w:type="dxa"/>
            <w:vAlign w:val="bottom"/>
            <w:gridSpan w:val="25"/>
          </w:tcPr>
          <w:p>
            <w:pPr>
              <w:spacing w:after="0"/>
              <w:rPr>
                <w:rFonts w:ascii="Arial" w:cs="Arial" w:eastAsia="Arial" w:hAnsi="Arial"/>
                <w:sz w:val="18"/>
                <w:szCs w:val="18"/>
                <w:u w:val="single" w:color="auto"/>
                <w:color w:val="0000EE"/>
                <w:w w:val="92"/>
              </w:rPr>
            </w:pPr>
            <w:hyperlink r:id="rId164">
              <w:r>
                <w:rPr>
                  <w:rFonts w:ascii="Arial" w:cs="Arial" w:eastAsia="Arial" w:hAnsi="Arial"/>
                  <w:sz w:val="18"/>
                  <w:szCs w:val="18"/>
                  <w:u w:val="single" w:color="auto"/>
                  <w:color w:val="0000EE"/>
                  <w:w w:val="92"/>
                </w:rPr>
                <w:t>10.4 from the Cohu, Inc. Quarterly Report on Form 10-Q filed with the Securities and Exchange Commission on November 4, 2020 *</w:t>
              </w:r>
            </w:hyperlink>
          </w:p>
        </w:tc>
      </w:tr>
      <w:tr>
        <w:trPr>
          <w:trHeight w:val="391"/>
        </w:trPr>
        <w:tc>
          <w:tcPr>
            <w:tcW w:w="1480" w:type="dxa"/>
            <w:vAlign w:val="bottom"/>
          </w:tcPr>
          <w:p>
            <w:pPr>
              <w:ind w:left="240"/>
              <w:spacing w:after="0"/>
              <w:rPr>
                <w:sz w:val="20"/>
                <w:szCs w:val="20"/>
                <w:color w:val="auto"/>
              </w:rPr>
            </w:pPr>
            <w:r>
              <w:rPr>
                <w:rFonts w:ascii="Arial" w:cs="Arial" w:eastAsia="Arial" w:hAnsi="Arial"/>
                <w:sz w:val="18"/>
                <w:szCs w:val="18"/>
                <w:color w:val="auto"/>
              </w:rPr>
              <w:t>10.20</w:t>
            </w:r>
          </w:p>
        </w:tc>
        <w:tc>
          <w:tcPr>
            <w:tcW w:w="9500" w:type="dxa"/>
            <w:vAlign w:val="bottom"/>
            <w:tcBorders>
              <w:bottom w:val="single" w:sz="8" w:color="0000EE"/>
            </w:tcBorders>
            <w:gridSpan w:val="17"/>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Change in Control Agreement, dated September 8, 2020, between the Company and Christopher G. Bohrson incorporated herein by</w:t>
              </w:r>
            </w:hyperlink>
          </w:p>
        </w:tc>
        <w:tc>
          <w:tcPr>
            <w:tcW w:w="26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3"/>
              </w:rPr>
            </w:pPr>
            <w:hyperlink r:id="rId165">
              <w:r>
                <w:rPr>
                  <w:rFonts w:ascii="Arial" w:cs="Arial" w:eastAsia="Arial" w:hAnsi="Arial"/>
                  <w:sz w:val="18"/>
                  <w:szCs w:val="18"/>
                  <w:color w:val="0000EE"/>
                  <w:w w:val="93"/>
                </w:rPr>
                <w:t>reference to Exhibit 10.5 from the Cohu, Inc. Quarterly Report on Form 10-Q filed with the Securities and Exchange Commission on</w:t>
              </w:r>
            </w:hyperlink>
          </w:p>
        </w:tc>
      </w:tr>
      <w:tr>
        <w:trPr>
          <w:trHeight w:val="196"/>
        </w:trPr>
        <w:tc>
          <w:tcPr>
            <w:tcW w:w="14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November 4, 2020 *</w:t>
              </w:r>
            </w:hyperlink>
          </w:p>
        </w:tc>
        <w:tc>
          <w:tcPr>
            <w:tcW w:w="8100" w:type="dxa"/>
            <w:vAlign w:val="bottom"/>
            <w:tcBorders>
              <w:top w:val="single" w:sz="8" w:color="0000EE"/>
            </w:tcBorders>
            <w:gridSpan w:val="13"/>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10.21</w:t>
            </w:r>
          </w:p>
        </w:tc>
        <w:tc>
          <w:tcPr>
            <w:tcW w:w="9760" w:type="dxa"/>
            <w:vAlign w:val="bottom"/>
            <w:gridSpan w:val="25"/>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Change in Control Agreement, dated September 8, 2020, between the Company and Jeffrey D. Jones incorporated herein by reference</w:t>
              </w:r>
            </w:hyperlink>
          </w:p>
        </w:tc>
      </w:tr>
      <w:tr>
        <w:trPr>
          <w:trHeight w:val="20"/>
        </w:trPr>
        <w:tc>
          <w:tcPr>
            <w:tcW w:w="14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560" w:type="dxa"/>
            <w:vAlign w:val="bottom"/>
            <w:gridSpan w:val="7"/>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to Exhibit 10.6 from the Cohu, Inc. Quarterly Report on Form 10-Q filed with the Securities and Exchange Commission on November</w:t>
              </w:r>
            </w:hyperlink>
          </w:p>
        </w:tc>
      </w:tr>
      <w:tr>
        <w:trPr>
          <w:trHeight w:val="196"/>
        </w:trPr>
        <w:tc>
          <w:tcPr>
            <w:tcW w:w="148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4, 2020 *</w:t>
              </w:r>
            </w:hyperlink>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480" w:type="dxa"/>
            <w:vAlign w:val="bottom"/>
          </w:tcPr>
          <w:p>
            <w:pPr>
              <w:spacing w:after="0"/>
              <w:rPr>
                <w:sz w:val="24"/>
                <w:szCs w:val="24"/>
                <w:color w:val="auto"/>
              </w:rPr>
            </w:pPr>
          </w:p>
        </w:tc>
        <w:tc>
          <w:tcPr>
            <w:tcW w:w="6800" w:type="dxa"/>
            <w:vAlign w:val="bottom"/>
            <w:gridSpan w:val="11"/>
          </w:tcPr>
          <w:p>
            <w:pPr>
              <w:ind w:left="4060"/>
              <w:spacing w:after="0"/>
              <w:rPr>
                <w:sz w:val="20"/>
                <w:szCs w:val="20"/>
                <w:color w:val="auto"/>
              </w:rPr>
            </w:pPr>
            <w:r>
              <w:rPr>
                <w:rFonts w:ascii="Arial" w:cs="Arial" w:eastAsia="Arial" w:hAnsi="Arial"/>
                <w:sz w:val="18"/>
                <w:szCs w:val="18"/>
                <w:color w:val="auto"/>
              </w:rPr>
              <w:t>87</w:t>
            </w: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324"/>
        </w:trPr>
        <w:tc>
          <w:tcPr>
            <w:tcW w:w="14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1480" w:type="dxa"/>
            <w:vAlign w:val="bottom"/>
          </w:tcPr>
          <w:p>
            <w:pPr>
              <w:ind w:left="240"/>
              <w:spacing w:after="0"/>
              <w:rPr>
                <w:sz w:val="20"/>
                <w:szCs w:val="20"/>
                <w:color w:val="auto"/>
              </w:rPr>
            </w:pPr>
            <w:r>
              <w:rPr>
                <w:rFonts w:ascii="Arial" w:cs="Arial" w:eastAsia="Arial" w:hAnsi="Arial"/>
                <w:sz w:val="18"/>
                <w:szCs w:val="18"/>
                <w:color w:val="auto"/>
              </w:rPr>
              <w:t>10.22</w:t>
            </w:r>
          </w:p>
        </w:tc>
        <w:tc>
          <w:tcPr>
            <w:tcW w:w="9260" w:type="dxa"/>
            <w:vAlign w:val="bottom"/>
            <w:tcBorders>
              <w:bottom w:val="single" w:sz="8" w:color="0000EE"/>
            </w:tcBorders>
            <w:gridSpan w:val="14"/>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Change in Control Agreement, dated September 8, 2020, between the Company and Thomas D. Kampfer incorporated herein by</w:t>
              </w:r>
            </w:hyperlink>
          </w:p>
        </w:tc>
        <w:tc>
          <w:tcPr>
            <w:tcW w:w="50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reference to Exhibit 10.7 from the Cohu, Inc. Quarterly Report on Form 10-Q filed with the Securities and Exchange Commission on</w:t>
              </w:r>
            </w:hyperlink>
          </w:p>
        </w:tc>
      </w:tr>
      <w:tr>
        <w:trPr>
          <w:trHeight w:val="196"/>
        </w:trPr>
        <w:tc>
          <w:tcPr>
            <w:tcW w:w="14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November 4, 2020 *</w:t>
              </w:r>
            </w:hyperlink>
          </w:p>
        </w:tc>
        <w:tc>
          <w:tcPr>
            <w:tcW w:w="8100" w:type="dxa"/>
            <w:vAlign w:val="bottom"/>
            <w:tcBorders>
              <w:top w:val="single" w:sz="8" w:color="0000EE"/>
            </w:tcBorders>
            <w:gridSpan w:val="13"/>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10.23</w:t>
            </w:r>
          </w:p>
        </w:tc>
        <w:tc>
          <w:tcPr>
            <w:tcW w:w="9760" w:type="dxa"/>
            <w:vAlign w:val="bottom"/>
            <w:gridSpan w:val="25"/>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Change in Control Agreement, dated September 8, 2020, between the Company and Luis A. Müller incorporated herein by reference to</w:t>
              </w:r>
            </w:hyperlink>
          </w:p>
        </w:tc>
      </w:tr>
      <w:tr>
        <w:trPr>
          <w:trHeight w:val="196"/>
        </w:trPr>
        <w:tc>
          <w:tcPr>
            <w:tcW w:w="1480" w:type="dxa"/>
            <w:vAlign w:val="bottom"/>
          </w:tcPr>
          <w:p>
            <w:pPr>
              <w:spacing w:after="0"/>
              <w:rPr>
                <w:sz w:val="17"/>
                <w:szCs w:val="17"/>
                <w:color w:val="auto"/>
              </w:rPr>
            </w:pPr>
          </w:p>
        </w:tc>
        <w:tc>
          <w:tcPr>
            <w:tcW w:w="974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Exhibit 10.8 from the Cohu, Inc. Quarterly Report on Form 10-Q filed with the Securities and Exchange Commission on November 4,</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2020 *</w:t>
              </w:r>
            </w:hyperlink>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80" w:type="dxa"/>
            <w:vAlign w:val="bottom"/>
          </w:tcPr>
          <w:p>
            <w:pPr>
              <w:ind w:left="240"/>
              <w:spacing w:after="0"/>
              <w:rPr>
                <w:sz w:val="20"/>
                <w:szCs w:val="20"/>
                <w:color w:val="auto"/>
              </w:rPr>
            </w:pPr>
            <w:r>
              <w:rPr>
                <w:rFonts w:ascii="Arial" w:cs="Arial" w:eastAsia="Arial" w:hAnsi="Arial"/>
                <w:sz w:val="18"/>
                <w:szCs w:val="18"/>
                <w:color w:val="auto"/>
              </w:rPr>
              <w:t>10.24</w:t>
            </w:r>
          </w:p>
        </w:tc>
        <w:tc>
          <w:tcPr>
            <w:tcW w:w="9760" w:type="dxa"/>
            <w:vAlign w:val="bottom"/>
            <w:gridSpan w:val="25"/>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Settlement Agreement regarding employment, dated October 27, 2020, between the Company and Pascal Rondé incorporated herein</w:t>
              </w:r>
            </w:hyperlink>
          </w:p>
        </w:tc>
      </w:tr>
      <w:tr>
        <w:trPr>
          <w:trHeight w:val="20"/>
        </w:trPr>
        <w:tc>
          <w:tcPr>
            <w:tcW w:w="148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7840" w:type="dxa"/>
            <w:vAlign w:val="bottom"/>
            <w:gridSpan w:val="11"/>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by reference to Exhibit 10.9 from the Cohu, Inc. Quarterly Report on Form 10-Q filed with the Securities and Exchange Commission</w:t>
              </w:r>
            </w:hyperlink>
          </w:p>
        </w:tc>
      </w:tr>
      <w:tr>
        <w:trPr>
          <w:trHeight w:val="196"/>
        </w:trPr>
        <w:tc>
          <w:tcPr>
            <w:tcW w:w="1480" w:type="dxa"/>
            <w:vAlign w:val="bottom"/>
          </w:tcPr>
          <w:p>
            <w:pPr>
              <w:spacing w:after="0"/>
              <w:rPr>
                <w:sz w:val="17"/>
                <w:szCs w:val="17"/>
                <w:color w:val="auto"/>
              </w:rPr>
            </w:pPr>
          </w:p>
        </w:tc>
        <w:tc>
          <w:tcPr>
            <w:tcW w:w="95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on November 4, 2020 *</w:t>
              </w:r>
            </w:hyperlink>
          </w:p>
        </w:tc>
        <w:tc>
          <w:tcPr>
            <w:tcW w:w="180" w:type="dxa"/>
            <w:vAlign w:val="bottom"/>
            <w:gridSpan w:val="6"/>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-1842135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9" w:lineRule="exact"/>
        <w:rPr>
          <w:sz w:val="20"/>
          <w:szCs w:val="20"/>
          <w:color w:val="auto"/>
        </w:rPr>
      </w:pPr>
    </w:p>
    <w:p>
      <w:pPr>
        <w:ind w:left="1480" w:hanging="1243"/>
        <w:spacing w:after="0"/>
        <w:tabs>
          <w:tab w:leader="none" w:pos="1480" w:val="left"/>
        </w:tabs>
        <w:numPr>
          <w:ilvl w:val="0"/>
          <w:numId w:val="45"/>
        </w:numPr>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Subsidiaries of Cohu, Inc.</w:t>
        </w:r>
      </w:hyperlink>
    </w:p>
    <w:p>
      <w:pPr>
        <w:spacing w:after="0" w:line="225" w:lineRule="exact"/>
        <w:rPr>
          <w:sz w:val="20"/>
          <w:szCs w:val="20"/>
          <w:color w:val="auto"/>
        </w:rPr>
      </w:pPr>
    </w:p>
    <w:p>
      <w:pPr>
        <w:ind w:left="1480" w:hanging="1243"/>
        <w:spacing w:after="0"/>
        <w:tabs>
          <w:tab w:leader="none" w:pos="1480" w:val="left"/>
        </w:tabs>
        <w:numPr>
          <w:ilvl w:val="0"/>
          <w:numId w:val="46"/>
        </w:numPr>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Consent of Independent Registered Public Accounting Firm</w:t>
        </w:r>
      </w:hyperlink>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31.1</w:t>
            </w:r>
          </w:p>
        </w:tc>
        <w:tc>
          <w:tcPr>
            <w:tcW w:w="9500" w:type="dxa"/>
            <w:vAlign w:val="bottom"/>
            <w:gridSpan w:val="2"/>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Certification pursuant to Section 302(a) of the Sarbanes-Oxley Act of 2002 for Luis A. Müller</w:t>
              </w:r>
            </w:hyperlink>
          </w:p>
        </w:tc>
      </w:tr>
      <w:tr>
        <w:trPr>
          <w:trHeight w:val="432"/>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31.2</w:t>
            </w:r>
          </w:p>
        </w:tc>
        <w:tc>
          <w:tcPr>
            <w:tcW w:w="9500" w:type="dxa"/>
            <w:vAlign w:val="bottom"/>
            <w:gridSpan w:val="2"/>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Certification pursuant to Section 302(a) of the Sarbanes-Oxley Act of 2002 for Jeffrey D. Jones</w:t>
              </w:r>
            </w:hyperlink>
          </w:p>
        </w:tc>
      </w:tr>
      <w:tr>
        <w:trPr>
          <w:trHeight w:val="391"/>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32.1</w:t>
            </w:r>
          </w:p>
        </w:tc>
        <w:tc>
          <w:tcPr>
            <w:tcW w:w="9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Certification pursuant to 18 U.S.C. Section 1350, as adopted pursuant to Section 906 of the Sarbanes-Oxley Act of 2002 for Luis A.</w:t>
              </w:r>
            </w:hyperlink>
          </w:p>
        </w:tc>
      </w:tr>
      <w:tr>
        <w:trPr>
          <w:trHeight w:val="196"/>
        </w:trPr>
        <w:tc>
          <w:tcPr>
            <w:tcW w:w="1240" w:type="dxa"/>
            <w:vAlign w:val="bottom"/>
          </w:tcPr>
          <w:p>
            <w:pPr>
              <w:spacing w:after="0"/>
              <w:rPr>
                <w:sz w:val="17"/>
                <w:szCs w:val="17"/>
                <w:color w:val="auto"/>
              </w:rPr>
            </w:pPr>
          </w:p>
        </w:tc>
        <w:tc>
          <w:tcPr>
            <w:tcW w:w="9500" w:type="dxa"/>
            <w:vAlign w:val="bottom"/>
            <w:gridSpan w:val="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Müller</w:t>
              </w:r>
            </w:hyperlink>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74" w:name="page75"/>
    <w:bookmarkEnd w:id="74"/>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6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Certification pursuant to 18 U.S.C. Section 1350, as adopted pursuant to Section 906 of the Sarbanes-Oxley Act of 2002 for Jeffrey D.</w:t>
              </w:r>
            </w:hyperlink>
          </w:p>
        </w:tc>
      </w:tr>
      <w:tr>
        <w:trPr>
          <w:trHeight w:val="196"/>
        </w:trPr>
        <w:tc>
          <w:tcPr>
            <w:tcW w:w="1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Jones</w:t>
              </w:r>
            </w:hyperlink>
          </w:p>
        </w:tc>
        <w:tc>
          <w:tcPr>
            <w:tcW w:w="9280" w:type="dxa"/>
            <w:vAlign w:val="bottom"/>
          </w:tcPr>
          <w:p>
            <w:pPr>
              <w:spacing w:after="0"/>
              <w:rPr>
                <w:sz w:val="17"/>
                <w:szCs w:val="17"/>
                <w:color w:val="auto"/>
              </w:rPr>
            </w:pPr>
          </w:p>
        </w:tc>
      </w:tr>
      <w:tr>
        <w:trPr>
          <w:trHeight w:val="438"/>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2"/>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r>
      <w:tr>
        <w:trPr>
          <w:trHeight w:val="230"/>
        </w:trPr>
        <w:tc>
          <w:tcPr>
            <w:tcW w:w="124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140" w:right="3140" w:hanging="903"/>
        <w:spacing w:after="0" w:line="500" w:lineRule="auto"/>
        <w:tabs>
          <w:tab w:leader="none" w:pos="14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COHU,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February 26, 2021</w:t>
            </w:r>
          </w:p>
        </w:tc>
        <w:tc>
          <w:tcPr>
            <w:tcW w:w="5300" w:type="dxa"/>
            <w:vAlign w:val="bottom"/>
            <w:gridSpan w:val="2"/>
          </w:tcPr>
          <w:p>
            <w:pPr>
              <w:ind w:left="1860"/>
              <w:spacing w:after="0"/>
              <w:rPr>
                <w:sz w:val="20"/>
                <w:szCs w:val="20"/>
                <w:color w:val="auto"/>
              </w:rPr>
            </w:pPr>
            <w:r>
              <w:rPr>
                <w:rFonts w:ascii="Arial" w:cs="Arial" w:eastAsia="Arial" w:hAnsi="Arial"/>
                <w:sz w:val="18"/>
                <w:szCs w:val="18"/>
                <w:color w:val="auto"/>
              </w:rPr>
              <w:t>By:/s/ Luis A. Müller</w:t>
            </w:r>
          </w:p>
        </w:tc>
      </w:tr>
      <w:tr>
        <w:trPr>
          <w:trHeight w:val="195"/>
        </w:trPr>
        <w:tc>
          <w:tcPr>
            <w:tcW w:w="3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Luis A. Müller</w:t>
            </w:r>
          </w:p>
        </w:tc>
      </w:tr>
      <w:tr>
        <w:trPr>
          <w:trHeight w:val="230"/>
        </w:trPr>
        <w:tc>
          <w:tcPr>
            <w:tcW w:w="3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b w:val="1"/>
                <w:bCs w:val="1"/>
                <w:color w:val="auto"/>
                <w:w w:val="93"/>
              </w:rPr>
              <w:t>Signature</w:t>
            </w:r>
          </w:p>
        </w:tc>
        <w:tc>
          <w:tcPr>
            <w:tcW w:w="2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840" w:type="dxa"/>
            <w:vAlign w:val="bottom"/>
            <w:gridSpan w:val="3"/>
          </w:tcPr>
          <w:p>
            <w:pPr>
              <w:ind w:left="520"/>
              <w:spacing w:after="0"/>
              <w:rPr>
                <w:sz w:val="20"/>
                <w:szCs w:val="20"/>
                <w:color w:val="auto"/>
              </w:rPr>
            </w:pPr>
            <w:r>
              <w:rPr>
                <w:rFonts w:ascii="Arial" w:cs="Arial" w:eastAsia="Arial" w:hAnsi="Arial"/>
                <w:sz w:val="18"/>
                <w:szCs w:val="18"/>
                <w:b w:val="1"/>
                <w:bCs w:val="1"/>
                <w:color w:val="auto"/>
              </w:rPr>
              <w:t>Date</w:t>
            </w:r>
          </w:p>
        </w:tc>
      </w:tr>
      <w:tr>
        <w:trPr>
          <w:trHeight w:val="20"/>
        </w:trPr>
        <w:tc>
          <w:tcPr>
            <w:tcW w:w="8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Donahue</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James A. Donahue</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Luis A. Müller</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President and Chief Executive Officer, 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Luis A. Müller</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D. Jones</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Vice President, Finance and CFO</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Jeffrey D. Jones</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(Principal Financial and Accounting Officer)</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E. Bendush</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William E. Bendush</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J. Bilodeau</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Steven J. Bilodeau</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M. Caggia</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Andrew M. Caggia</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Lynne J. Camp</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Lynne J. Camp</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Nina L. Richardson</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r>
        <w:trPr>
          <w:trHeight w:val="224"/>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Nina L. Richardson</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Jorge L. Titinger</w:t>
            </w:r>
          </w:p>
        </w:tc>
        <w:tc>
          <w:tcPr>
            <w:tcW w:w="4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26, 2021</w:t>
            </w:r>
          </w:p>
        </w:tc>
      </w:tr>
    </w:tbl>
    <w:p>
      <w:pPr>
        <w:sectPr>
          <w:pgSz w:w="11900" w:h="16838" w:orient="portrait"/>
          <w:cols w:equalWidth="0" w:num="1">
            <w:col w:w="11160"/>
          </w:cols>
          <w:pgMar w:left="320" w:top="324" w:right="419" w:bottom="0" w:gutter="0" w:footer="0" w:header="0"/>
        </w:sectPr>
      </w:pPr>
    </w:p>
    <w:bookmarkStart w:id="75" w:name="page76"/>
    <w:bookmarkEnd w:id="75"/>
    <w:p>
      <w:pPr>
        <w:ind w:left="180"/>
        <w:spacing w:after="0"/>
        <w:rPr>
          <w:sz w:val="20"/>
          <w:szCs w:val="20"/>
          <w:color w:val="auto"/>
        </w:rPr>
      </w:pPr>
      <w:r>
        <w:rPr>
          <w:rFonts w:ascii="Arial" w:cs="Arial" w:eastAsia="Arial" w:hAnsi="Arial"/>
          <w:sz w:val="18"/>
          <w:szCs w:val="18"/>
          <w:color w:val="auto"/>
        </w:rPr>
        <w:t>Jorge L. Titinger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57"/>
        </w:trPr>
        <w:tc>
          <w:tcPr>
            <w:tcW w:w="4200" w:type="dxa"/>
            <w:vAlign w:val="bottom"/>
          </w:tcPr>
          <w:p>
            <w:pPr>
              <w:spacing w:after="0"/>
              <w:rPr>
                <w:sz w:val="20"/>
                <w:szCs w:val="20"/>
                <w:color w:val="auto"/>
              </w:rPr>
            </w:pPr>
            <w:r>
              <w:rPr>
                <w:rFonts w:ascii="Arial" w:cs="Arial" w:eastAsia="Arial" w:hAnsi="Arial"/>
                <w:sz w:val="18"/>
                <w:szCs w:val="18"/>
                <w:b w:val="1"/>
                <w:bCs w:val="1"/>
                <w:color w:val="auto"/>
              </w:rPr>
              <w:t>SCHEDULE II</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4200" w:type="dxa"/>
            <w:vAlign w:val="bottom"/>
          </w:tcPr>
          <w:p>
            <w:pPr>
              <w:spacing w:after="0"/>
              <w:rPr>
                <w:sz w:val="20"/>
                <w:szCs w:val="20"/>
                <w:color w:val="auto"/>
              </w:rPr>
            </w:pPr>
            <w:r>
              <w:rPr>
                <w:rFonts w:ascii="Arial" w:cs="Arial" w:eastAsia="Arial" w:hAnsi="Arial"/>
                <w:sz w:val="18"/>
                <w:szCs w:val="18"/>
                <w:b w:val="1"/>
                <w:bCs w:val="1"/>
                <w:color w:val="auto"/>
              </w:rPr>
              <w:t>VALUATION AND QUALIFYING ACCOUNTS</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4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color w:val="auto"/>
                <w:w w:val="97"/>
              </w:rPr>
              <w:t>Additions</w:t>
            </w:r>
          </w:p>
        </w:tc>
        <w:tc>
          <w:tcPr>
            <w:tcW w:w="140" w:type="dxa"/>
            <w:vAlign w:val="bottom"/>
          </w:tcPr>
          <w:p>
            <w:pPr>
              <w:spacing w:after="0"/>
              <w:rPr>
                <w:sz w:val="24"/>
                <w:szCs w:val="24"/>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4"/>
              </w:rPr>
              <w:t>Additions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color w:val="auto"/>
                <w:w w:val="90"/>
              </w:rPr>
              <w:t>(Reductions)</w:t>
            </w: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(Reductions)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6"/>
              </w:rPr>
              <w:t>Balance at</w:t>
            </w:r>
          </w:p>
        </w:tc>
        <w:tc>
          <w:tcPr>
            <w:tcW w:w="20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color w:val="auto"/>
                <w:w w:val="99"/>
              </w:rPr>
              <w:t>Not</w:t>
            </w: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9"/>
              </w:rPr>
              <w:t>Charged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color w:val="auto"/>
                <w:w w:val="89"/>
              </w:rPr>
              <w:t>Balance</w:t>
            </w:r>
          </w:p>
        </w:tc>
      </w:tr>
      <w:tr>
        <w:trPr>
          <w:trHeight w:val="216"/>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color w:val="auto"/>
                <w:w w:val="86"/>
              </w:rPr>
              <w:t>Charged</w:t>
            </w: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(Credited)</w:t>
            </w:r>
          </w:p>
        </w:tc>
        <w:tc>
          <w:tcPr>
            <w:tcW w:w="18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2"/>
              </w:rPr>
              <w:t>Deductions/</w:t>
            </w:r>
          </w:p>
        </w:tc>
        <w:tc>
          <w:tcPr>
            <w:tcW w:w="2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92"/>
              </w:rPr>
              <w:t>at End</w:t>
            </w:r>
          </w:p>
        </w:tc>
      </w:t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of Year</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8"/>
              </w:rPr>
              <w:t>to Expense</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to Expense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Write-offs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of Year</w:t>
            </w:r>
          </w:p>
        </w:tc>
      </w:tr>
      <w:tr>
        <w:trPr>
          <w:trHeight w:val="209"/>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2"/>
        </w:trPr>
        <w:tc>
          <w:tcPr>
            <w:tcW w:w="4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70"/>
              <w:spacing w:after="0" w:line="16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28, 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2"/>
        </w:trPr>
        <w:tc>
          <w:tcPr>
            <w:tcW w:w="4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70"/>
              <w:spacing w:after="0" w:line="16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16"/>
        </w:trPr>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Reserve for excess and obsolete inventories:</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62"/>
        </w:trPr>
        <w:tc>
          <w:tcPr>
            <w:tcW w:w="4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70"/>
              <w:spacing w:after="0" w:line="16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Year ended December 30, 2018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17,362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10,783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3,907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23,938</w:t>
            </w:r>
          </w:p>
        </w:tc>
      </w:tr>
      <w:tr>
        <w:trPr>
          <w:trHeight w:val="216"/>
        </w:trPr>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Year ended December 28, 2019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23,938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4,792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9,057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20,958</w:t>
            </w:r>
          </w:p>
        </w:tc>
      </w:tr>
      <w:tr>
        <w:trPr>
          <w:trHeight w:val="216"/>
        </w:trPr>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Year ended December 26, 2020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20,958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4,611</w:t>
            </w: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8,117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All amounts presented above have been restated to exclude the impact of our discontinued operations.</w:t>
      </w:r>
    </w:p>
    <w:p>
      <w:pPr>
        <w:spacing w:after="0" w:line="225" w:lineRule="exact"/>
        <w:rPr>
          <w:sz w:val="20"/>
          <w:szCs w:val="20"/>
          <w:color w:val="auto"/>
        </w:rPr>
      </w:pPr>
    </w:p>
    <w:p>
      <w:pPr>
        <w:ind w:left="5540" w:right="3060" w:hanging="5532"/>
        <w:spacing w:after="0" w:line="778" w:lineRule="auto"/>
        <w:tabs>
          <w:tab w:leader="none" w:pos="3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 and reclassifications from other reserves. 91</w:t>
      </w:r>
    </w:p>
    <w:p>
      <w:pPr>
        <w:sectPr>
          <w:pgSz w:w="11900" w:h="16838" w:orient="portrait"/>
          <w:cols w:equalWidth="0" w:num="1">
            <w:col w:w="11240"/>
          </w:cols>
          <w:pgMar w:left="32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4320"/>
              <w:spacing w:after="0"/>
              <w:rPr>
                <w:sz w:val="20"/>
                <w:szCs w:val="20"/>
                <w:color w:val="auto"/>
              </w:rPr>
            </w:pPr>
            <w:r>
              <w:rPr>
                <w:rFonts w:ascii="Arial" w:cs="Arial" w:eastAsia="Arial" w:hAnsi="Arial"/>
                <w:sz w:val="18"/>
                <w:szCs w:val="18"/>
                <w:b w:val="1"/>
                <w:bCs w:val="1"/>
                <w:color w:val="auto"/>
              </w:rPr>
              <w:t>SUBSIDIARIES OF COHU, INC.</w:t>
            </w:r>
          </w:p>
        </w:tc>
        <w:tc>
          <w:tcPr>
            <w:tcW w:w="3220" w:type="dxa"/>
            <w:vAlign w:val="bottom"/>
          </w:tcPr>
          <w:p>
            <w:pPr>
              <w:spacing w:after="0"/>
              <w:rPr>
                <w:sz w:val="20"/>
                <w:szCs w:val="20"/>
                <w:color w:val="auto"/>
              </w:rPr>
            </w:pPr>
          </w:p>
        </w:tc>
      </w:tr>
      <w:tr>
        <w:trPr>
          <w:trHeight w:val="418"/>
        </w:trPr>
        <w:tc>
          <w:tcPr>
            <w:tcW w:w="8020" w:type="dxa"/>
            <w:vAlign w:val="bottom"/>
          </w:tcPr>
          <w:p>
            <w:pPr>
              <w:spacing w:after="0"/>
              <w:rPr>
                <w:sz w:val="24"/>
                <w:szCs w:val="24"/>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PLACE OF</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LEGAL ENTITY NAME</w:t>
            </w:r>
          </w:p>
        </w:tc>
        <w:tc>
          <w:tcPr>
            <w:tcW w:w="3220" w:type="dxa"/>
            <w:vAlign w:val="bottom"/>
          </w:tcPr>
          <w:p>
            <w:pPr>
              <w:ind w:left="380"/>
              <w:spacing w:after="0"/>
              <w:rPr>
                <w:sz w:val="20"/>
                <w:szCs w:val="20"/>
                <w:color w:val="auto"/>
              </w:rPr>
            </w:pPr>
            <w:r>
              <w:rPr>
                <w:rFonts w:ascii="Arial" w:cs="Arial" w:eastAsia="Arial" w:hAnsi="Arial"/>
                <w:sz w:val="18"/>
                <w:szCs w:val="18"/>
                <w:color w:val="auto"/>
              </w:rPr>
              <w:t>INCORPORATION</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w:t>
            </w:r>
          </w:p>
        </w:tc>
        <w:tc>
          <w:tcPr>
            <w:tcW w:w="32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Delta Design, Inc. (1)</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FRL, Incorporated</w:t>
            </w:r>
          </w:p>
        </w:tc>
        <w:tc>
          <w:tcPr>
            <w:tcW w:w="3220" w:type="dxa"/>
            <w:vAlign w:val="bottom"/>
          </w:tcPr>
          <w:p>
            <w:pPr>
              <w:ind w:left="380"/>
              <w:spacing w:after="0"/>
              <w:rPr>
                <w:sz w:val="20"/>
                <w:szCs w:val="20"/>
                <w:color w:val="auto"/>
              </w:rPr>
            </w:pPr>
            <w:r>
              <w:rPr>
                <w:rFonts w:ascii="Arial" w:cs="Arial" w:eastAsia="Arial" w:hAnsi="Arial"/>
                <w:sz w:val="18"/>
                <w:szCs w:val="18"/>
                <w:color w:val="auto"/>
              </w:rPr>
              <w:t>California</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Delta Design (Littleton), Inc.</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Cohu Foreign Sales Corp</w:t>
            </w:r>
          </w:p>
        </w:tc>
        <w:tc>
          <w:tcPr>
            <w:tcW w:w="3220" w:type="dxa"/>
            <w:vAlign w:val="bottom"/>
          </w:tcPr>
          <w:p>
            <w:pPr>
              <w:ind w:left="380"/>
              <w:spacing w:after="0"/>
              <w:rPr>
                <w:sz w:val="20"/>
                <w:szCs w:val="20"/>
                <w:color w:val="auto"/>
              </w:rPr>
            </w:pPr>
            <w:r>
              <w:rPr>
                <w:rFonts w:ascii="Arial" w:cs="Arial" w:eastAsia="Arial" w:hAnsi="Arial"/>
                <w:sz w:val="18"/>
                <w:szCs w:val="18"/>
                <w:color w:val="auto"/>
              </w:rPr>
              <w:t>Barbados</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Xcerra Corporation (5)</w:t>
            </w:r>
          </w:p>
        </w:tc>
        <w:tc>
          <w:tcPr>
            <w:tcW w:w="3220" w:type="dxa"/>
            <w:vAlign w:val="bottom"/>
          </w:tcPr>
          <w:p>
            <w:pPr>
              <w:ind w:left="380"/>
              <w:spacing w:after="0"/>
              <w:rPr>
                <w:sz w:val="20"/>
                <w:szCs w:val="20"/>
                <w:color w:val="auto"/>
              </w:rPr>
            </w:pPr>
            <w:r>
              <w:rPr>
                <w:rFonts w:ascii="Arial" w:cs="Arial" w:eastAsia="Arial" w:hAnsi="Arial"/>
                <w:sz w:val="18"/>
                <w:szCs w:val="18"/>
                <w:color w:val="auto"/>
              </w:rPr>
              <w:t>Massachusetts</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w:t>
            </w:r>
          </w:p>
        </w:tc>
        <w:tc>
          <w:tcPr>
            <w:tcW w:w="3220" w:type="dxa"/>
            <w:vAlign w:val="bottom"/>
          </w:tcPr>
          <w:p>
            <w:pPr>
              <w:spacing w:after="0"/>
              <w:rPr>
                <w:sz w:val="18"/>
                <w:szCs w:val="18"/>
                <w:color w:val="auto"/>
              </w:rPr>
            </w:pP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(1) Delta Design, Inc. owns the following subsidiaries:</w:t>
            </w:r>
          </w:p>
        </w:tc>
        <w:tc>
          <w:tcPr>
            <w:tcW w:w="3220" w:type="dxa"/>
            <w:vAlign w:val="bottom"/>
          </w:tcPr>
          <w:p>
            <w:pPr>
              <w:spacing w:after="0"/>
              <w:rPr>
                <w:sz w:val="18"/>
                <w:szCs w:val="18"/>
                <w:color w:val="auto"/>
              </w:rPr>
            </w:pP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Delta Design Singapore PTE LTD (2)</w:t>
            </w:r>
          </w:p>
        </w:tc>
        <w:tc>
          <w:tcPr>
            <w:tcW w:w="3220" w:type="dxa"/>
            <w:vAlign w:val="bottom"/>
          </w:tcPr>
          <w:p>
            <w:pPr>
              <w:ind w:left="380"/>
              <w:spacing w:after="0"/>
              <w:rPr>
                <w:sz w:val="20"/>
                <w:szCs w:val="20"/>
                <w:color w:val="auto"/>
              </w:rPr>
            </w:pPr>
            <w:r>
              <w:rPr>
                <w:rFonts w:ascii="Arial" w:cs="Arial" w:eastAsia="Arial" w:hAnsi="Arial"/>
                <w:sz w:val="18"/>
                <w:szCs w:val="18"/>
                <w:color w:val="auto"/>
              </w:rPr>
              <w:t>Singapore</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Cohu S.A.</w:t>
            </w:r>
          </w:p>
        </w:tc>
        <w:tc>
          <w:tcPr>
            <w:tcW w:w="3220" w:type="dxa"/>
            <w:vAlign w:val="bottom"/>
          </w:tcPr>
          <w:p>
            <w:pPr>
              <w:ind w:left="380"/>
              <w:spacing w:after="0"/>
              <w:rPr>
                <w:sz w:val="20"/>
                <w:szCs w:val="20"/>
                <w:color w:val="auto"/>
              </w:rPr>
            </w:pPr>
            <w:r>
              <w:rPr>
                <w:rFonts w:ascii="Arial" w:cs="Arial" w:eastAsia="Arial" w:hAnsi="Arial"/>
                <w:sz w:val="18"/>
                <w:szCs w:val="18"/>
                <w:color w:val="auto"/>
              </w:rPr>
              <w:t>Costa Rica</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Cohu Semiconductor Test GmbH (Partial ownership 37%) (3)</w:t>
            </w:r>
          </w:p>
        </w:tc>
        <w:tc>
          <w:tcPr>
            <w:tcW w:w="3220" w:type="dxa"/>
            <w:vAlign w:val="bottom"/>
          </w:tcPr>
          <w:p>
            <w:pPr>
              <w:ind w:left="380"/>
              <w:spacing w:after="0"/>
              <w:rPr>
                <w:sz w:val="20"/>
                <w:szCs w:val="20"/>
                <w:color w:val="auto"/>
              </w:rPr>
            </w:pPr>
            <w:r>
              <w:rPr>
                <w:rFonts w:ascii="Arial" w:cs="Arial" w:eastAsia="Arial" w:hAnsi="Arial"/>
                <w:sz w:val="18"/>
                <w:szCs w:val="18"/>
                <w:color w:val="auto"/>
              </w:rPr>
              <w:t>Germany</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Rosenheim Automation Systems Corporation</w:t>
            </w:r>
          </w:p>
        </w:tc>
        <w:tc>
          <w:tcPr>
            <w:tcW w:w="3220" w:type="dxa"/>
            <w:vAlign w:val="bottom"/>
          </w:tcPr>
          <w:p>
            <w:pPr>
              <w:ind w:left="380"/>
              <w:spacing w:after="0"/>
              <w:rPr>
                <w:sz w:val="20"/>
                <w:szCs w:val="20"/>
                <w:color w:val="auto"/>
              </w:rPr>
            </w:pPr>
            <w:r>
              <w:rPr>
                <w:rFonts w:ascii="Arial" w:cs="Arial" w:eastAsia="Arial" w:hAnsi="Arial"/>
                <w:sz w:val="18"/>
                <w:szCs w:val="18"/>
                <w:color w:val="auto"/>
              </w:rPr>
              <w:t>California</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Ismeca Semiconductor Holding SA (4)</w:t>
            </w:r>
          </w:p>
        </w:tc>
        <w:tc>
          <w:tcPr>
            <w:tcW w:w="3220" w:type="dxa"/>
            <w:vAlign w:val="bottom"/>
          </w:tcPr>
          <w:p>
            <w:pPr>
              <w:ind w:left="380"/>
              <w:spacing w:after="0"/>
              <w:rPr>
                <w:sz w:val="20"/>
                <w:szCs w:val="20"/>
                <w:color w:val="auto"/>
              </w:rPr>
            </w:pPr>
            <w:r>
              <w:rPr>
                <w:rFonts w:ascii="Arial" w:cs="Arial" w:eastAsia="Arial" w:hAnsi="Arial"/>
                <w:sz w:val="18"/>
                <w:szCs w:val="18"/>
                <w:color w:val="auto"/>
              </w:rPr>
              <w:t>Switzerland</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(2) Delta Design Singapore PTE LTD owns the following subsidiaries:</w:t>
            </w:r>
          </w:p>
        </w:tc>
        <w:tc>
          <w:tcPr>
            <w:tcW w:w="3220" w:type="dxa"/>
            <w:vAlign w:val="bottom"/>
          </w:tcPr>
          <w:p>
            <w:pPr>
              <w:spacing w:after="0"/>
              <w:rPr>
                <w:sz w:val="18"/>
                <w:szCs w:val="18"/>
                <w:color w:val="auto"/>
              </w:rPr>
            </w:pP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Delta Design Philippines LLC (14)</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(3) Cohu Semiconductor Test GmbH owns the following subsidiaries:</w:t>
            </w:r>
          </w:p>
        </w:tc>
        <w:tc>
          <w:tcPr>
            <w:tcW w:w="3220" w:type="dxa"/>
            <w:vAlign w:val="bottom"/>
          </w:tcPr>
          <w:p>
            <w:pPr>
              <w:spacing w:after="0"/>
              <w:rPr>
                <w:sz w:val="18"/>
                <w:szCs w:val="18"/>
                <w:color w:val="auto"/>
              </w:rPr>
            </w:pP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atg-Luther &amp; Maelzer GmbH (6)</w:t>
            </w:r>
          </w:p>
        </w:tc>
        <w:tc>
          <w:tcPr>
            <w:tcW w:w="3220" w:type="dxa"/>
            <w:vAlign w:val="bottom"/>
          </w:tcPr>
          <w:p>
            <w:pPr>
              <w:ind w:left="380"/>
              <w:spacing w:after="0"/>
              <w:rPr>
                <w:sz w:val="20"/>
                <w:szCs w:val="20"/>
                <w:color w:val="auto"/>
              </w:rPr>
            </w:pPr>
            <w:r>
              <w:rPr>
                <w:rFonts w:ascii="Arial" w:cs="Arial" w:eastAsia="Arial" w:hAnsi="Arial"/>
                <w:sz w:val="18"/>
                <w:szCs w:val="18"/>
                <w:color w:val="auto"/>
              </w:rPr>
              <w:t>Germany</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Multitest GmbH (7)</w:t>
            </w:r>
          </w:p>
        </w:tc>
        <w:tc>
          <w:tcPr>
            <w:tcW w:w="3220" w:type="dxa"/>
            <w:vAlign w:val="bottom"/>
          </w:tcPr>
          <w:p>
            <w:pPr>
              <w:ind w:left="380"/>
              <w:spacing w:after="0"/>
              <w:rPr>
                <w:sz w:val="20"/>
                <w:szCs w:val="20"/>
                <w:color w:val="auto"/>
              </w:rPr>
            </w:pPr>
            <w:r>
              <w:rPr>
                <w:rFonts w:ascii="Arial" w:cs="Arial" w:eastAsia="Arial" w:hAnsi="Arial"/>
                <w:sz w:val="18"/>
                <w:szCs w:val="18"/>
                <w:color w:val="auto"/>
              </w:rPr>
              <w:t>Germany</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(4) Ismeca Semiconductor Holding SA owns the following subsidiaries:</w:t>
            </w:r>
          </w:p>
        </w:tc>
        <w:tc>
          <w:tcPr>
            <w:tcW w:w="3220" w:type="dxa"/>
            <w:vAlign w:val="bottom"/>
          </w:tcPr>
          <w:p>
            <w:pPr>
              <w:spacing w:after="0"/>
              <w:rPr>
                <w:sz w:val="18"/>
                <w:szCs w:val="18"/>
                <w:color w:val="auto"/>
              </w:rPr>
            </w:pP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Ismeca Europe Semiconductor SA</w:t>
            </w:r>
          </w:p>
        </w:tc>
        <w:tc>
          <w:tcPr>
            <w:tcW w:w="3220" w:type="dxa"/>
            <w:vAlign w:val="bottom"/>
          </w:tcPr>
          <w:p>
            <w:pPr>
              <w:ind w:left="380"/>
              <w:spacing w:after="0"/>
              <w:rPr>
                <w:sz w:val="20"/>
                <w:szCs w:val="20"/>
                <w:color w:val="auto"/>
              </w:rPr>
            </w:pPr>
            <w:r>
              <w:rPr>
                <w:rFonts w:ascii="Arial" w:cs="Arial" w:eastAsia="Arial" w:hAnsi="Arial"/>
                <w:sz w:val="18"/>
                <w:szCs w:val="18"/>
                <w:color w:val="auto"/>
              </w:rPr>
              <w:t>Switzerland</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Cohu Malaysia Sdn. Bhd.</w:t>
            </w:r>
          </w:p>
        </w:tc>
        <w:tc>
          <w:tcPr>
            <w:tcW w:w="3220" w:type="dxa"/>
            <w:vAlign w:val="bottom"/>
          </w:tcPr>
          <w:p>
            <w:pPr>
              <w:ind w:left="380"/>
              <w:spacing w:after="0"/>
              <w:rPr>
                <w:sz w:val="20"/>
                <w:szCs w:val="20"/>
                <w:color w:val="auto"/>
              </w:rPr>
            </w:pPr>
            <w:r>
              <w:rPr>
                <w:rFonts w:ascii="Arial" w:cs="Arial" w:eastAsia="Arial" w:hAnsi="Arial"/>
                <w:sz w:val="18"/>
                <w:szCs w:val="18"/>
                <w:color w:val="auto"/>
              </w:rPr>
              <w:t>Malaysia</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Ismeca Semiconductor (Suzhou) Co Ltd</w:t>
            </w:r>
          </w:p>
        </w:tc>
        <w:tc>
          <w:tcPr>
            <w:tcW w:w="3220" w:type="dxa"/>
            <w:vAlign w:val="bottom"/>
          </w:tcPr>
          <w:p>
            <w:pPr>
              <w:ind w:left="380"/>
              <w:spacing w:after="0"/>
              <w:rPr>
                <w:sz w:val="20"/>
                <w:szCs w:val="20"/>
                <w:color w:val="auto"/>
              </w:rPr>
            </w:pPr>
            <w:r>
              <w:rPr>
                <w:rFonts w:ascii="Arial" w:cs="Arial" w:eastAsia="Arial" w:hAnsi="Arial"/>
                <w:sz w:val="18"/>
                <w:szCs w:val="18"/>
                <w:color w:val="auto"/>
              </w:rPr>
              <w:t>China</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(5) Xcerra Corporation owns the following subsidiaries:</w:t>
            </w:r>
          </w:p>
        </w:tc>
        <w:tc>
          <w:tcPr>
            <w:tcW w:w="3220" w:type="dxa"/>
            <w:vAlign w:val="bottom"/>
          </w:tcPr>
          <w:p>
            <w:pPr>
              <w:spacing w:after="0"/>
              <w:rPr>
                <w:sz w:val="18"/>
                <w:szCs w:val="18"/>
                <w:color w:val="auto"/>
              </w:rPr>
            </w:pP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LTX-Credence France S.A.S.</w:t>
            </w:r>
          </w:p>
        </w:tc>
        <w:tc>
          <w:tcPr>
            <w:tcW w:w="3220" w:type="dxa"/>
            <w:vAlign w:val="bottom"/>
          </w:tcPr>
          <w:p>
            <w:pPr>
              <w:ind w:left="380"/>
              <w:spacing w:after="0"/>
              <w:rPr>
                <w:sz w:val="20"/>
                <w:szCs w:val="20"/>
                <w:color w:val="auto"/>
              </w:rPr>
            </w:pPr>
            <w:r>
              <w:rPr>
                <w:rFonts w:ascii="Arial" w:cs="Arial" w:eastAsia="Arial" w:hAnsi="Arial"/>
                <w:sz w:val="18"/>
                <w:szCs w:val="18"/>
                <w:color w:val="auto"/>
              </w:rPr>
              <w:t>France</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LTX-Credence Italia S.r.l.</w:t>
            </w:r>
          </w:p>
        </w:tc>
        <w:tc>
          <w:tcPr>
            <w:tcW w:w="3220" w:type="dxa"/>
            <w:vAlign w:val="bottom"/>
          </w:tcPr>
          <w:p>
            <w:pPr>
              <w:ind w:left="380"/>
              <w:spacing w:after="0"/>
              <w:rPr>
                <w:sz w:val="20"/>
                <w:szCs w:val="20"/>
                <w:color w:val="auto"/>
              </w:rPr>
            </w:pPr>
            <w:r>
              <w:rPr>
                <w:rFonts w:ascii="Arial" w:cs="Arial" w:eastAsia="Arial" w:hAnsi="Arial"/>
                <w:sz w:val="18"/>
                <w:szCs w:val="18"/>
                <w:color w:val="auto"/>
              </w:rPr>
              <w:t>Italy</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LTX Asia International, Inc.</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LTX-Credence Sdn BhD. (10)</w:t>
            </w:r>
          </w:p>
        </w:tc>
        <w:tc>
          <w:tcPr>
            <w:tcW w:w="3220" w:type="dxa"/>
            <w:vAlign w:val="bottom"/>
          </w:tcPr>
          <w:p>
            <w:pPr>
              <w:ind w:left="380"/>
              <w:spacing w:after="0"/>
              <w:rPr>
                <w:sz w:val="20"/>
                <w:szCs w:val="20"/>
                <w:color w:val="auto"/>
              </w:rPr>
            </w:pPr>
            <w:r>
              <w:rPr>
                <w:rFonts w:ascii="Arial" w:cs="Arial" w:eastAsia="Arial" w:hAnsi="Arial"/>
                <w:sz w:val="18"/>
                <w:szCs w:val="18"/>
                <w:color w:val="auto"/>
              </w:rPr>
              <w:t>Malaysia</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LTX LLC</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Multitest Electronic Systems Inc.</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Cohu Interface Solutions LLC (FKA: Everett Charles Technologies LLC) (9)</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Credence Capital Corporation</w:t>
            </w:r>
          </w:p>
        </w:tc>
        <w:tc>
          <w:tcPr>
            <w:tcW w:w="3220" w:type="dxa"/>
            <w:vAlign w:val="bottom"/>
          </w:tcPr>
          <w:p>
            <w:pPr>
              <w:ind w:left="380"/>
              <w:spacing w:after="0"/>
              <w:rPr>
                <w:sz w:val="20"/>
                <w:szCs w:val="20"/>
                <w:color w:val="auto"/>
              </w:rPr>
            </w:pPr>
            <w:r>
              <w:rPr>
                <w:rFonts w:ascii="Arial" w:cs="Arial" w:eastAsia="Arial" w:hAnsi="Arial"/>
                <w:sz w:val="18"/>
                <w:szCs w:val="18"/>
                <w:color w:val="auto"/>
              </w:rPr>
              <w:t>California</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Xcerra International Inc. (12)</w:t>
            </w:r>
          </w:p>
        </w:tc>
        <w:tc>
          <w:tcPr>
            <w:tcW w:w="322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Credence International Ltd. (13)</w:t>
            </w:r>
          </w:p>
        </w:tc>
        <w:tc>
          <w:tcPr>
            <w:tcW w:w="3220" w:type="dxa"/>
            <w:vAlign w:val="bottom"/>
          </w:tcPr>
          <w:p>
            <w:pPr>
              <w:ind w:left="380"/>
              <w:spacing w:after="0"/>
              <w:rPr>
                <w:sz w:val="20"/>
                <w:szCs w:val="20"/>
                <w:color w:val="auto"/>
              </w:rPr>
            </w:pPr>
            <w:r>
              <w:rPr>
                <w:rFonts w:ascii="Arial" w:cs="Arial" w:eastAsia="Arial" w:hAnsi="Arial"/>
                <w:sz w:val="18"/>
                <w:szCs w:val="18"/>
                <w:color w:val="auto"/>
              </w:rPr>
              <w:t>British Virgin Islands</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LTX-Credence KK</w:t>
            </w:r>
          </w:p>
        </w:tc>
        <w:tc>
          <w:tcPr>
            <w:tcW w:w="3220" w:type="dxa"/>
            <w:vAlign w:val="bottom"/>
          </w:tcPr>
          <w:p>
            <w:pPr>
              <w:ind w:left="380"/>
              <w:spacing w:after="0"/>
              <w:rPr>
                <w:sz w:val="20"/>
                <w:szCs w:val="20"/>
                <w:color w:val="auto"/>
              </w:rPr>
            </w:pPr>
            <w:r>
              <w:rPr>
                <w:rFonts w:ascii="Arial" w:cs="Arial" w:eastAsia="Arial" w:hAnsi="Arial"/>
                <w:sz w:val="18"/>
                <w:szCs w:val="18"/>
                <w:color w:val="auto"/>
              </w:rPr>
              <w:t>Japan</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Xcerra (Thailand) Company Limited</w:t>
            </w:r>
          </w:p>
        </w:tc>
        <w:tc>
          <w:tcPr>
            <w:tcW w:w="3220" w:type="dxa"/>
            <w:vAlign w:val="bottom"/>
          </w:tcPr>
          <w:p>
            <w:pPr>
              <w:ind w:left="380"/>
              <w:spacing w:after="0"/>
              <w:rPr>
                <w:sz w:val="20"/>
                <w:szCs w:val="20"/>
                <w:color w:val="auto"/>
              </w:rPr>
            </w:pPr>
            <w:r>
              <w:rPr>
                <w:rFonts w:ascii="Arial" w:cs="Arial" w:eastAsia="Arial" w:hAnsi="Arial"/>
                <w:sz w:val="18"/>
                <w:szCs w:val="18"/>
                <w:color w:val="auto"/>
              </w:rPr>
              <w:t>Thailand</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Credence Systems (M) Sdn BhD</w:t>
            </w:r>
          </w:p>
        </w:tc>
        <w:tc>
          <w:tcPr>
            <w:tcW w:w="3220" w:type="dxa"/>
            <w:vAlign w:val="bottom"/>
          </w:tcPr>
          <w:p>
            <w:pPr>
              <w:ind w:left="380"/>
              <w:spacing w:after="0"/>
              <w:rPr>
                <w:sz w:val="20"/>
                <w:szCs w:val="20"/>
                <w:color w:val="auto"/>
              </w:rPr>
            </w:pPr>
            <w:r>
              <w:rPr>
                <w:rFonts w:ascii="Arial" w:cs="Arial" w:eastAsia="Arial" w:hAnsi="Arial"/>
                <w:sz w:val="18"/>
                <w:szCs w:val="18"/>
                <w:color w:val="auto"/>
              </w:rPr>
              <w:t>Malaysia</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Credence Systems (UK) Limited</w:t>
            </w:r>
          </w:p>
        </w:tc>
        <w:tc>
          <w:tcPr>
            <w:tcW w:w="3220" w:type="dxa"/>
            <w:vAlign w:val="bottom"/>
          </w:tcPr>
          <w:p>
            <w:pPr>
              <w:ind w:left="380"/>
              <w:spacing w:after="0"/>
              <w:rPr>
                <w:sz w:val="20"/>
                <w:szCs w:val="20"/>
                <w:color w:val="auto"/>
              </w:rPr>
            </w:pPr>
            <w:r>
              <w:rPr>
                <w:rFonts w:ascii="Arial" w:cs="Arial" w:eastAsia="Arial" w:hAnsi="Arial"/>
                <w:sz w:val="18"/>
                <w:szCs w:val="18"/>
                <w:color w:val="auto"/>
              </w:rPr>
              <w:t>United Kingdom</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Everett Charles Technologies Mexico, S. de R.L. de C.V.</w:t>
            </w:r>
          </w:p>
        </w:tc>
        <w:tc>
          <w:tcPr>
            <w:tcW w:w="3220" w:type="dxa"/>
            <w:vAlign w:val="bottom"/>
          </w:tcPr>
          <w:p>
            <w:pPr>
              <w:ind w:left="380"/>
              <w:spacing w:after="0"/>
              <w:rPr>
                <w:sz w:val="20"/>
                <w:szCs w:val="20"/>
                <w:color w:val="auto"/>
              </w:rPr>
            </w:pPr>
            <w:r>
              <w:rPr>
                <w:rFonts w:ascii="Arial" w:cs="Arial" w:eastAsia="Arial" w:hAnsi="Arial"/>
                <w:sz w:val="18"/>
                <w:szCs w:val="18"/>
                <w:color w:val="auto"/>
              </w:rPr>
              <w:t>Mexico</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w w:val="96"/>
              </w:rPr>
              <w:t>Cohu Semiconductor Test GmbH (FKA: Delta Design Europe GmbH) (Partial ownership 63%)</w:t>
            </w:r>
          </w:p>
        </w:tc>
        <w:tc>
          <w:tcPr>
            <w:tcW w:w="3220" w:type="dxa"/>
            <w:vAlign w:val="bottom"/>
          </w:tcPr>
          <w:p>
            <w:pPr>
              <w:ind w:left="380"/>
              <w:spacing w:after="0"/>
              <w:rPr>
                <w:sz w:val="20"/>
                <w:szCs w:val="20"/>
                <w:color w:val="auto"/>
              </w:rPr>
            </w:pPr>
            <w:r>
              <w:rPr>
                <w:rFonts w:ascii="Arial" w:cs="Arial" w:eastAsia="Arial" w:hAnsi="Arial"/>
                <w:sz w:val="18"/>
                <w:szCs w:val="18"/>
                <w:color w:val="auto"/>
              </w:rPr>
              <w:t>Germany</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(6) atg-Luther &amp; Maelzer GmbH owns the following subsidiaries:</w:t>
            </w:r>
          </w:p>
        </w:tc>
        <w:tc>
          <w:tcPr>
            <w:tcW w:w="3220" w:type="dxa"/>
            <w:vAlign w:val="bottom"/>
          </w:tcPr>
          <w:p>
            <w:pPr>
              <w:spacing w:after="0"/>
              <w:rPr>
                <w:sz w:val="18"/>
                <w:szCs w:val="18"/>
                <w:color w:val="auto"/>
              </w:rPr>
            </w:pP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atg-Luther &amp; Maelzer Asia Ltd.</w:t>
            </w:r>
          </w:p>
        </w:tc>
        <w:tc>
          <w:tcPr>
            <w:tcW w:w="3220" w:type="dxa"/>
            <w:vAlign w:val="bottom"/>
          </w:tcPr>
          <w:p>
            <w:pPr>
              <w:ind w:left="380"/>
              <w:spacing w:after="0"/>
              <w:rPr>
                <w:sz w:val="20"/>
                <w:szCs w:val="20"/>
                <w:color w:val="auto"/>
              </w:rPr>
            </w:pPr>
            <w:r>
              <w:rPr>
                <w:rFonts w:ascii="Arial" w:cs="Arial" w:eastAsia="Arial" w:hAnsi="Arial"/>
                <w:sz w:val="18"/>
                <w:szCs w:val="18"/>
                <w:color w:val="auto"/>
              </w:rPr>
              <w:t>Taiwan</w:t>
            </w:r>
          </w:p>
        </w:tc>
      </w:tr>
      <w:tr>
        <w:trPr>
          <w:trHeight w:val="216"/>
        </w:trPr>
        <w:tc>
          <w:tcPr>
            <w:tcW w:w="8020" w:type="dxa"/>
            <w:vAlign w:val="bottom"/>
          </w:tcPr>
          <w:p>
            <w:pPr>
              <w:ind w:left="800"/>
              <w:spacing w:after="0"/>
              <w:rPr>
                <w:sz w:val="20"/>
                <w:szCs w:val="20"/>
                <w:color w:val="auto"/>
              </w:rPr>
            </w:pPr>
            <w:r>
              <w:rPr>
                <w:rFonts w:ascii="Arial" w:cs="Arial" w:eastAsia="Arial" w:hAnsi="Arial"/>
                <w:sz w:val="18"/>
                <w:szCs w:val="18"/>
                <w:color w:val="auto"/>
              </w:rPr>
              <w:t>ETZ Elektrisches Testzentrum fuer Leiterplatten GmbH (15.38% Ownership)</w:t>
            </w:r>
          </w:p>
        </w:tc>
        <w:tc>
          <w:tcPr>
            <w:tcW w:w="3220" w:type="dxa"/>
            <w:vAlign w:val="bottom"/>
          </w:tcPr>
          <w:p>
            <w:pPr>
              <w:ind w:left="380"/>
              <w:spacing w:after="0"/>
              <w:rPr>
                <w:sz w:val="20"/>
                <w:szCs w:val="20"/>
                <w:color w:val="auto"/>
              </w:rPr>
            </w:pPr>
            <w:r>
              <w:rPr>
                <w:rFonts w:ascii="Arial" w:cs="Arial" w:eastAsia="Arial" w:hAnsi="Arial"/>
                <w:sz w:val="18"/>
                <w:szCs w:val="18"/>
                <w:color w:val="auto"/>
              </w:rPr>
              <w:t>Germany</w:t>
            </w: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(7) Multitest GmbH owns the following subsidiaries:</w:t>
            </w:r>
          </w:p>
        </w:tc>
        <w:tc>
          <w:tcPr>
            <w:tcW w:w="3220" w:type="dxa"/>
            <w:vAlign w:val="bottom"/>
          </w:tcPr>
          <w:p>
            <w:pPr>
              <w:spacing w:after="0"/>
              <w:rPr>
                <w:sz w:val="18"/>
                <w:szCs w:val="18"/>
                <w:color w:val="auto"/>
              </w:rPr>
            </w:pPr>
          </w:p>
        </w:tc>
      </w:tr>
      <w:tr>
        <w:trPr>
          <w:trHeight w:val="230"/>
        </w:trPr>
        <w:tc>
          <w:tcPr>
            <w:tcW w:w="8020" w:type="dxa"/>
            <w:vAlign w:val="bottom"/>
          </w:tcPr>
          <w:p>
            <w:pPr>
              <w:ind w:left="800"/>
              <w:spacing w:after="0"/>
              <w:rPr>
                <w:sz w:val="20"/>
                <w:szCs w:val="20"/>
                <w:color w:val="auto"/>
              </w:rPr>
            </w:pPr>
            <w:r>
              <w:rPr>
                <w:rFonts w:ascii="Arial" w:cs="Arial" w:eastAsia="Arial" w:hAnsi="Arial"/>
                <w:sz w:val="18"/>
                <w:szCs w:val="18"/>
                <w:color w:val="auto"/>
              </w:rPr>
              <w:t>Cohu GmbH (FKA: Rasco GmbH) (8)</w:t>
            </w:r>
          </w:p>
        </w:tc>
        <w:tc>
          <w:tcPr>
            <w:tcW w:w="3220" w:type="dxa"/>
            <w:vAlign w:val="bottom"/>
          </w:tcPr>
          <w:p>
            <w:pPr>
              <w:ind w:left="380"/>
              <w:spacing w:after="0"/>
              <w:rPr>
                <w:sz w:val="20"/>
                <w:szCs w:val="20"/>
                <w:color w:val="auto"/>
              </w:rPr>
            </w:pPr>
            <w:r>
              <w:rPr>
                <w:rFonts w:ascii="Arial" w:cs="Arial" w:eastAsia="Arial" w:hAnsi="Arial"/>
                <w:sz w:val="18"/>
                <w:szCs w:val="18"/>
                <w:color w:val="auto"/>
              </w:rPr>
              <w:t>Germany</w:t>
            </w:r>
          </w:p>
        </w:tc>
      </w:tr>
      <w:tr>
        <w:trPr>
          <w:trHeight w:val="574"/>
        </w:trPr>
        <w:tc>
          <w:tcPr>
            <w:tcW w:w="8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(8) Cohu GmbH owns the following subsidiaries:</w:t>
      </w:r>
    </w:p>
    <w:p>
      <w:pPr>
        <w:sectPr>
          <w:pgSz w:w="11900" w:h="16838" w:orient="portrait"/>
          <w:cols w:equalWidth="0" w:num="1">
            <w:col w:w="9879"/>
          </w:cols>
          <w:pgMar w:left="580" w:top="584" w:right="1440" w:bottom="1440" w:gutter="0" w:footer="0" w:header="0"/>
        </w:sectPr>
      </w:pP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Kita Manufacturing Co., LTD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FTZ Fraes-und Techologiezentrum GmbH Frasdorf (39% Ownership)</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ectPr>
          <w:pgSz w:w="11900" w:h="16838" w:orient="portrait"/>
          <w:cols w:equalWidth="0" w:num="2">
            <w:col w:w="7420" w:space="720"/>
            <w:col w:w="1739"/>
          </w:cols>
          <w:pgMar w:left="580" w:top="58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 Cohu Interface Solutions LLC owns the following subsidiaries:</w:t>
      </w:r>
    </w:p>
    <w:p>
      <w:pPr>
        <w:sectPr>
          <w:pgSz w:w="11900" w:h="16838" w:orient="portrait"/>
          <w:cols w:equalWidth="0" w:num="1">
            <w:col w:w="9879"/>
          </w:cols>
          <w:pgMar w:left="580" w:top="584" w:right="1440" w:bottom="1440" w:gutter="0" w:footer="0" w:header="0"/>
          <w:type w:val="continuous"/>
        </w:sectPr>
      </w:pP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Everett Charles Tech, Inc. (FKA: Kita USA,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43" w:lineRule="exact"/>
        <w:rPr>
          <w:sz w:val="20"/>
          <w:szCs w:val="20"/>
          <w:color w:val="auto"/>
        </w:rPr>
      </w:pPr>
    </w:p>
    <w:p>
      <w:pPr>
        <w:sectPr>
          <w:pgSz w:w="11900" w:h="16838" w:orient="portrait"/>
          <w:cols w:equalWidth="0" w:num="2">
            <w:col w:w="7420" w:space="720"/>
            <w:col w:w="1739"/>
          </w:cols>
          <w:pgMar w:left="580" w:top="58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(10) LTX-Credence Sdn BhD. owns the following subsidiaries:</w:t>
      </w:r>
    </w:p>
    <w:p>
      <w:pPr>
        <w:sectPr>
          <w:pgSz w:w="11900" w:h="16838" w:orient="portrait"/>
          <w:cols w:equalWidth="0" w:num="1">
            <w:col w:w="9879"/>
          </w:cols>
          <w:pgMar w:left="580" w:top="584" w:right="1440" w:bottom="1440" w:gutter="0" w:footer="0" w:header="0"/>
          <w:type w:val="continuous"/>
        </w:sectPr>
      </w:pP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LTX Corporation Philippine Branch (11)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Multitest Electronic Systems (Penang) Sdn. Bhd.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ectPr>
          <w:pgSz w:w="11900" w:h="16838" w:orient="portrait"/>
          <w:cols w:equalWidth="0" w:num="2">
            <w:col w:w="7420" w:space="720"/>
            <w:col w:w="1739"/>
          </w:cols>
          <w:pgMar w:left="580" w:top="58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(11) LTX Corporation Philippine Branch owns the following subsidiaries:</w:t>
      </w:r>
    </w:p>
    <w:p>
      <w:pPr>
        <w:sectPr>
          <w:pgSz w:w="11900" w:h="16838" w:orient="portrait"/>
          <w:cols w:equalWidth="0" w:num="1">
            <w:col w:w="9879"/>
          </w:cols>
          <w:pgMar w:left="580" w:top="584" w:right="1440" w:bottom="1440" w:gutter="0" w:footer="0" w:header="0"/>
          <w:type w:val="continuous"/>
        </w:sectPr>
      </w:pP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Multitest Electronic Systems (Philippines) Corporation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ectPr>
          <w:pgSz w:w="11900" w:h="16838" w:orient="portrait"/>
          <w:cols w:equalWidth="0" w:num="2">
            <w:col w:w="7420" w:space="720"/>
            <w:col w:w="1739"/>
          </w:cols>
          <w:pgMar w:left="580" w:top="58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(12) Xcerra International Inc. owns the following subsidiaries:</w:t>
      </w:r>
    </w:p>
    <w:p>
      <w:pPr>
        <w:sectPr>
          <w:pgSz w:w="11900" w:h="16838" w:orient="portrait"/>
          <w:cols w:equalWidth="0" w:num="1">
            <w:col w:w="9879"/>
          </w:cols>
          <w:pgMar w:left="580" w:top="584" w:right="1440" w:bottom="1440" w:gutter="0" w:footer="0" w:header="0"/>
          <w:type w:val="continuous"/>
        </w:sectPr>
      </w:pP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Credence Systems Korea Ltd.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Xcerra International Inc., Taiwan Branch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South Korea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ectPr>
          <w:pgSz w:w="11900" w:h="16838" w:orient="portrait"/>
          <w:cols w:equalWidth="0" w:num="2">
            <w:col w:w="7420" w:space="720"/>
            <w:col w:w="1739"/>
          </w:cols>
          <w:pgMar w:left="580" w:top="58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(13) Credence International Ltd. owns the following subsidiaries:</w:t>
      </w:r>
    </w:p>
    <w:p>
      <w:pPr>
        <w:sectPr>
          <w:pgSz w:w="11900" w:h="16838" w:orient="portrait"/>
          <w:cols w:equalWidth="0" w:num="1">
            <w:col w:w="9879"/>
          </w:cols>
          <w:pgMar w:left="580" w:top="584" w:right="1440" w:bottom="1440" w:gutter="0" w:footer="0" w:header="0"/>
          <w:type w:val="continuous"/>
        </w:sectPr>
      </w:pP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Credence Malta Limited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LTX-Credence Singapore Pte Ltd.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NPTest de Costa Rica SA.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Test Solutions (Suzhou) Co., Ltd.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Cohu Semiconductor (Shenzhen) Co., Ltd (FKA:Everett Charles Technologies (Shenzhen) Limited)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Credence International Ltd., Malaysia Branch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Costa Rica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ectPr>
          <w:pgSz w:w="11900" w:h="16838" w:orient="portrait"/>
          <w:cols w:equalWidth="0" w:num="2">
            <w:col w:w="7720" w:space="420"/>
            <w:col w:w="1739"/>
          </w:cols>
          <w:pgMar w:left="580" w:top="58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(14) Delta Design Philippines LLC owns the following subsidiaries:</w:t>
      </w:r>
    </w:p>
    <w:p>
      <w:pPr>
        <w:sectPr>
          <w:pgSz w:w="11900" w:h="16838" w:orient="portrait"/>
          <w:cols w:equalWidth="0" w:num="1">
            <w:col w:w="9879"/>
          </w:cols>
          <w:pgMar w:left="580" w:top="584" w:right="1440" w:bottom="1440" w:gutter="0" w:footer="0" w:header="0"/>
          <w:type w:val="continuous"/>
        </w:sectPr>
      </w:pP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Delta Design Philippines LLC, Philippines branch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ectPr>
          <w:pgSz w:w="11900" w:h="16838" w:orient="portrait"/>
          <w:cols w:equalWidth="0" w:num="2">
            <w:col w:w="7420" w:space="720"/>
            <w:col w:w="1739"/>
          </w:cols>
          <w:pgMar w:left="580" w:top="584" w:right="1440"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333-237067) of Cohu, Inc, and</w:t>
      </w:r>
    </w:p>
    <w:p>
      <w:pPr>
        <w:spacing w:after="0" w:line="225"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Registration Statements (Form S-8 Nos. 333-233080, 333-207016, 333-62803, 333-27663, 333-40610, 333-66466, 333-97449, 333-117554, 333-132605, 333-142579, 333-160760, 333-177453 and 333-186973) pertaining to the 1996 and 1998 Stock Option Plans, 1996 Outside Directors Stock Option Plan, 1997 Employee Stock Purchase Plan, and 2005 Equity Incentive Plan of Cohu, Inc.;</w:t>
      </w:r>
    </w:p>
    <w:p>
      <w:pPr>
        <w:spacing w:after="0" w:line="16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of our reports dated February 26, 2021, with respect to the consolidated financial statements and schedule of Cohu, Inc., and the effectiveness of internal control over financial reporting of Cohu, Inc., included in this Annual Report (Form 10-K) of Cohu, Inc. for the year ended December 26,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Luis A. Müller, certify that:</w:t>
      </w:r>
    </w:p>
    <w:p>
      <w:pPr>
        <w:spacing w:after="0" w:line="225" w:lineRule="exact"/>
        <w:rPr>
          <w:sz w:val="20"/>
          <w:szCs w:val="20"/>
          <w:color w:val="auto"/>
        </w:rPr>
      </w:pPr>
    </w:p>
    <w:p>
      <w:pPr>
        <w:ind w:left="460" w:hanging="18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260" w:firstLine="278"/>
        <w:spacing w:after="0" w:line="342" w:lineRule="auto"/>
        <w:tabs>
          <w:tab w:leader="none" w:pos="45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278"/>
        <w:spacing w:after="0" w:line="277" w:lineRule="auto"/>
        <w:tabs>
          <w:tab w:leader="none" w:pos="4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hanging="182"/>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ind w:left="660" w:right="38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278"/>
        <w:spacing w:after="0" w:line="308" w:lineRule="auto"/>
        <w:tabs>
          <w:tab w:leader="none" w:pos="45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25" w:lineRule="exact"/>
        <w:rPr>
          <w:sz w:val="20"/>
          <w:szCs w:val="20"/>
          <w:color w:val="auto"/>
        </w:rPr>
      </w:pPr>
    </w:p>
    <w:p>
      <w:pPr>
        <w:ind w:left="460" w:hanging="18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260" w:firstLine="278"/>
        <w:spacing w:after="0" w:line="342" w:lineRule="auto"/>
        <w:tabs>
          <w:tab w:leader="none" w:pos="45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278"/>
        <w:spacing w:after="0" w:line="277" w:lineRule="auto"/>
        <w:tabs>
          <w:tab w:leader="none" w:pos="4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hanging="182"/>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ind w:left="660" w:right="380" w:hanging="328"/>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278"/>
        <w:spacing w:after="0" w:line="308" w:lineRule="auto"/>
        <w:tabs>
          <w:tab w:leader="none" w:pos="45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right="3740"/>
        <w:spacing w:after="0" w:line="282"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66" w:lineRule="exact"/>
        <w:rPr>
          <w:sz w:val="20"/>
          <w:szCs w:val="20"/>
          <w:color w:val="auto"/>
        </w:rPr>
      </w:pPr>
    </w:p>
    <w:p>
      <w:pPr>
        <w:jc w:val="both"/>
        <w:ind w:right="240" w:firstLine="270"/>
        <w:spacing w:after="0" w:line="263"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26, 2020 (the "Report"), I, Luis A. Müller, President and Chief Executive Officer of the Company, certify, pursuant to 18 U.S.C. Section 1350, as adopted pursuant to Section 906 of the Sarbanes-Oxley Act of 2002, that, based on my knowledge:</w:t>
      </w:r>
    </w:p>
    <w:p>
      <w:pPr>
        <w:spacing w:after="0" w:line="184"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40" w:firstLine="8"/>
        <w:spacing w:after="0" w:line="500"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26,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right="3740"/>
        <w:spacing w:after="0" w:line="282"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66" w:lineRule="exact"/>
        <w:rPr>
          <w:sz w:val="20"/>
          <w:szCs w:val="20"/>
          <w:color w:val="auto"/>
        </w:rPr>
      </w:pPr>
    </w:p>
    <w:p>
      <w:pPr>
        <w:ind w:right="120" w:firstLine="270"/>
        <w:spacing w:after="0" w:line="263"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26, 2020 (the "Report"), I, Jeffrey D. Jones, Vice President Finance and Chief Financial Officer of the Company, certify, pursuant to 18 U.S.C. Section 1350, as adopted pursuant to Section 906 of the Sarbanes-Oxley Act of 2002, that, based on my knowledge:</w:t>
      </w:r>
    </w:p>
    <w:p>
      <w:pPr>
        <w:spacing w:after="0" w:line="184"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40" w:firstLine="8"/>
        <w:spacing w:after="0" w:line="500"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26,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lowerLetter"/>
      <w:start w:val="1"/>
    </w:lvl>
    <w:lvl w:ilvl="1">
      <w:lvlJc w:val="left"/>
      <w:lvlText w:val="(%2)"/>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2"/>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4"/>
    </w:lvl>
  </w:abstractNum>
  <w:abstractNum w:abstractNumId="31">
    <w:nsid w:val="6A2342EC"/>
    <w:multiLevelType w:val="hybridMultilevel"/>
    <w:lvl w:ilvl="0">
      <w:lvlJc w:val="left"/>
      <w:lvlText w:val="%1."/>
      <w:numFmt w:val="decimal"/>
      <w:start w:val="5"/>
    </w:lvl>
  </w:abstractNum>
  <w:abstractNum w:abstractNumId="32">
    <w:nsid w:val="2A487CB0"/>
    <w:multiLevelType w:val="hybridMultilevel"/>
    <w:lvl w:ilvl="0">
      <w:lvlJc w:val="left"/>
      <w:lvlText w:val="%1."/>
      <w:numFmt w:val="decimal"/>
      <w:start w:val="6"/>
    </w:lvl>
  </w:abstractNum>
  <w:abstractNum w:abstractNumId="33">
    <w:nsid w:val="1D4ED43B"/>
    <w:multiLevelType w:val="hybridMultilevel"/>
    <w:lvl w:ilvl="0">
      <w:lvlJc w:val="left"/>
      <w:lvlText w:val="%1."/>
      <w:numFmt w:val="decimal"/>
      <w:start w:val="7"/>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9"/>
    </w:lvl>
  </w:abstractNum>
  <w:abstractNum w:abstractNumId="36">
    <w:nsid w:val="57E4CCAF"/>
    <w:multiLevelType w:val="hybridMultilevel"/>
    <w:lvl w:ilvl="0">
      <w:lvlJc w:val="left"/>
      <w:lvlText w:val="%1."/>
      <w:numFmt w:val="decimal"/>
      <w:start w:val="10"/>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2"/>
    </w:lvl>
  </w:abstractNum>
  <w:abstractNum w:abstractNumId="40">
    <w:nsid w:val="6DE91B18"/>
    <w:multiLevelType w:val="hybridMultilevel"/>
    <w:lvl w:ilvl="0">
      <w:lvlJc w:val="left"/>
      <w:lvlText w:val="%1."/>
      <w:numFmt w:val="decimal"/>
      <w:start w:val="14"/>
    </w:lvl>
  </w:abstractNum>
  <w:abstractNum w:abstractNumId="41">
    <w:nsid w:val="38437FDB"/>
    <w:multiLevelType w:val="hybridMultilevel"/>
    <w:lvl w:ilvl="0">
      <w:lvlJc w:val="left"/>
      <w:lvlText w:val="%1."/>
      <w:numFmt w:val="decimal"/>
      <w:start w:val="15"/>
    </w:lvl>
  </w:abstractNum>
  <w:abstractNum w:abstractNumId="42">
    <w:nsid w:val="7644A45C"/>
    <w:multiLevelType w:val="hybridMultilevel"/>
    <w:lvl w:ilvl="0">
      <w:lvlJc w:val="left"/>
      <w:lvlText w:val="%1."/>
      <w:numFmt w:val="decimal"/>
      <w:start w:val="16"/>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decimal"/>
      <w:start w:val="21"/>
    </w:lvl>
  </w:abstractNum>
  <w:abstractNum w:abstractNumId="45">
    <w:nsid w:val="579478FE"/>
    <w:multiLevelType w:val="hybridMultilevel"/>
    <w:lvl w:ilvl="0">
      <w:lvlJc w:val="left"/>
      <w:lvlText w:val="%1"/>
      <w:numFmt w:val="decimal"/>
      <w:start w:val="23"/>
    </w:lvl>
  </w:abstractNum>
  <w:abstractNum w:abstractNumId="46">
    <w:nsid w:val="749ABB43"/>
    <w:multiLevelType w:val="hybridMultilevel"/>
    <w:lvl w:ilvl="0">
      <w:lvlJc w:val="left"/>
      <w:lvlText w:val="%1"/>
      <w:numFmt w:val="decimal"/>
      <w:start w:val="104"/>
    </w:lvl>
    <w:lvl w:ilvl="1">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3"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42" Type="http://schemas.openxmlformats.org/officeDocument/2006/relationships/hyperlink" Target="http://www.sec.gov/Archives/edgar/data/21535/000143774918010242/ex_114752.htm" TargetMode="External"/><Relationship Id="rId143" Type="http://schemas.openxmlformats.org/officeDocument/2006/relationships/hyperlink" Target="http://www.sec.gov/Archives/edgar/data/21535/000143774918010242/ex_114753.htm" TargetMode="External"/><Relationship Id="rId144" Type="http://schemas.openxmlformats.org/officeDocument/2006/relationships/hyperlink" Target="http://www.sec.gov/Archives/edgar/data/21535/000143774920004691/ex_175328.htm" TargetMode="External"/><Relationship Id="rId145" Type="http://schemas.openxmlformats.org/officeDocument/2006/relationships/hyperlink" Target="http://www.sec.gov/Archives/edgar/data/21535/000143774918019867/ex_127319.htm" TargetMode="External"/><Relationship Id="rId146" Type="http://schemas.openxmlformats.org/officeDocument/2006/relationships/hyperlink" Target="http://www.sec.gov/Archives/edgar/data/21535/000143774918019867/ex_128427.htm" TargetMode="External"/><Relationship Id="rId147" Type="http://schemas.openxmlformats.org/officeDocument/2006/relationships/hyperlink" Target="http://www.sec.gov/Archives/edgar/data/21535/000119312515186121/d925495dex101.htm" TargetMode="External"/><Relationship Id="rId148" Type="http://schemas.openxmlformats.org/officeDocument/2006/relationships/hyperlink" Target="http://www.sec.gov/Archives/edgar/data/21535/000119312515186121/d925495dex102.htm" TargetMode="External"/><Relationship Id="rId149" Type="http://schemas.openxmlformats.org/officeDocument/2006/relationships/hyperlink" Target="http://www.sec.gov/Archives/edgar/data/21535/000129993308006069/exhibit1.htm" TargetMode="External"/><Relationship Id="rId150" Type="http://schemas.openxmlformats.org/officeDocument/2006/relationships/hyperlink" Target="http://www.sec.gov/Archives/edgar/data/21535/000143774915014704/ex10-1.htm" TargetMode="External"/><Relationship Id="rId151" Type="http://schemas.openxmlformats.org/officeDocument/2006/relationships/hyperlink" Target="http://www.sec.gov/Archives/edgar/data/21535/000143774915014704/ex10-2.htm" TargetMode="External"/><Relationship Id="rId152" Type="http://schemas.openxmlformats.org/officeDocument/2006/relationships/hyperlink" Target="http://www.sec.gov/Archives/edgar/data/21535/000143774915014704/ex10-3.htm" TargetMode="External"/><Relationship Id="rId154" Type="http://schemas.openxmlformats.org/officeDocument/2006/relationships/hyperlink" Target="http://www.sec.gov/Archives/edgar/data/21535/000143774915014704/ex10-4.htm" TargetMode="External"/><Relationship Id="rId155" Type="http://schemas.openxmlformats.org/officeDocument/2006/relationships/hyperlink" Target="http://www.sec.gov/Archives/edgar/data/21535/000143774915014704/ex10-5.htm" TargetMode="External"/><Relationship Id="rId156" Type="http://schemas.openxmlformats.org/officeDocument/2006/relationships/hyperlink" Target="http://www.sec.gov/Archives/edgar/data/21535/000143774915014704/ex10-6.htm" TargetMode="External"/><Relationship Id="rId157" Type="http://schemas.openxmlformats.org/officeDocument/2006/relationships/hyperlink" Target="http://www.sec.gov/Archives/edgar/data/21535/000119312512328181/d389474dex991.htm" TargetMode="External"/><Relationship Id="rId158" Type="http://schemas.openxmlformats.org/officeDocument/2006/relationships/hyperlink" Target="http://www.sec.gov/Archives/edgar/data/21535/000143774918021982/ex_131577.htm" TargetMode="External"/><Relationship Id="rId159" Type="http://schemas.openxmlformats.org/officeDocument/2006/relationships/hyperlink" Target="http://www.sec.gov/Archives/edgar/data/21535/000129993308006069/exhibit2.htm" TargetMode="External"/><Relationship Id="rId160" Type="http://schemas.openxmlformats.org/officeDocument/2006/relationships/hyperlink" Target="http://www.sec.gov/Archives/edgar/data/21535/000143774916025855/ex10-14.htm" TargetMode="External"/><Relationship Id="rId161" Type="http://schemas.openxmlformats.org/officeDocument/2006/relationships/hyperlink" Target="http://www.sec.gov/Archives/edgar/data/21535/000143774920022546/ex_210808.htm" TargetMode="External"/><Relationship Id="rId162" Type="http://schemas.openxmlformats.org/officeDocument/2006/relationships/hyperlink" Target="http://www.sec.gov/Archives/edgar/data/21535/000143774920022546/ex_210809.htm" TargetMode="External"/><Relationship Id="rId163" Type="http://schemas.openxmlformats.org/officeDocument/2006/relationships/hyperlink" Target="http://www.sec.gov/Archives/edgar/data/21535/000143774920022546/ex_210810.htm" TargetMode="External"/><Relationship Id="rId164" Type="http://schemas.openxmlformats.org/officeDocument/2006/relationships/hyperlink" Target="http://www.sec.gov/Archives/edgar/data/21535/000143774920022546/ex_210811.htm" TargetMode="External"/><Relationship Id="rId165" Type="http://schemas.openxmlformats.org/officeDocument/2006/relationships/hyperlink" Target="http://www.sec.gov/Archives/edgar/data/21535/000143774920022546/ex_210812.htm" TargetMode="External"/><Relationship Id="rId166" Type="http://schemas.openxmlformats.org/officeDocument/2006/relationships/hyperlink" Target="http://www.sec.gov/Archives/edgar/data/21535/000143774920022546/ex_210813.htm" TargetMode="External"/><Relationship Id="rId167" Type="http://schemas.openxmlformats.org/officeDocument/2006/relationships/hyperlink" Target="http://www.sec.gov/Archives/edgar/data/21535/000143774920022546/ex_210814.htm" TargetMode="External"/><Relationship Id="rId168" Type="http://schemas.openxmlformats.org/officeDocument/2006/relationships/hyperlink" Target="http://www.sec.gov/Archives/edgar/data/21535/000143774920022546/ex_210815.htm" TargetMode="External"/><Relationship Id="rId169" Type="http://schemas.openxmlformats.org/officeDocument/2006/relationships/hyperlink" Target="http://www.sec.gov/Archives/edgar/data/21535/000143774920022546/ex_2108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2021-02-26T19:05:01Z</dcterms:created>
  <dcterms:modified xsi:type="dcterms:W3CDTF">2021-02-26T19:05:01Z</dcterms:modified>
</cp:coreProperties>
</file>