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UNITED STATES</w:t>
      </w:r>
    </w:p>
    <w:p>
      <w:pPr>
        <w:jc w:val="center"/>
        <w:ind w:right="-17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1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February 11, 2021</w:t>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920" w:type="dxa"/>
            <w:vAlign w:val="bottom"/>
            <w:gridSpan w:val="4"/>
          </w:tcPr>
          <w:p>
            <w:pPr>
              <w:jc w:val="center"/>
              <w:ind w:left="510"/>
              <w:spacing w:after="0"/>
              <w:rPr>
                <w:sz w:val="20"/>
                <w:szCs w:val="20"/>
                <w:color w:val="auto"/>
              </w:rPr>
            </w:pPr>
            <w:r>
              <w:rPr>
                <w:rFonts w:ascii="Arial" w:cs="Arial" w:eastAsia="Arial" w:hAnsi="Arial"/>
                <w:sz w:val="18"/>
                <w:szCs w:val="18"/>
                <w:color w:val="auto"/>
                <w:w w:val="90"/>
              </w:rPr>
              <w:t>(Exact name of registrant as specified in its charter)</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1480" w:type="dxa"/>
            <w:vAlign w:val="bottom"/>
          </w:tcPr>
          <w:p>
            <w:pPr>
              <w:spacing w:after="0"/>
              <w:rPr>
                <w:sz w:val="24"/>
                <w:szCs w:val="24"/>
                <w:color w:val="auto"/>
              </w:rPr>
            </w:pPr>
          </w:p>
        </w:tc>
        <w:tc>
          <w:tcPr>
            <w:tcW w:w="3420" w:type="dxa"/>
            <w:vAlign w:val="bottom"/>
            <w:gridSpan w:val="2"/>
          </w:tcPr>
          <w:p>
            <w:pPr>
              <w:jc w:val="center"/>
              <w:ind w:right="1990"/>
              <w:spacing w:after="0"/>
              <w:rPr>
                <w:sz w:val="20"/>
                <w:szCs w:val="20"/>
                <w:color w:val="auto"/>
              </w:rPr>
            </w:pPr>
            <w:r>
              <w:rPr>
                <w:rFonts w:ascii="Arial" w:cs="Arial" w:eastAsia="Arial" w:hAnsi="Arial"/>
                <w:sz w:val="18"/>
                <w:szCs w:val="18"/>
                <w:color w:val="auto"/>
                <w:w w:val="92"/>
              </w:rPr>
              <w:t>Delaware</w:t>
            </w:r>
          </w:p>
        </w:tc>
        <w:tc>
          <w:tcPr>
            <w:tcW w:w="1760" w:type="dxa"/>
            <w:vAlign w:val="bottom"/>
            <w:gridSpan w:val="2"/>
          </w:tcPr>
          <w:p>
            <w:pPr>
              <w:jc w:val="right"/>
              <w:ind w:right="110"/>
              <w:spacing w:after="0"/>
              <w:rPr>
                <w:sz w:val="20"/>
                <w:szCs w:val="20"/>
                <w:color w:val="auto"/>
              </w:rPr>
            </w:pPr>
            <w:r>
              <w:rPr>
                <w:rFonts w:ascii="Arial" w:cs="Arial" w:eastAsia="Arial" w:hAnsi="Arial"/>
                <w:sz w:val="18"/>
                <w:szCs w:val="18"/>
                <w:color w:val="auto"/>
              </w:rPr>
              <w:t>001-04298</w:t>
            </w:r>
          </w:p>
        </w:tc>
        <w:tc>
          <w:tcPr>
            <w:tcW w:w="1120" w:type="dxa"/>
            <w:vAlign w:val="bottom"/>
          </w:tcPr>
          <w:p>
            <w:pPr>
              <w:spacing w:after="0"/>
              <w:rPr>
                <w:sz w:val="24"/>
                <w:szCs w:val="24"/>
                <w:color w:val="auto"/>
              </w:rPr>
            </w:pPr>
          </w:p>
        </w:tc>
        <w:tc>
          <w:tcPr>
            <w:tcW w:w="2260" w:type="dxa"/>
            <w:vAlign w:val="bottom"/>
            <w:gridSpan w:val="4"/>
          </w:tcPr>
          <w:p>
            <w:pPr>
              <w:jc w:val="center"/>
              <w:ind w:left="1170"/>
              <w:spacing w:after="0"/>
              <w:rPr>
                <w:sz w:val="20"/>
                <w:szCs w:val="20"/>
                <w:color w:val="auto"/>
              </w:rPr>
            </w:pPr>
            <w:r>
              <w:rPr>
                <w:rFonts w:ascii="Arial" w:cs="Arial" w:eastAsia="Arial" w:hAnsi="Arial"/>
                <w:sz w:val="18"/>
                <w:szCs w:val="18"/>
                <w:color w:val="auto"/>
                <w:w w:val="91"/>
              </w:rPr>
              <w:t>95-1934119</w:t>
            </w:r>
          </w:p>
        </w:tc>
        <w:tc>
          <w:tcPr>
            <w:tcW w:w="220" w:type="dxa"/>
            <w:vAlign w:val="bottom"/>
          </w:tcPr>
          <w:p>
            <w:pPr>
              <w:spacing w:after="0"/>
              <w:rPr>
                <w:sz w:val="24"/>
                <w:szCs w:val="24"/>
                <w:color w:val="auto"/>
              </w:rPr>
            </w:pPr>
          </w:p>
        </w:tc>
      </w:tr>
      <w:tr>
        <w:trPr>
          <w:trHeight w:val="216"/>
        </w:trPr>
        <w:tc>
          <w:tcPr>
            <w:tcW w:w="4900" w:type="dxa"/>
            <w:vAlign w:val="bottom"/>
            <w:gridSpan w:val="3"/>
          </w:tcPr>
          <w:p>
            <w:pPr>
              <w:jc w:val="right"/>
              <w:ind w:right="1710"/>
              <w:spacing w:after="0"/>
              <w:rPr>
                <w:sz w:val="20"/>
                <w:szCs w:val="20"/>
                <w:color w:val="auto"/>
              </w:rPr>
            </w:pPr>
            <w:r>
              <w:rPr>
                <w:rFonts w:ascii="Arial" w:cs="Arial" w:eastAsia="Arial" w:hAnsi="Arial"/>
                <w:sz w:val="18"/>
                <w:szCs w:val="18"/>
                <w:color w:val="auto"/>
              </w:rPr>
              <w:t>_____________________</w:t>
            </w:r>
          </w:p>
        </w:tc>
        <w:tc>
          <w:tcPr>
            <w:tcW w:w="2880" w:type="dxa"/>
            <w:vAlign w:val="bottom"/>
            <w:gridSpan w:val="3"/>
          </w:tcPr>
          <w:p>
            <w:pPr>
              <w:jc w:val="right"/>
              <w:ind w:right="1120"/>
              <w:spacing w:after="0"/>
              <w:rPr>
                <w:sz w:val="20"/>
                <w:szCs w:val="20"/>
                <w:color w:val="auto"/>
              </w:rPr>
            </w:pPr>
            <w:r>
              <w:rPr>
                <w:rFonts w:ascii="Arial" w:cs="Arial" w:eastAsia="Arial" w:hAnsi="Arial"/>
                <w:sz w:val="18"/>
                <w:szCs w:val="18"/>
                <w:color w:val="auto"/>
              </w:rPr>
              <w:t>_____________</w:t>
            </w:r>
          </w:p>
        </w:tc>
        <w:tc>
          <w:tcPr>
            <w:tcW w:w="2480" w:type="dxa"/>
            <w:vAlign w:val="bottom"/>
            <w:gridSpan w:val="5"/>
          </w:tcPr>
          <w:p>
            <w:pPr>
              <w:jc w:val="center"/>
              <w:ind w:left="930"/>
              <w:spacing w:after="0"/>
              <w:rPr>
                <w:sz w:val="20"/>
                <w:szCs w:val="20"/>
                <w:color w:val="auto"/>
              </w:rPr>
            </w:pPr>
            <w:r>
              <w:rPr>
                <w:rFonts w:ascii="Arial" w:cs="Arial" w:eastAsia="Arial" w:hAnsi="Arial"/>
                <w:sz w:val="18"/>
                <w:szCs w:val="18"/>
                <w:color w:val="auto"/>
                <w:w w:val="89"/>
              </w:rPr>
              <w:t>______________</w:t>
            </w:r>
          </w:p>
        </w:tc>
      </w:tr>
      <w:tr>
        <w:trPr>
          <w:trHeight w:val="216"/>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2"/>
              </w:rPr>
              <w:t>(State or other jurisdiction</w:t>
            </w:r>
          </w:p>
        </w:tc>
        <w:tc>
          <w:tcPr>
            <w:tcW w:w="400" w:type="dxa"/>
            <w:vAlign w:val="bottom"/>
          </w:tcPr>
          <w:p>
            <w:pPr>
              <w:spacing w:after="0"/>
              <w:rPr>
                <w:sz w:val="18"/>
                <w:szCs w:val="18"/>
                <w:color w:val="auto"/>
              </w:rPr>
            </w:pPr>
          </w:p>
        </w:tc>
        <w:tc>
          <w:tcPr>
            <w:tcW w:w="2480" w:type="dxa"/>
            <w:vAlign w:val="bottom"/>
            <w:gridSpan w:val="2"/>
          </w:tcPr>
          <w:p>
            <w:pPr>
              <w:ind w:left="280"/>
              <w:spacing w:after="0"/>
              <w:rPr>
                <w:sz w:val="20"/>
                <w:szCs w:val="20"/>
                <w:color w:val="auto"/>
              </w:rPr>
            </w:pPr>
            <w:r>
              <w:rPr>
                <w:rFonts w:ascii="Arial" w:cs="Arial" w:eastAsia="Arial" w:hAnsi="Arial"/>
                <w:sz w:val="18"/>
                <w:szCs w:val="18"/>
                <w:color w:val="auto"/>
              </w:rPr>
              <w:t>(Commission</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1480" w:type="dxa"/>
            <w:vAlign w:val="bottom"/>
          </w:tcPr>
          <w:p>
            <w:pPr>
              <w:spacing w:after="0"/>
              <w:rPr>
                <w:sz w:val="20"/>
                <w:szCs w:val="20"/>
                <w:color w:val="auto"/>
              </w:rPr>
            </w:pPr>
          </w:p>
        </w:tc>
        <w:tc>
          <w:tcPr>
            <w:tcW w:w="3420" w:type="dxa"/>
            <w:vAlign w:val="bottom"/>
            <w:gridSpan w:val="2"/>
          </w:tcPr>
          <w:p>
            <w:pPr>
              <w:jc w:val="center"/>
              <w:ind w:right="1990"/>
              <w:spacing w:after="0"/>
              <w:rPr>
                <w:sz w:val="20"/>
                <w:szCs w:val="20"/>
                <w:color w:val="auto"/>
              </w:rPr>
            </w:pPr>
            <w:r>
              <w:rPr>
                <w:rFonts w:ascii="Arial" w:cs="Arial" w:eastAsia="Arial" w:hAnsi="Arial"/>
                <w:sz w:val="18"/>
                <w:szCs w:val="18"/>
                <w:color w:val="auto"/>
                <w:w w:val="93"/>
              </w:rPr>
              <w:t>of incorporation)</w:t>
            </w:r>
          </w:p>
        </w:tc>
        <w:tc>
          <w:tcPr>
            <w:tcW w:w="400" w:type="dxa"/>
            <w:vAlign w:val="bottom"/>
          </w:tcPr>
          <w:p>
            <w:pPr>
              <w:spacing w:after="0"/>
              <w:rPr>
                <w:sz w:val="20"/>
                <w:szCs w:val="20"/>
                <w:color w:val="auto"/>
              </w:rPr>
            </w:pPr>
          </w:p>
        </w:tc>
        <w:tc>
          <w:tcPr>
            <w:tcW w:w="2480" w:type="dxa"/>
            <w:vAlign w:val="bottom"/>
            <w:gridSpan w:val="2"/>
          </w:tcPr>
          <w:p>
            <w:pPr>
              <w:ind w:left="280"/>
              <w:spacing w:after="0"/>
              <w:rPr>
                <w:sz w:val="20"/>
                <w:szCs w:val="20"/>
                <w:color w:val="auto"/>
              </w:rPr>
            </w:pPr>
            <w:r>
              <w:rPr>
                <w:rFonts w:ascii="Arial" w:cs="Arial" w:eastAsia="Arial" w:hAnsi="Arial"/>
                <w:sz w:val="18"/>
                <w:szCs w:val="18"/>
                <w:color w:val="auto"/>
              </w:rPr>
              <w:t>File Number)</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900" w:type="dxa"/>
            <w:vAlign w:val="bottom"/>
            <w:gridSpan w:val="3"/>
          </w:tcPr>
          <w:p>
            <w:pPr>
              <w:jc w:val="center"/>
              <w:ind w:right="490"/>
              <w:spacing w:after="0"/>
              <w:rPr>
                <w:sz w:val="20"/>
                <w:szCs w:val="20"/>
                <w:color w:val="auto"/>
              </w:rPr>
            </w:pPr>
            <w:r>
              <w:rPr>
                <w:rFonts w:ascii="Arial" w:cs="Arial" w:eastAsia="Arial" w:hAnsi="Arial"/>
                <w:sz w:val="18"/>
                <w:szCs w:val="18"/>
                <w:color w:val="auto"/>
                <w:w w:val="92"/>
              </w:rPr>
              <w:t>12367 Crosthwaite Circle, Poway, California</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gridSpan w:val="4"/>
          </w:tcPr>
          <w:p>
            <w:pPr>
              <w:jc w:val="center"/>
              <w:ind w:left="1170"/>
              <w:spacing w:after="0"/>
              <w:rPr>
                <w:sz w:val="20"/>
                <w:szCs w:val="20"/>
                <w:color w:val="auto"/>
              </w:rPr>
            </w:pPr>
            <w:r>
              <w:rPr>
                <w:rFonts w:ascii="Arial" w:cs="Arial" w:eastAsia="Arial" w:hAnsi="Arial"/>
                <w:sz w:val="18"/>
                <w:szCs w:val="18"/>
                <w:color w:val="auto"/>
                <w:w w:val="87"/>
              </w:rPr>
              <w:t>92064</w:t>
            </w:r>
          </w:p>
        </w:tc>
        <w:tc>
          <w:tcPr>
            <w:tcW w:w="220" w:type="dxa"/>
            <w:vAlign w:val="bottom"/>
          </w:tcPr>
          <w:p>
            <w:pPr>
              <w:spacing w:after="0"/>
              <w:rPr>
                <w:sz w:val="24"/>
                <w:szCs w:val="24"/>
                <w:color w:val="auto"/>
              </w:rPr>
            </w:pPr>
          </w:p>
        </w:tc>
      </w:tr>
      <w:tr>
        <w:trPr>
          <w:trHeight w:val="216"/>
        </w:trPr>
        <w:tc>
          <w:tcPr>
            <w:tcW w:w="4900" w:type="dxa"/>
            <w:vAlign w:val="bottom"/>
            <w:gridSpan w:val="3"/>
          </w:tcPr>
          <w:p>
            <w:pPr>
              <w:jc w:val="right"/>
              <w:ind w:right="1170"/>
              <w:spacing w:after="0"/>
              <w:rPr>
                <w:sz w:val="20"/>
                <w:szCs w:val="20"/>
                <w:color w:val="auto"/>
              </w:rPr>
            </w:pPr>
            <w:r>
              <w:rPr>
                <w:rFonts w:ascii="Arial" w:cs="Arial" w:eastAsia="Arial" w:hAnsi="Arial"/>
                <w:sz w:val="18"/>
                <w:szCs w:val="18"/>
                <w:color w:val="auto"/>
              </w:rPr>
              <w:t>_________________________________</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60" w:type="dxa"/>
            <w:vAlign w:val="bottom"/>
            <w:gridSpan w:val="4"/>
          </w:tcPr>
          <w:p>
            <w:pPr>
              <w:jc w:val="center"/>
              <w:ind w:left="1170"/>
              <w:spacing w:after="0"/>
              <w:rPr>
                <w:sz w:val="20"/>
                <w:szCs w:val="20"/>
                <w:color w:val="auto"/>
              </w:rPr>
            </w:pPr>
            <w:r>
              <w:rPr>
                <w:rFonts w:ascii="Arial" w:cs="Arial" w:eastAsia="Arial" w:hAnsi="Arial"/>
                <w:sz w:val="18"/>
                <w:szCs w:val="18"/>
                <w:color w:val="auto"/>
                <w:w w:val="90"/>
              </w:rPr>
              <w:t>___________</w:t>
            </w:r>
          </w:p>
        </w:tc>
        <w:tc>
          <w:tcPr>
            <w:tcW w:w="220" w:type="dxa"/>
            <w:vAlign w:val="bottom"/>
          </w:tcPr>
          <w:p>
            <w:pPr>
              <w:spacing w:after="0"/>
              <w:rPr>
                <w:sz w:val="18"/>
                <w:szCs w:val="18"/>
                <w:color w:val="auto"/>
              </w:rPr>
            </w:pPr>
          </w:p>
        </w:tc>
      </w:tr>
      <w:tr>
        <w:trPr>
          <w:trHeight w:val="230"/>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2"/>
              </w:rPr>
              <w:t>(Address of principal executive offices)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32"/>
        </w:trPr>
        <w:tc>
          <w:tcPr>
            <w:tcW w:w="4900" w:type="dxa"/>
            <w:vAlign w:val="bottom"/>
            <w:gridSpan w:val="3"/>
          </w:tcPr>
          <w:p>
            <w:pPr>
              <w:ind w:left="1000"/>
              <w:spacing w:after="0"/>
              <w:rPr>
                <w:sz w:val="20"/>
                <w:szCs w:val="20"/>
                <w:color w:val="auto"/>
              </w:rPr>
            </w:pPr>
            <w:r>
              <w:rPr>
                <w:rFonts w:ascii="Arial" w:cs="Arial" w:eastAsia="Arial" w:hAnsi="Arial"/>
                <w:sz w:val="18"/>
                <w:szCs w:val="18"/>
                <w:color w:val="auto"/>
                <w:w w:val="93"/>
              </w:rPr>
              <w:t>Registrant’s telephone number, including area code:</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color w:val="auto"/>
              </w:rPr>
              <w:t>858-848-8100</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8"/>
        </w:trPr>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80" w:type="dxa"/>
            <w:vAlign w:val="bottom"/>
            <w:gridSpan w:val="3"/>
          </w:tcPr>
          <w:p>
            <w:pPr>
              <w:jc w:val="center"/>
              <w:ind w:right="1420"/>
              <w:spacing w:after="0"/>
              <w:rPr>
                <w:sz w:val="20"/>
                <w:szCs w:val="20"/>
                <w:color w:val="auto"/>
              </w:rPr>
            </w:pPr>
            <w:r>
              <w:rPr>
                <w:rFonts w:ascii="Arial" w:cs="Arial" w:eastAsia="Arial" w:hAnsi="Arial"/>
                <w:sz w:val="18"/>
                <w:szCs w:val="18"/>
                <w:color w:val="auto"/>
                <w:w w:val="94"/>
              </w:rPr>
              <w:t>Not Applicable</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7780" w:type="dxa"/>
            <w:vAlign w:val="bottom"/>
            <w:gridSpan w:val="6"/>
          </w:tcPr>
          <w:p>
            <w:pPr>
              <w:jc w:val="center"/>
              <w:ind w:left="3390"/>
              <w:spacing w:after="0"/>
              <w:rPr>
                <w:sz w:val="20"/>
                <w:szCs w:val="20"/>
                <w:color w:val="auto"/>
              </w:rPr>
            </w:pPr>
            <w:r>
              <w:rPr>
                <w:rFonts w:ascii="Arial" w:cs="Arial" w:eastAsia="Arial" w:hAnsi="Arial"/>
                <w:sz w:val="18"/>
                <w:szCs w:val="18"/>
                <w:color w:val="auto"/>
                <w:w w:val="89"/>
              </w:rPr>
              <w:t>______________________________________________</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920" w:type="dxa"/>
            <w:vAlign w:val="bottom"/>
            <w:gridSpan w:val="4"/>
          </w:tcPr>
          <w:p>
            <w:pPr>
              <w:jc w:val="center"/>
              <w:ind w:left="53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1"/>
        </w:trPr>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120" w:type="dxa"/>
            <w:vAlign w:val="bottom"/>
          </w:tcPr>
          <w:p>
            <w:pPr>
              <w:spacing w:after="0"/>
              <w:rPr>
                <w:sz w:val="24"/>
                <w:szCs w:val="24"/>
                <w:color w:val="auto"/>
              </w:rPr>
            </w:pPr>
          </w:p>
        </w:tc>
        <w:tc>
          <w:tcPr>
            <w:tcW w:w="2480" w:type="dxa"/>
            <w:vAlign w:val="bottom"/>
            <w:gridSpan w:val="5"/>
          </w:tcPr>
          <w:p>
            <w:pPr>
              <w:jc w:val="center"/>
              <w:spacing w:after="0"/>
              <w:rPr>
                <w:sz w:val="20"/>
                <w:szCs w:val="20"/>
                <w:color w:val="auto"/>
              </w:rPr>
            </w:pPr>
            <w:r>
              <w:rPr>
                <w:rFonts w:ascii="Arial" w:cs="Arial" w:eastAsia="Arial" w:hAnsi="Arial"/>
                <w:sz w:val="18"/>
                <w:szCs w:val="18"/>
                <w:color w:val="auto"/>
                <w:w w:val="89"/>
              </w:rPr>
              <w:t>Name of exchange on which</w:t>
            </w:r>
          </w:p>
        </w:tc>
      </w:tr>
      <w:tr>
        <w:trPr>
          <w:trHeight w:val="196"/>
        </w:trPr>
        <w:tc>
          <w:tcPr>
            <w:tcW w:w="1480" w:type="dxa"/>
            <w:vAlign w:val="bottom"/>
          </w:tcPr>
          <w:p>
            <w:pPr>
              <w:spacing w:after="0"/>
              <w:rPr>
                <w:sz w:val="17"/>
                <w:szCs w:val="17"/>
                <w:color w:val="auto"/>
              </w:rPr>
            </w:pP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Title of Each Class</w:t>
            </w:r>
          </w:p>
        </w:tc>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registered</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4900" w:type="dxa"/>
            <w:vAlign w:val="bottom"/>
            <w:gridSpan w:val="3"/>
          </w:tcPr>
          <w:p>
            <w:pPr>
              <w:jc w:val="center"/>
              <w:ind w:right="470"/>
              <w:spacing w:after="0"/>
              <w:rPr>
                <w:sz w:val="20"/>
                <w:szCs w:val="20"/>
                <w:color w:val="auto"/>
              </w:rPr>
            </w:pPr>
            <w:r>
              <w:rPr>
                <w:rFonts w:ascii="Arial" w:cs="Arial" w:eastAsia="Arial" w:hAnsi="Arial"/>
                <w:sz w:val="18"/>
                <w:szCs w:val="18"/>
                <w:color w:val="auto"/>
                <w:w w:val="90"/>
              </w:rPr>
              <w:t>Common Stock, $1.00 par value</w:t>
            </w:r>
          </w:p>
        </w:tc>
        <w:tc>
          <w:tcPr>
            <w:tcW w:w="400" w:type="dxa"/>
            <w:vAlign w:val="bottom"/>
          </w:tcPr>
          <w:p>
            <w:pPr>
              <w:spacing w:after="0"/>
              <w:rPr>
                <w:sz w:val="20"/>
                <w:szCs w:val="20"/>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8"/>
                <w:szCs w:val="18"/>
                <w:color w:val="auto"/>
                <w:w w:val="98"/>
              </w:rPr>
              <w:t>COHU</w:t>
            </w:r>
          </w:p>
        </w:tc>
        <w:tc>
          <w:tcPr>
            <w:tcW w:w="2480" w:type="dxa"/>
            <w:vAlign w:val="bottom"/>
            <w:gridSpan w:val="5"/>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February 11, 2021, Cohu, Inc. (the “Company”) issued a press release regarding its financial results for the fourth quarter and full year ended December 26, 2020. The Company’s press release is attached as Exhibit 99.1 to this Current Report on Form 8-K and incorporated by reference herein.</w:t>
      </w:r>
    </w:p>
    <w:p>
      <w:pPr>
        <w:spacing w:after="0" w:line="124"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Included within this current report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employer payroll taxes related to accelerated vesting share-based awards, the amortization of purchased intangible assets, restructuring costs, manufacturing transition and severance costs, asset impairment charges, acquisition-related costs and associated professional fees, reduction of indemnification receivable, gain on sale of facilities, depreciation of purchase accounting adjustments to property, plant and equipment, purchase accounting inventory step-up included in cost of sales and amortization of cloud-based software implementation costs (Adjusted EBITDA only).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7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statements contained in this current report and accompanying materials may be considered forward-looking statements within the meaning of the U.S. Private Securities Litigation Reform Act of 1995, including statements regarding strong momentum for our semiconductor testers and handlers, having positioned the company for continued growth over the mid-term, successfully enabling testing of new technologies in RF, battery management and ADAS processors and gaining traction in automated optical inspection, key design-wins, ADAS, 5G and mobility market segments growth, any comments on Cohu’s FY 2021 outlook or growth, target financial model for FY’21, % of incremental revenue expected to fall to operating income, debt deleveraging priority, Cohu’s first and second quarter 2021 sales forecast, guidance, sales mix, non-GAAP operating expenses, gross margin, adjusted EBITDA, effective tax rate, free cash flow, cap ex, and cash and shares outstanding, estimated minimum cash needed, estimated EBITDA breakeven point, any future Term Loan B principal reduction,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and results of operations; we are making investments in new products and product enhancements, which may adversely affect our operating results and these investments may not be commercially successful; we are exposed to the risks of operating a global business; we have manufacturing operations in Asia, and any failure to effectively manage multiple manufacturing sites and to secure raw materials meeting our quality, cost and other requirements, or failures by our suppliers to perform, could harm our sales, service levels and reputation; failure of critical suppliers to deliver sufficient quantities of parts in a timely and cost-effective manner could adversely impact us our operations; the semiconductor industry is seasonal, volatile and unpredictable; the semiconductor equipment and printed circuit board (“PCB”) test industries are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a majority of our revenues are generated from exports to foreign countries, primarily in Asia, that are subject to economic and political instability and we compete against a number of Asia-based test contactor, test handler, automated test equipment and PCB test suppliers; the incurrence of substantial indebtedness in connection with our financing of the Xcerra acquisition may have an adversely impact on Cohu’s liquidity, limit Cohu’s flexibility in responding to other business opportunities and increase Cohu’s vulnerability to adverse economic and industry conditions; our Credit Agreement contains various representations and negative covenants that limit, subject to certain exceptions and baskets, our ability and/or our subsidiaries’ ability to enter into financing and other transactions relating to our assets; because of high debt levels we may not be able to service our debt obligations in accordance with their terms; we are exposed to other risks associated with other acquisitions, investments and divestitures; we expect to continue to evaluate and pursue divestitures of non-core assets; our financial and operating results may vary and fall below analysts’ estimates, or credit rating agencies may change their ratings on Cohu, any of which may cause the price of our common stock to decline or make it difficult to obtain other financing; potential goodwill impairments if our business underperforms; global economic and political conditions, including trade tariffs and export restrictions, and other regulatory requirements, have impacted our business and may continue to have an adverse impact on our business and financial condition; and our business and operations could suffer in the event of cybersecurity breaches.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9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7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46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9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6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120" w:type="dxa"/>
            <w:vAlign w:val="bottom"/>
            <w:vMerge w:val="continue"/>
          </w:tcPr>
          <w:p>
            <w:pPr>
              <w:spacing w:after="0"/>
              <w:rPr>
                <w:sz w:val="16"/>
                <w:szCs w:val="16"/>
                <w:color w:val="auto"/>
              </w:rPr>
            </w:pPr>
          </w:p>
        </w:tc>
        <w:tc>
          <w:tcPr>
            <w:tcW w:w="9660" w:type="dxa"/>
            <w:vAlign w:val="bottom"/>
          </w:tcPr>
          <w:p>
            <w:pPr>
              <w:spacing w:after="0" w:line="195"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Fourth Quarter and Full Year 2020 Earnings Release, dated February 11, 2021, of Cohu, Inc.</w:t>
              </w:r>
            </w:hyperlink>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74"/>
        </w:trPr>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620" w:val="left"/>
          <w:tab w:leader="none" w:pos="6360" w:val="left"/>
        </w:tabs>
        <w:rPr>
          <w:sz w:val="20"/>
          <w:szCs w:val="20"/>
          <w:color w:val="auto"/>
        </w:rPr>
      </w:pPr>
      <w:r>
        <w:rPr>
          <w:rFonts w:ascii="Arial" w:cs="Arial" w:eastAsia="Arial" w:hAnsi="Arial"/>
          <w:sz w:val="18"/>
          <w:szCs w:val="18"/>
          <w:i w:val="1"/>
          <w:iCs w:val="1"/>
          <w:color w:val="auto"/>
        </w:rPr>
        <w:t>February 11, 2021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Name: Jeffrey D. Jones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140" w:type="dxa"/>
            <w:vAlign w:val="bottom"/>
          </w:tcPr>
          <w:p>
            <w:pPr>
              <w:ind w:left="204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648"/>
        </w:trPr>
        <w:tc>
          <w:tcPr>
            <w:tcW w:w="27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20" w:type="dxa"/>
            <w:vAlign w:val="bottom"/>
          </w:tcPr>
          <w:p>
            <w:pPr>
              <w:spacing w:after="0"/>
              <w:rPr>
                <w:sz w:val="24"/>
                <w:szCs w:val="24"/>
                <w:color w:val="auto"/>
              </w:rPr>
            </w:pPr>
          </w:p>
        </w:tc>
        <w:tc>
          <w:tcPr>
            <w:tcW w:w="8140" w:type="dxa"/>
            <w:vAlign w:val="bottom"/>
          </w:tcPr>
          <w:p>
            <w:pPr>
              <w:ind w:left="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tcPr>
          <w:p>
            <w:pPr>
              <w:spacing w:after="0"/>
              <w:rPr>
                <w:sz w:val="18"/>
                <w:szCs w:val="18"/>
                <w:color w:val="auto"/>
              </w:rPr>
            </w:pPr>
          </w:p>
        </w:tc>
        <w:tc>
          <w:tcPr>
            <w:tcW w:w="320" w:type="dxa"/>
            <w:vAlign w:val="bottom"/>
            <w:vMerge w:val="restart"/>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8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320" w:type="dxa"/>
            <w:vAlign w:val="bottom"/>
            <w:vMerge w:val="continue"/>
          </w:tcPr>
          <w:p>
            <w:pPr>
              <w:spacing w:after="0"/>
              <w:rPr>
                <w:sz w:val="16"/>
                <w:szCs w:val="16"/>
                <w:color w:val="auto"/>
              </w:rPr>
            </w:pPr>
          </w:p>
        </w:tc>
        <w:tc>
          <w:tcPr>
            <w:tcW w:w="8140" w:type="dxa"/>
            <w:vAlign w:val="bottom"/>
          </w:tcPr>
          <w:p>
            <w:pPr>
              <w:ind w:left="60"/>
              <w:spacing w:after="0" w:line="195" w:lineRule="exact"/>
              <w:rPr>
                <w:sz w:val="20"/>
                <w:szCs w:val="20"/>
                <w:color w:val="auto"/>
              </w:rPr>
            </w:pPr>
            <w:r>
              <w:rPr>
                <w:rFonts w:ascii="Arial" w:cs="Arial" w:eastAsia="Arial" w:hAnsi="Arial"/>
                <w:sz w:val="18"/>
                <w:szCs w:val="18"/>
                <w:color w:val="auto"/>
                <w:w w:val="94"/>
              </w:rPr>
              <w:t>Description – Fourth Quarter and Full Year 2020 Earnings Release, dated February 11, 2021, of Cohu, Inc.</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0"/>
                <w:szCs w:val="20"/>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154305</wp:posOffset>
            </wp:positionV>
            <wp:extent cx="316293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29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-109855</wp:posOffset>
            </wp:positionV>
            <wp:extent cx="25400" cy="90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00" cy="900430"/>
                    </a:xfrm>
                    <a:prstGeom prst="rect">
                      <a:avLst/>
                    </a:prstGeom>
                    <a:noFill/>
                  </pic:spPr>
                </pic:pic>
              </a:graphicData>
            </a:graphic>
          </wp:anchor>
        </w:drawing>
      </w:r>
    </w:p>
    <w:p>
      <w:pPr>
        <w:spacing w:after="0" w:line="2"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12367 CROSTHWAITE</w:t>
      </w:r>
    </w:p>
    <w:p>
      <w:pPr>
        <w:spacing w:after="0" w:line="19"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CIRCLE</w:t>
      </w:r>
    </w:p>
    <w:p>
      <w:pPr>
        <w:spacing w:after="0" w:line="19"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POWAY, CA 92064</w:t>
      </w:r>
    </w:p>
    <w:p>
      <w:pPr>
        <w:spacing w:after="0" w:line="19"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FAX (858) 848-8185</w:t>
      </w:r>
    </w:p>
    <w:p>
      <w:pPr>
        <w:spacing w:after="0" w:line="19"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PHONE (858) 858-8100</w:t>
      </w:r>
    </w:p>
    <w:p>
      <w:pPr>
        <w:spacing w:after="0" w:line="19"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www.cohu.com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Fourth Quarter and Full Year 2020 Operating Results</w:t>
      </w:r>
    </w:p>
    <w:p>
      <w:pPr>
        <w:spacing w:after="0" w:line="229"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Fifth consecutive year of revenue growth; 5-year CAGR 18.7%</w:t>
      </w:r>
    </w:p>
    <w:p>
      <w:pPr>
        <w:spacing w:after="0" w:line="23" w:lineRule="exact"/>
        <w:rPr>
          <w:rFonts w:ascii="Arial" w:cs="Arial" w:eastAsia="Arial" w:hAnsi="Arial"/>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Record fourth quarter revenue $202.4 million; up 34% quarter-over-quarter</w:t>
      </w:r>
    </w:p>
    <w:p>
      <w:pPr>
        <w:spacing w:after="0" w:line="9" w:lineRule="exact"/>
        <w:rPr>
          <w:rFonts w:ascii="Arial" w:cs="Arial" w:eastAsia="Arial" w:hAnsi="Arial"/>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Fourth quarter gross margin of 45.1%; non-GAAP gross margin of 45.0%</w:t>
      </w:r>
    </w:p>
    <w:p>
      <w:pPr>
        <w:spacing w:after="0" w:line="9" w:lineRule="exact"/>
        <w:rPr>
          <w:rFonts w:ascii="Arial" w:cs="Arial" w:eastAsia="Arial" w:hAnsi="Arial"/>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Record fourth quarter orders driven by mobility, automotive and industrial segment strength</w:t>
      </w:r>
    </w:p>
    <w:p>
      <w:pPr>
        <w:spacing w:after="0" w:line="211"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POWAY, Calif., February 11, 2020 -- Cohu, Inc. (NASDAQ: COHU), a global leader in back-end semiconductor equipment and services, today reported fiscal 2020 fourth quarter net sales of $202.4 million and a GAAP income of $14.9 million or $0.34 per share. Net sales for full year 2020 were $636.0 million and GAAP loss was $13.8 million or $0.33 per share.</w:t>
      </w:r>
      <w:r>
        <w:rPr>
          <w:rFonts w:ascii="Arial" w:cs="Arial" w:eastAsia="Arial" w:hAnsi="Arial"/>
          <w:sz w:val="29"/>
          <w:szCs w:val="29"/>
          <w:color w:val="auto"/>
          <w:vertAlign w:val="superscript"/>
        </w:rPr>
        <w:t>(1)</w:t>
      </w:r>
    </w:p>
    <w:p>
      <w:pPr>
        <w:spacing w:after="0" w:line="11" w:lineRule="exact"/>
        <w:rPr>
          <w:sz w:val="20"/>
          <w:szCs w:val="20"/>
          <w:color w:val="auto"/>
        </w:rPr>
      </w:pPr>
    </w:p>
    <w:p>
      <w:pPr>
        <w:ind w:right="580"/>
        <w:spacing w:after="0" w:line="289" w:lineRule="auto"/>
        <w:rPr>
          <w:sz w:val="20"/>
          <w:szCs w:val="20"/>
          <w:color w:val="auto"/>
        </w:rPr>
      </w:pPr>
      <w:r>
        <w:rPr>
          <w:rFonts w:ascii="Arial" w:cs="Arial" w:eastAsia="Arial" w:hAnsi="Arial"/>
          <w:sz w:val="18"/>
          <w:szCs w:val="18"/>
          <w:color w:val="auto"/>
        </w:rPr>
        <w:t>The Company also reported non-GAAP results, with fourth quarter 2020 income of $31.8 million or $0.73 per share and income of $50.7 million or $1.19 per share for full year 2020.</w:t>
      </w:r>
      <w:r>
        <w:rPr>
          <w:rFonts w:ascii="Arial" w:cs="Arial" w:eastAsia="Arial" w:hAnsi="Arial"/>
          <w:sz w:val="29"/>
          <w:szCs w:val="29"/>
          <w:color w:val="auto"/>
          <w:vertAlign w:val="superscript"/>
        </w:rPr>
        <w:t>(1)</w:t>
      </w:r>
    </w:p>
    <w:tbl>
      <w:tblPr>
        <w:tblLayout w:type="fixed"/>
        <w:tblInd w:w="10" w:type="dxa"/>
        <w:tblCellMar>
          <w:top w:w="0" w:type="dxa"/>
          <w:left w:w="0" w:type="dxa"/>
          <w:bottom w:w="0" w:type="dxa"/>
          <w:right w:w="0" w:type="dxa"/>
        </w:tblCellMar>
      </w:tblPr>
      <w:tr>
        <w:trPr>
          <w:trHeight w:val="239"/>
        </w:trPr>
        <w:tc>
          <w:tcPr>
            <w:tcW w:w="3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14"/>
                <w:szCs w:val="14"/>
                <w:b w:val="1"/>
                <w:bCs w:val="1"/>
                <w:color w:val="auto"/>
              </w:rPr>
              <w:t>(1)</w:t>
            </w: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2"/>
              </w:rPr>
              <w:t>12 Months</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89"/>
              </w:rPr>
              <w:t>12 Months</w:t>
            </w:r>
          </w:p>
        </w:tc>
        <w:tc>
          <w:tcPr>
            <w:tcW w:w="0" w:type="dxa"/>
            <w:vAlign w:val="bottom"/>
          </w:tcPr>
          <w:p>
            <w:pPr>
              <w:spacing w:after="0"/>
              <w:rPr>
                <w:sz w:val="1"/>
                <w:szCs w:val="1"/>
                <w:color w:val="auto"/>
              </w:rPr>
            </w:pPr>
          </w:p>
        </w:tc>
      </w:tr>
      <w:tr>
        <w:trPr>
          <w:trHeight w:val="179"/>
        </w:trPr>
        <w:tc>
          <w:tcPr>
            <w:tcW w:w="3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Q4 FY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Q3 FY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Q4 FY 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150.6</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636.0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Income (loss)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14.9</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(6.6)</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(16.3)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(13.8)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3340" w:type="dxa"/>
            <w:vAlign w:val="bottom"/>
            <w:tcBorders>
              <w:left w:val="single" w:sz="8" w:color="CCEEFF"/>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(loss) per share</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c>
          <w:tcPr>
            <w:tcW w:w="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14"/>
                <w:szCs w:val="14"/>
                <w:b w:val="1"/>
                <w:bCs w:val="1"/>
                <w:color w:val="auto"/>
              </w:rPr>
              <w:t>(1)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8"/>
                <w:szCs w:val="18"/>
                <w:b w:val="1"/>
                <w:bCs w:val="1"/>
                <w:color w:val="auto"/>
                <w:w w:val="92"/>
              </w:rPr>
              <w:t>12 Months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2"/>
              </w:rPr>
              <w:t>12 Months</w:t>
            </w:r>
          </w:p>
        </w:tc>
        <w:tc>
          <w:tcPr>
            <w:tcW w:w="0" w:type="dxa"/>
            <w:vAlign w:val="bottom"/>
          </w:tcPr>
          <w:p>
            <w:pPr>
              <w:spacing w:after="0"/>
              <w:rPr>
                <w:sz w:val="1"/>
                <w:szCs w:val="1"/>
                <w:color w:val="auto"/>
              </w:rPr>
            </w:pPr>
          </w:p>
        </w:tc>
      </w:tr>
      <w:tr>
        <w:trPr>
          <w:trHeight w:val="176"/>
        </w:trPr>
        <w:tc>
          <w:tcPr>
            <w:tcW w:w="334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40" w:type="dxa"/>
            <w:vAlign w:val="bottom"/>
            <w:tcBorders>
              <w:left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Q4 FY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Q3 FY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Q4 FY 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Income (loss) per share</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0.27</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-147320</wp:posOffset>
            </wp:positionV>
            <wp:extent cx="675513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5130" cy="137160"/>
                    </a:xfrm>
                    <a:prstGeom prst="rect">
                      <a:avLst/>
                    </a:prstGeom>
                    <a:noFill/>
                  </pic:spPr>
                </pic:pic>
              </a:graphicData>
            </a:graphic>
          </wp:anchor>
        </w:drawing>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All amounts presented are from continuing operations.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cash and investments at year-end 2020 were $170.0 million. During the fourth quarter, the Company further reduced its Term Loan B debt associated with the financing of the Xcerra acquisition by $20.9 million.</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“Cohu ended 2020 on a high note with record fourth quarter orders and strong momentum for our semiconductor testers and handlers. Our interface business secured a key design-win for mmWave test at a leading foundry in Taiwan and OSAT in Korea,” said Cohu President and CEO Luis Müller. “We made substantial improvements to our product portfolio over the past two years and have positioned the company for continued growth over the mid-term. Cohu is successfully enabling testing of new high-growth technologies in RF, battery management and ADAS processors, and gaining traction in automated optical inspection.”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Cohu expects first quarter 2021 sales to be between $212 million and $232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will host a live conference call and webcast with slides to discuss fourth quarter 2020 results at 5:30 a.m. Pacific Time/8:30 a.m. Eastern Time on February 11, 2020. Interested investors and analysts are invited to dial into the conference call by using 1-866-434-5330 (domestic) or +1-213-660-0873 (international) and entering the pass code 5445848. Webcast access will be available on the Investor Information section of the Company’s website at www.cohu.com.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Cohu (NASDAQ: COHU) is a global leader in back-end semiconductor equipment and services, delivering leading-edge solutions for the manufacturing of semiconductors and printed circuit boards. Additional information can be found at www.cohu.com.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Included within this press release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employer payroll taxes related to accelerated vesting share-based awards, the amortization of purchased intangible assets, restructuring costs, manufacturing transition and severance costs, asset impairment charges, acquisition-related costs and associated professional fees, reduction of indemnification receivable, gain on sale of facilities, depreciation of purchase accounting adjustments to property, plant and equipment, purchase accounting inventory step-up included in cost of sales and amortization of cloud-based software implementation costs (Adjusted EBITDA </w:t>
      </w:r>
      <w:r>
        <w:rPr>
          <w:rFonts w:ascii="Arial" w:cs="Arial" w:eastAsia="Arial" w:hAnsi="Arial"/>
          <w:sz w:val="16"/>
          <w:szCs w:val="16"/>
          <w:u w:val="single" w:color="auto"/>
          <w:color w:val="auto"/>
        </w:rPr>
        <w:t>only</w:t>
      </w:r>
      <w:r>
        <w:rPr>
          <w:rFonts w:ascii="Arial" w:cs="Arial" w:eastAsia="Arial" w:hAnsi="Arial"/>
          <w:sz w:val="16"/>
          <w:szCs w:val="16"/>
          <w:color w:val="auto"/>
        </w:rPr>
        <w:t>).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7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statements contained in this release and accompanying materials may be considered forward-looking statements within the meaning of the U.S. Private Securities Litigation Reform Act of 1995, including statements regarding strong momentum for our semiconductor testers and handlers, having positioned the company for continued growth over the mid-term, successfully enabling testing of new technologies in RF, battery management and ADAS processors and gaining traction in automated optical inspection, key design-wins, ADAS, 5G and mobility market segments growth, any comments on Cohu’s FY 2021 outlook or growth, target financial model for FY’21, % of incremental revenue expected to fall to operating income, debt deleveraging priority, Cohu’s first and second quarter 2021 sales forecast, guidance, sales mix, non-GAAP operating expenses, gross margin, adjusted EBITDA, effective tax rate, free cash flow, cap ex, and cash and shares outstanding, estimated minimum cash needed, estimated EBITDA breakeven point, any future Term Loan B principal reduction,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and results of operations; we are making investments in new products and product enhancements, which may adversely affect our operating results and these investments may not be commercially successful; we are exposed to the risks of operating a global business; we have manufacturing operations in Asia, and any failure to effectively manage multiple manufacturing sites and to secure raw materials meeting our quality, cost and other requirements, or failures by our suppliers to perform, could harm our sales, service levels and reputation; failure of critical suppliers to deliver sufficient quantities of parts in a timely and cost-effective manner could adversely impact us our operations; the semiconductor industry is seasonal, volatile and unpredictable; the semiconductor equipment and printed circuit board (“PCB”) test industries are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a majority of our revenues are generated from exports to foreign countries, primarily in Asia, that are subject to economic and political instability and we compete against a number of Asia-based test contactor, test handler, automated test equipment and PCB test suppliers; the incurrence of substantial indebtedness in connection with our financing of the Xcerra acquisition may have an adversely impact on Cohu’s liquidity, limit Cohu’s flexibility in responding to other business opportunities and increase Cohu’s vulnerability to adverse economic and industry conditions; our Credit Agreement contains various representations and negative covenants that limit, subject to certain exceptions and baskets, our ability and/or our subsidiaries’ ability to enter into financing and other transactions relating to our assets; because of high debt levels we may not be able to service our debt obligations in accordance with their terms; we are exposed to other risks associated with other acquisitions, investments and divestitures; we expect to continue to evaluate and pursue divestitures of non-core assets; our financial and operating results may vary and fall below analysts’ estimates, or credit rating agencies may change their ratings on Cohu, any of which may cause the price of our common stock to decline or make it difficult to obtain other financing; potential goodwill impairments if our business underperforms; global economic and political conditions, including trade tariffs and export restrictions, and other regulatory requirements, have impacted our business and may continue to have an adverse impact on our business and financial condition; and our business and operations could suffer in the event of cybersecurity breaches.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tbl>
      <w:tblPr>
        <w:tblLayout w:type="fixed"/>
        <w:tblInd w:w="0" w:type="dxa"/>
        <w:tblCellMar>
          <w:top w:w="0" w:type="dxa"/>
          <w:left w:w="0" w:type="dxa"/>
          <w:bottom w:w="0" w:type="dxa"/>
          <w:right w:w="0" w:type="dxa"/>
        </w:tblCellMar>
      </w:tblPr>
      <w:tr>
        <w:trPr>
          <w:trHeight w:val="198"/>
        </w:trPr>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5"/>
          </w:tcPr>
          <w:p>
            <w:pPr>
              <w:jc w:val="right"/>
              <w:ind w:right="700"/>
              <w:spacing w:after="0" w:line="198" w:lineRule="exact"/>
              <w:rPr>
                <w:sz w:val="20"/>
                <w:szCs w:val="20"/>
                <w:color w:val="auto"/>
              </w:rPr>
            </w:pPr>
            <w:r>
              <w:rPr>
                <w:rFonts w:ascii="Arial" w:cs="Arial" w:eastAsia="Arial" w:hAnsi="Arial"/>
                <w:sz w:val="14"/>
                <w:szCs w:val="14"/>
                <w:color w:val="auto"/>
              </w:rPr>
              <w:t xml:space="preserve">Three Months Ended </w:t>
            </w:r>
            <w:r>
              <w:rPr>
                <w:rFonts w:ascii="Arial" w:cs="Arial" w:eastAsia="Arial" w:hAnsi="Arial"/>
                <w:sz w:val="22"/>
                <w:szCs w:val="22"/>
                <w:color w:val="auto"/>
                <w:vertAlign w:val="superscript"/>
              </w:rPr>
              <w:t>(1)</w:t>
            </w:r>
          </w:p>
        </w:tc>
        <w:tc>
          <w:tcPr>
            <w:tcW w:w="100" w:type="dxa"/>
            <w:vAlign w:val="bottom"/>
          </w:tcPr>
          <w:p>
            <w:pPr>
              <w:spacing w:after="0"/>
              <w:rPr>
                <w:sz w:val="17"/>
                <w:szCs w:val="17"/>
                <w:color w:val="auto"/>
              </w:rPr>
            </w:pPr>
          </w:p>
        </w:tc>
        <w:tc>
          <w:tcPr>
            <w:tcW w:w="2600" w:type="dxa"/>
            <w:vAlign w:val="bottom"/>
            <w:gridSpan w:val="5"/>
          </w:tcPr>
          <w:p>
            <w:pPr>
              <w:jc w:val="right"/>
              <w:ind w:right="580"/>
              <w:spacing w:after="0" w:line="198" w:lineRule="exact"/>
              <w:rPr>
                <w:sz w:val="20"/>
                <w:szCs w:val="20"/>
                <w:color w:val="auto"/>
              </w:rPr>
            </w:pPr>
            <w:r>
              <w:rPr>
                <w:rFonts w:ascii="Arial" w:cs="Arial" w:eastAsia="Arial" w:hAnsi="Arial"/>
                <w:sz w:val="14"/>
                <w:szCs w:val="14"/>
                <w:color w:val="auto"/>
              </w:rPr>
              <w:t xml:space="preserve">Twelve Months Ended </w:t>
            </w:r>
            <w:r>
              <w:rPr>
                <w:rFonts w:ascii="Arial" w:cs="Arial" w:eastAsia="Arial" w:hAnsi="Arial"/>
                <w:sz w:val="22"/>
                <w:szCs w:val="22"/>
                <w:color w:val="auto"/>
                <w:vertAlign w:val="superscript"/>
              </w:rPr>
              <w:t>(1)</w:t>
            </w:r>
          </w:p>
        </w:tc>
      </w:tr>
      <w:tr>
        <w:trPr>
          <w:trHeight w:val="203"/>
        </w:trPr>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26,</w:t>
            </w:r>
          </w:p>
        </w:tc>
        <w:tc>
          <w:tcPr>
            <w:tcW w:w="1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w w:val="91"/>
              </w:rPr>
              <w:t>December 28,</w:t>
            </w:r>
          </w:p>
        </w:tc>
        <w:tc>
          <w:tcPr>
            <w:tcW w:w="1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December 26,</w:t>
            </w: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w w:val="91"/>
              </w:rPr>
              <w:t>December 28,</w:t>
            </w:r>
          </w:p>
        </w:tc>
      </w:tr>
      <w:tr>
        <w:trPr>
          <w:trHeight w:val="213"/>
        </w:trPr>
        <w:tc>
          <w:tcPr>
            <w:tcW w:w="5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r>
      <w:tr>
        <w:trPr>
          <w:trHeight w:val="199"/>
        </w:trPr>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202,355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636,007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583,329</w:t>
            </w:r>
          </w:p>
        </w:tc>
        <w:tc>
          <w:tcPr>
            <w:tcW w:w="120" w:type="dxa"/>
            <w:vAlign w:val="bottom"/>
            <w:shd w:val="clear" w:color="auto" w:fill="CCEEFF"/>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Cost and expenses: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of sales (excluding amortization)</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111,114</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87,936</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364,225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353,500</w:t>
            </w:r>
          </w:p>
        </w:tc>
        <w:tc>
          <w:tcPr>
            <w:tcW w:w="120" w:type="dxa"/>
            <w:vAlign w:val="bottom"/>
            <w:shd w:val="clear" w:color="auto" w:fill="CCEEFF"/>
          </w:tcPr>
          <w:p>
            <w:pPr>
              <w:spacing w:after="0"/>
              <w:rPr>
                <w:sz w:val="17"/>
                <w:szCs w:val="17"/>
                <w:color w:val="auto"/>
              </w:rPr>
            </w:pPr>
          </w:p>
        </w:tc>
      </w:tr>
      <w:tr>
        <w:trPr>
          <w:trHeight w:val="203"/>
        </w:trPr>
        <w:tc>
          <w:tcPr>
            <w:tcW w:w="532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22,762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20,823</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86,151</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86,147</w:t>
            </w: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ind w:left="180"/>
              <w:spacing w:after="0" w:line="202" w:lineRule="exact"/>
              <w:rPr>
                <w:sz w:val="20"/>
                <w:szCs w:val="20"/>
                <w:color w:val="auto"/>
              </w:rPr>
            </w:pPr>
            <w:r>
              <w:rPr>
                <w:rFonts w:ascii="Arial" w:cs="Arial" w:eastAsia="Arial" w:hAnsi="Arial"/>
                <w:sz w:val="15"/>
                <w:szCs w:val="15"/>
                <w:color w:val="auto"/>
              </w:rPr>
              <w:t xml:space="preserve">Selling, general and administrative </w:t>
            </w:r>
            <w:r>
              <w:rPr>
                <w:rFonts w:ascii="Arial" w:cs="Arial" w:eastAsia="Arial" w:hAnsi="Arial"/>
                <w:sz w:val="23"/>
                <w:szCs w:val="23"/>
                <w:color w:val="auto"/>
                <w:vertAlign w:val="superscript"/>
              </w:rPr>
              <w:t>(2)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33,584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34,532</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129,248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142,936</w:t>
            </w:r>
          </w:p>
        </w:tc>
        <w:tc>
          <w:tcPr>
            <w:tcW w:w="120" w:type="dxa"/>
            <w:vAlign w:val="bottom"/>
            <w:shd w:val="clear" w:color="auto" w:fill="CCEEFF"/>
          </w:tcPr>
          <w:p>
            <w:pPr>
              <w:spacing w:after="0"/>
              <w:rPr>
                <w:sz w:val="17"/>
                <w:szCs w:val="17"/>
                <w:color w:val="auto"/>
              </w:rPr>
            </w:pPr>
          </w:p>
        </w:tc>
      </w:tr>
      <w:tr>
        <w:trPr>
          <w:trHeight w:val="203"/>
        </w:trPr>
        <w:tc>
          <w:tcPr>
            <w:tcW w:w="5320" w:type="dxa"/>
            <w:vAlign w:val="bottom"/>
          </w:tcPr>
          <w:p>
            <w:pPr>
              <w:ind w:left="180"/>
              <w:spacing w:after="0"/>
              <w:rPr>
                <w:sz w:val="20"/>
                <w:szCs w:val="20"/>
                <w:color w:val="auto"/>
              </w:rPr>
            </w:pPr>
            <w:r>
              <w:rPr>
                <w:rFonts w:ascii="Arial" w:cs="Arial" w:eastAsia="Arial" w:hAnsi="Arial"/>
                <w:sz w:val="16"/>
                <w:szCs w:val="16"/>
                <w:color w:val="auto"/>
              </w:rPr>
              <w:t>Amortization of purchased intangible assets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9,898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9,615</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38,746</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39,590</w:t>
            </w: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2,764</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7,623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13,484</w:t>
            </w:r>
          </w:p>
        </w:tc>
        <w:tc>
          <w:tcPr>
            <w:tcW w:w="120" w:type="dxa"/>
            <w:vAlign w:val="bottom"/>
            <w:shd w:val="clear" w:color="auto" w:fill="CCEEFF"/>
          </w:tcPr>
          <w:p>
            <w:pPr>
              <w:spacing w:after="0"/>
              <w:rPr>
                <w:sz w:val="17"/>
                <w:szCs w:val="17"/>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5"/>
                <w:szCs w:val="15"/>
                <w:color w:val="auto"/>
              </w:rPr>
              <w:t xml:space="preserve">Impairment charges </w:t>
            </w:r>
            <w:r>
              <w:rPr>
                <w:rFonts w:ascii="Arial" w:cs="Arial" w:eastAsia="Arial" w:hAnsi="Arial"/>
                <w:sz w:val="23"/>
                <w:szCs w:val="23"/>
                <w:color w:val="auto"/>
                <w:vertAlign w:val="superscript"/>
              </w:rPr>
              <w:t>(3)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11,249</w:t>
            </w:r>
          </w:p>
        </w:tc>
        <w:tc>
          <w:tcPr>
            <w:tcW w:w="1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320" w:type="dxa"/>
            <w:vAlign w:val="bottom"/>
            <w:shd w:val="clear" w:color="auto" w:fill="CCEEFF"/>
          </w:tcPr>
          <w:p>
            <w:pPr>
              <w:ind w:left="180"/>
              <w:spacing w:after="0" w:line="202" w:lineRule="exact"/>
              <w:rPr>
                <w:sz w:val="20"/>
                <w:szCs w:val="20"/>
                <w:color w:val="auto"/>
              </w:rPr>
            </w:pPr>
            <w:r>
              <w:rPr>
                <w:rFonts w:ascii="Arial" w:cs="Arial" w:eastAsia="Arial" w:hAnsi="Arial"/>
                <w:sz w:val="15"/>
                <w:szCs w:val="15"/>
                <w:color w:val="auto"/>
              </w:rPr>
              <w:t xml:space="preserve">Gain on sale of facilities </w:t>
            </w:r>
            <w:r>
              <w:rPr>
                <w:rFonts w:ascii="Arial" w:cs="Arial" w:eastAsia="Arial" w:hAnsi="Arial"/>
                <w:sz w:val="23"/>
                <w:szCs w:val="23"/>
                <w:color w:val="auto"/>
                <w:vertAlign w:val="superscript"/>
              </w:rPr>
              <w:t>(4)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(4,495)</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183,581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155,670</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632,747</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635,657</w:t>
            </w:r>
          </w:p>
        </w:tc>
        <w:tc>
          <w:tcPr>
            <w:tcW w:w="12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18,774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(13,659)</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3,260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(52,328)</w:t>
            </w: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Other (expense) income: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(2,855)</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(4,767)</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(13,759)</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(20,556)</w:t>
            </w: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5"/>
                <w:szCs w:val="15"/>
                <w:color w:val="auto"/>
              </w:rPr>
              <w:t xml:space="preserve">Gain (loss) on extinguishment of debt </w:t>
            </w:r>
            <w:r>
              <w:rPr>
                <w:rFonts w:ascii="Arial" w:cs="Arial" w:eastAsia="Arial" w:hAnsi="Arial"/>
                <w:sz w:val="23"/>
                <w:szCs w:val="23"/>
                <w:color w:val="auto"/>
                <w:vertAlign w:val="superscript"/>
              </w:rPr>
              <w:t>(5)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268</w:t>
            </w:r>
          </w:p>
        </w:tc>
        <w:tc>
          <w:tcPr>
            <w:tcW w:w="1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224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CEEFF"/>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Foreign transaction gain (loss)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(642)</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(3,170)</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 before taxes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15,266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(19,524)</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(13,177)</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(72,077)</w:t>
            </w: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(3,243)</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666</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(3,082)</w:t>
            </w:r>
          </w:p>
        </w:tc>
      </w:tr>
      <w:tr>
        <w:trPr>
          <w:trHeight w:val="20"/>
        </w:trPr>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(16,281)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(13,843)</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(68,995)</w:t>
            </w:r>
          </w:p>
        </w:tc>
      </w:tr>
      <w:tr>
        <w:trPr>
          <w:trHeight w:val="203"/>
        </w:trPr>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Discontinued operations: </w:t>
            </w:r>
            <w:r>
              <w:rPr>
                <w:rFonts w:ascii="Arial" w:cs="Arial" w:eastAsia="Arial" w:hAnsi="Arial"/>
                <w:sz w:val="23"/>
                <w:szCs w:val="23"/>
                <w:color w:val="auto"/>
                <w:vertAlign w:val="superscript"/>
              </w:rPr>
              <w:t>(6)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320" w:type="dxa"/>
            <w:vAlign w:val="bottom"/>
          </w:tcPr>
          <w:p>
            <w:pPr>
              <w:ind w:left="180"/>
              <w:spacing w:after="0"/>
              <w:rPr>
                <w:sz w:val="20"/>
                <w:szCs w:val="20"/>
                <w:color w:val="auto"/>
              </w:rPr>
            </w:pPr>
            <w:r>
              <w:rPr>
                <w:rFonts w:ascii="Arial" w:cs="Arial" w:eastAsia="Arial" w:hAnsi="Arial"/>
                <w:sz w:val="16"/>
                <w:szCs w:val="16"/>
                <w:color w:val="auto"/>
              </w:rPr>
              <w:t>Income (loss) from discontinued operations before taxes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46</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(661)</w:t>
            </w:r>
          </w:p>
        </w:tc>
      </w:tr>
      <w:tr>
        <w:trPr>
          <w:trHeight w:val="20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provision (benefit)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7"/>
                <w:szCs w:val="17"/>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Income (loss) from discontinued operations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(697)</w:t>
            </w: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(17,320)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(13,801)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(69,692)</w:t>
            </w:r>
          </w:p>
        </w:tc>
      </w:tr>
      <w:tr>
        <w:trPr>
          <w:trHeight w:val="20"/>
        </w:trPr>
        <w:tc>
          <w:tcPr>
            <w:tcW w:w="5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Cohu</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14,861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(17,266)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(13,801)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(69,700)</w:t>
            </w:r>
          </w:p>
        </w:tc>
      </w:tr>
      <w:tr>
        <w:trPr>
          <w:trHeight w:val="183"/>
        </w:trPr>
        <w:tc>
          <w:tcPr>
            <w:tcW w:w="53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0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per share: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320" w:type="dxa"/>
            <w:vAlign w:val="bottom"/>
          </w:tcPr>
          <w:p>
            <w:pPr>
              <w:ind w:left="180"/>
              <w:spacing w:after="0"/>
              <w:rPr>
                <w:sz w:val="20"/>
                <w:szCs w:val="20"/>
                <w:color w:val="auto"/>
              </w:rPr>
            </w:pPr>
            <w:r>
              <w:rPr>
                <w:rFonts w:ascii="Arial" w:cs="Arial" w:eastAsia="Arial" w:hAnsi="Arial"/>
                <w:sz w:val="16"/>
                <w:szCs w:val="16"/>
                <w:color w:val="auto"/>
              </w:rPr>
              <w:t>Basic:</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 before noncontrolling interest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(1.68)</w:t>
            </w:r>
          </w:p>
        </w:tc>
      </w:tr>
      <w:tr>
        <w:trPr>
          <w:trHeight w:val="203"/>
        </w:trPr>
        <w:tc>
          <w:tcPr>
            <w:tcW w:w="5320" w:type="dxa"/>
            <w:vAlign w:val="bottom"/>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0.00</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(0.01)</w:t>
            </w:r>
          </w:p>
        </w:tc>
      </w:tr>
      <w:tr>
        <w:trPr>
          <w:trHeight w:val="20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noncontrolling interest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17"/>
                <w:szCs w:val="17"/>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320" w:type="dxa"/>
            <w:vAlign w:val="bottom"/>
          </w:tcPr>
          <w:p>
            <w:pPr>
              <w:ind w:left="340"/>
              <w:spacing w:after="0"/>
              <w:rPr>
                <w:sz w:val="20"/>
                <w:szCs w:val="20"/>
                <w:color w:val="auto"/>
              </w:rPr>
            </w:pPr>
            <w:r>
              <w:rPr>
                <w:rFonts w:ascii="Arial" w:cs="Arial" w:eastAsia="Arial" w:hAnsi="Arial"/>
                <w:sz w:val="16"/>
                <w:szCs w:val="16"/>
                <w:color w:val="auto"/>
              </w:rPr>
              <w:t>Net income (loss) attributable to Cohu</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0.35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(0.42)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(1.69)</w:t>
            </w:r>
          </w:p>
        </w:tc>
      </w:tr>
      <w:tr>
        <w:trPr>
          <w:trHeight w:val="20"/>
        </w:trPr>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320" w:type="dxa"/>
            <w:vAlign w:val="bottom"/>
          </w:tcPr>
          <w:p>
            <w:pPr>
              <w:ind w:left="180"/>
              <w:spacing w:after="0"/>
              <w:rPr>
                <w:sz w:val="20"/>
                <w:szCs w:val="20"/>
                <w:color w:val="auto"/>
              </w:rPr>
            </w:pPr>
            <w:r>
              <w:rPr>
                <w:rFonts w:ascii="Arial" w:cs="Arial" w:eastAsia="Arial" w:hAnsi="Arial"/>
                <w:sz w:val="16"/>
                <w:szCs w:val="16"/>
                <w:color w:val="auto"/>
              </w:rPr>
              <w:t>Diluted: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 before noncontrolling interest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(1.68)</w:t>
            </w:r>
          </w:p>
        </w:tc>
      </w:tr>
      <w:tr>
        <w:trPr>
          <w:trHeight w:val="203"/>
        </w:trPr>
        <w:tc>
          <w:tcPr>
            <w:tcW w:w="5320" w:type="dxa"/>
            <w:vAlign w:val="bottom"/>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0.00</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(0.01)</w:t>
            </w:r>
          </w:p>
        </w:tc>
      </w:tr>
      <w:tr>
        <w:trPr>
          <w:trHeight w:val="20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noncontrolling interest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17"/>
                <w:szCs w:val="17"/>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320" w:type="dxa"/>
            <w:vAlign w:val="bottom"/>
          </w:tcPr>
          <w:p>
            <w:pPr>
              <w:ind w:left="340"/>
              <w:spacing w:after="0"/>
              <w:rPr>
                <w:sz w:val="20"/>
                <w:szCs w:val="20"/>
                <w:color w:val="auto"/>
              </w:rPr>
            </w:pPr>
            <w:r>
              <w:rPr>
                <w:rFonts w:ascii="Arial" w:cs="Arial" w:eastAsia="Arial" w:hAnsi="Arial"/>
                <w:sz w:val="16"/>
                <w:szCs w:val="16"/>
                <w:color w:val="auto"/>
              </w:rPr>
              <w:t>Net income (loss) attributable to Cohu</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0.34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(0.42)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(1.69)</w:t>
            </w:r>
          </w:p>
        </w:tc>
      </w:tr>
      <w:tr>
        <w:trPr>
          <w:trHeight w:val="20"/>
        </w:trPr>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5"/>
                <w:szCs w:val="15"/>
                <w:color w:val="auto"/>
              </w:rPr>
              <w:t xml:space="preserve">Weighted average shares used in computing income (loss) per share: </w:t>
            </w:r>
            <w:r>
              <w:rPr>
                <w:rFonts w:ascii="Arial" w:cs="Arial" w:eastAsia="Arial" w:hAnsi="Arial"/>
                <w:sz w:val="23"/>
                <w:szCs w:val="23"/>
                <w:color w:val="auto"/>
                <w:vertAlign w:val="superscript"/>
              </w:rPr>
              <w:t>(7)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42,125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41,409</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41,854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41,159</w:t>
            </w:r>
          </w:p>
        </w:tc>
        <w:tc>
          <w:tcPr>
            <w:tcW w:w="120" w:type="dxa"/>
            <w:vAlign w:val="bottom"/>
            <w:shd w:val="clear" w:color="auto" w:fill="CCEEFF"/>
          </w:tcPr>
          <w:p>
            <w:pPr>
              <w:spacing w:after="0"/>
              <w:rPr>
                <w:sz w:val="19"/>
                <w:szCs w:val="19"/>
                <w:color w:val="auto"/>
              </w:rPr>
            </w:pP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5320" w:type="dxa"/>
            <w:vAlign w:val="bottom"/>
          </w:tcPr>
          <w:p>
            <w:pPr>
              <w:ind w:left="180"/>
              <w:spacing w:after="0"/>
              <w:rPr>
                <w:sz w:val="20"/>
                <w:szCs w:val="20"/>
                <w:color w:val="auto"/>
              </w:rPr>
            </w:pPr>
            <w:r>
              <w:rPr>
                <w:rFonts w:ascii="Arial" w:cs="Arial" w:eastAsia="Arial" w:hAnsi="Arial"/>
                <w:sz w:val="16"/>
                <w:szCs w:val="16"/>
                <w:color w:val="auto"/>
              </w:rPr>
              <w:t>Diluted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43,486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41,409</w:t>
            </w: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41,854</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41,159</w:t>
            </w:r>
          </w:p>
        </w:tc>
        <w:tc>
          <w:tcPr>
            <w:tcW w:w="120" w:type="dxa"/>
            <w:vAlign w:val="bottom"/>
          </w:tcPr>
          <w:p>
            <w:pPr>
              <w:spacing w:after="0"/>
              <w:rPr>
                <w:sz w:val="15"/>
                <w:szCs w:val="15"/>
                <w:color w:val="auto"/>
              </w:rPr>
            </w:pPr>
          </w:p>
        </w:tc>
      </w:tr>
      <w:tr>
        <w:trPr>
          <w:trHeight w:val="20"/>
        </w:trPr>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
        </w:trPr>
        <w:tc>
          <w:tcPr>
            <w:tcW w:w="53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35"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three- and twelve-month periods ended December 26, 2020 and December 28, 2019 were both comprised of 13 weeks and 52 weeks, respectively.</w:t>
      </w:r>
    </w:p>
    <w:p>
      <w:pPr>
        <w:ind w:left="500" w:hanging="330"/>
        <w:spacing w:after="0" w:line="221"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and twelve-month period ended December 28, 2019 Xcerra transaction costs were $28,000 and $0.4 million. No transaction costs were incurred during 2020.</w:t>
      </w:r>
    </w:p>
    <w:p>
      <w:pPr>
        <w:ind w:left="500" w:right="500" w:hanging="330"/>
        <w:spacing w:after="0" w:line="221"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in our results for the twelve-month period ended December 26, 2020 are impairment charges recorded to write certain of our in-process research and development assets (“IPR&amp;D”) obtained as part of our acquisition of Xcerra down to current estimated fair values.</w:t>
      </w:r>
    </w:p>
    <w:p>
      <w:pPr>
        <w:ind w:left="500" w:right="380" w:hanging="330"/>
        <w:spacing w:after="0" w:line="221"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During 2020 we completed the sale of our facilities in Rosenheim, Germany and in Penang, Malaysia which generated a gain of $4.5 million. Both facilities were sold as part of the previously announced Xcerra integration program.</w:t>
      </w:r>
    </w:p>
    <w:p>
      <w:pPr>
        <w:ind w:left="500" w:right="100" w:hanging="330"/>
        <w:spacing w:after="0" w:line="221"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the fourth quarter of 2020 we repurchased and retired $20.0 million of our outstanding Term Loan B which resulted in a loss from the extinguishment of debt. For the full year ended December 26, 2020, total repurchases and retirements of Term Loan B were $36.4 million and resulted in a gain from the extinguishment of debt. Gain or loss on extinguishment of debt is the net result after any cash gain is offset by the required reduction in our capitalized debt issuance costs and original issuance discounts.</w:t>
      </w:r>
    </w:p>
    <w:p>
      <w:pPr>
        <w:ind w:left="500" w:right="120" w:hanging="330"/>
        <w:spacing w:after="0" w:line="221"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October 1, 2018, the Company made the decision to sell the fixtures business acquired from Xcerra, and, as a result, the operating results of this business have been presented as discontinued operations. In February 2020, we completed the sale of this business. In the fourth quarter of 2019, we recognized a loss on disposal of $1.1 million primarily related to the write-off of goodwill and purchased intangible assets.</w:t>
      </w:r>
    </w:p>
    <w:p>
      <w:pPr>
        <w:ind w:left="500" w:right="20" w:hanging="330"/>
        <w:spacing w:after="0" w:line="227"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twelve-month periods ended December 26, 2020 and for the three- and twelve-month periods ended December 28, 2019,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26,</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December 28,</w:t>
            </w:r>
          </w:p>
        </w:tc>
      </w:tr>
      <w:tr>
        <w:trPr>
          <w:trHeight w:val="234"/>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170,027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156,098</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151,919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127,921</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130,706</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21,071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21,468</w:t>
            </w:r>
          </w:p>
        </w:tc>
      </w:tr>
      <w:tr>
        <w:trPr>
          <w:trHeight w:val="216"/>
        </w:trPr>
        <w:tc>
          <w:tcPr>
            <w:tcW w:w="786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Current assets of discontinued operations </w:t>
            </w:r>
            <w:r>
              <w:rPr>
                <w:rFonts w:ascii="Arial" w:cs="Arial" w:eastAsia="Arial" w:hAnsi="Arial"/>
                <w:sz w:val="25"/>
                <w:szCs w:val="25"/>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485,517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439,696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66,916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70,912</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252,304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238,669</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233,685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275,019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29,203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33,269</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20,030</w:t>
            </w:r>
          </w:p>
        </w:tc>
      </w:tr>
      <w:tr>
        <w:trPr>
          <w:trHeight w:val="216"/>
        </w:trPr>
        <w:tc>
          <w:tcPr>
            <w:tcW w:w="7860" w:type="dxa"/>
            <w:vAlign w:val="bottom"/>
          </w:tcPr>
          <w:p>
            <w:pPr>
              <w:spacing w:after="0" w:line="216" w:lineRule="exact"/>
              <w:rPr>
                <w:sz w:val="20"/>
                <w:szCs w:val="20"/>
                <w:color w:val="auto"/>
              </w:rPr>
            </w:pPr>
            <w:r>
              <w:rPr>
                <w:rFonts w:ascii="Arial" w:cs="Arial" w:eastAsia="Arial" w:hAnsi="Arial"/>
                <w:sz w:val="16"/>
                <w:szCs w:val="16"/>
                <w:color w:val="auto"/>
              </w:rPr>
              <w:t xml:space="preserve">Noncurrent assets of discontinued operations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r>
      <w:tr>
        <w:trPr>
          <w:trHeight w:val="25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1,095,511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1,077,710</w:t>
            </w:r>
          </w:p>
        </w:tc>
      </w:tr>
      <w:tr>
        <w:trPr>
          <w:trHeight w:val="197"/>
        </w:trPr>
        <w:tc>
          <w:tcPr>
            <w:tcW w:w="78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3,195</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3,075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3,322</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7,645</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157,864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134,124</w:t>
            </w:r>
          </w:p>
        </w:tc>
      </w:tr>
      <w:tr>
        <w:trPr>
          <w:trHeight w:val="216"/>
        </w:trPr>
        <w:tc>
          <w:tcPr>
            <w:tcW w:w="786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Current liabilities of discontinued operations </w:t>
            </w:r>
            <w:r>
              <w:rPr>
                <w:rFonts w:ascii="Arial" w:cs="Arial" w:eastAsia="Arial" w:hAnsi="Arial"/>
                <w:sz w:val="25"/>
                <w:szCs w:val="25"/>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174,924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148,885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311,551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346,518</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25,787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28,877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70,334</w:t>
            </w:r>
          </w:p>
        </w:tc>
      </w:tr>
      <w:tr>
        <w:trPr>
          <w:trHeight w:val="216"/>
        </w:trPr>
        <w:tc>
          <w:tcPr>
            <w:tcW w:w="7860" w:type="dxa"/>
            <w:vAlign w:val="bottom"/>
          </w:tcPr>
          <w:p>
            <w:pPr>
              <w:spacing w:after="0" w:line="216" w:lineRule="exact"/>
              <w:rPr>
                <w:sz w:val="20"/>
                <w:szCs w:val="20"/>
                <w:color w:val="auto"/>
              </w:rPr>
            </w:pPr>
            <w:r>
              <w:rPr>
                <w:rFonts w:ascii="Arial" w:cs="Arial" w:eastAsia="Arial" w:hAnsi="Arial"/>
                <w:sz w:val="16"/>
                <w:szCs w:val="16"/>
                <w:color w:val="auto"/>
              </w:rPr>
              <w:t xml:space="preserve">Noncurrent liabilities of discontinued operations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511,624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483,072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1,095,511</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1,077,710</w:t>
            </w: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7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ind w:left="500" w:right="320" w:hanging="330"/>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October 1, 2018, the Company made the decision to sell the fixtures business acquired from Xcerra, and, as a result, the fixtures business has been presented as discontinued operations since that date. The sale of this business was completed in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6"/>
                <w:szCs w:val="16"/>
                <w:color w:val="auto"/>
                <w:w w:val="92"/>
              </w:rPr>
              <w:t>Three Months Ended</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91"/>
              </w:rPr>
              <w:t>December 26,</w:t>
            </w:r>
          </w:p>
        </w:tc>
        <w:tc>
          <w:tcPr>
            <w:tcW w:w="18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87"/>
              </w:rPr>
              <w:t>September 26,</w:t>
            </w:r>
          </w:p>
        </w:tc>
        <w:tc>
          <w:tcPr>
            <w:tcW w:w="18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6"/>
                <w:szCs w:val="16"/>
                <w:color w:val="auto"/>
                <w:w w:val="99"/>
              </w:rPr>
              <w:t>December 28,</w:t>
            </w:r>
          </w:p>
        </w:tc>
      </w:tr>
      <w:tr>
        <w:trPr>
          <w:trHeight w:val="209"/>
        </w:trPr>
        <w:tc>
          <w:tcPr>
            <w:tcW w:w="6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r>
      <w:tr>
        <w:trPr>
          <w:trHeight w:val="199"/>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 - GAAP basis (a)</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18,774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(13,659)</w:t>
            </w: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 included in (b):</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220" w:type="dxa"/>
            <w:vAlign w:val="bottom"/>
          </w:tcPr>
          <w:p>
            <w:pPr>
              <w:ind w:left="340"/>
              <w:spacing w:after="0"/>
              <w:rPr>
                <w:sz w:val="20"/>
                <w:szCs w:val="20"/>
                <w:color w:val="auto"/>
              </w:rPr>
            </w:pPr>
            <w:r>
              <w:rPr>
                <w:rFonts w:ascii="Arial" w:cs="Arial" w:eastAsia="Arial" w:hAnsi="Arial"/>
                <w:sz w:val="16"/>
                <w:szCs w:val="16"/>
                <w:color w:val="auto"/>
              </w:rPr>
              <w:t>Cost of sales (COS)</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252</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218</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7"/>
                <w:szCs w:val="17"/>
                <w:color w:val="auto"/>
              </w:rPr>
            </w:pPr>
          </w:p>
        </w:tc>
      </w:tr>
      <w:tr>
        <w:trPr>
          <w:trHeight w:val="203"/>
        </w:trPr>
        <w:tc>
          <w:tcPr>
            <w:tcW w:w="6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 (R&amp;D)</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802</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782</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CEEFF"/>
          </w:tcPr>
          <w:p>
            <w:pPr>
              <w:spacing w:after="0"/>
              <w:rPr>
                <w:sz w:val="17"/>
                <w:szCs w:val="17"/>
                <w:color w:val="auto"/>
              </w:rPr>
            </w:pPr>
          </w:p>
        </w:tc>
      </w:tr>
      <w:tr>
        <w:trPr>
          <w:trHeight w:val="203"/>
        </w:trPr>
        <w:tc>
          <w:tcPr>
            <w:tcW w:w="6220" w:type="dxa"/>
            <w:vAlign w:val="bottom"/>
          </w:tcPr>
          <w:p>
            <w:pPr>
              <w:ind w:left="340"/>
              <w:spacing w:after="0"/>
              <w:rPr>
                <w:sz w:val="20"/>
                <w:szCs w:val="20"/>
                <w:color w:val="auto"/>
              </w:rPr>
            </w:pPr>
            <w:r>
              <w:rPr>
                <w:rFonts w:ascii="Arial" w:cs="Arial" w:eastAsia="Arial" w:hAnsi="Arial"/>
                <w:sz w:val="16"/>
                <w:szCs w:val="16"/>
                <w:color w:val="auto"/>
              </w:rPr>
              <w:t>Selling, general and administrative (SG&amp;A)</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2,867</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2,299</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17"/>
                <w:szCs w:val="17"/>
                <w:color w:val="auto"/>
              </w:rPr>
            </w:pPr>
          </w:p>
        </w:tc>
      </w:tr>
      <w:tr>
        <w:trPr>
          <w:trHeight w:val="20"/>
        </w:trPr>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3,921</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3,299</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20" w:type="dxa"/>
            <w:vAlign w:val="bottom"/>
            <w:shd w:val="clear" w:color="auto" w:fill="CCEEFF"/>
          </w:tcPr>
          <w:p>
            <w:pPr>
              <w:spacing w:after="0"/>
              <w:rPr>
                <w:sz w:val="17"/>
                <w:szCs w:val="17"/>
                <w:color w:val="auto"/>
              </w:rPr>
            </w:pP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Amortization of purchased intangible assets (c)</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9,898</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9,783</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9,615</w:t>
            </w:r>
          </w:p>
        </w:tc>
        <w:tc>
          <w:tcPr>
            <w:tcW w:w="120" w:type="dxa"/>
            <w:vAlign w:val="bottom"/>
          </w:tcPr>
          <w:p>
            <w:pPr>
              <w:spacing w:after="0"/>
              <w:rPr>
                <w:sz w:val="17"/>
                <w:szCs w:val="17"/>
                <w:color w:val="auto"/>
              </w:rPr>
            </w:pP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Restructuring charges related to inventory adjustments in COS (d)</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(550)</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2,606</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w:t>
            </w:r>
          </w:p>
        </w:tc>
        <w:tc>
          <w:tcPr>
            <w:tcW w:w="120" w:type="dxa"/>
            <w:vAlign w:val="bottom"/>
            <w:shd w:val="clear" w:color="auto" w:fill="CCEEFF"/>
          </w:tcPr>
          <w:p>
            <w:pPr>
              <w:spacing w:after="0"/>
              <w:rPr>
                <w:sz w:val="17"/>
                <w:szCs w:val="17"/>
                <w:color w:val="auto"/>
              </w:rPr>
            </w:pP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Restructuring charges (d)</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6,223</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412</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17"/>
                <w:szCs w:val="17"/>
                <w:color w:val="auto"/>
              </w:rPr>
            </w:pP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Manufacturing and sales transition costs included in (e):</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220" w:type="dxa"/>
            <w:vAlign w:val="bottom"/>
          </w:tcPr>
          <w:p>
            <w:pPr>
              <w:ind w:left="340"/>
              <w:spacing w:after="0"/>
              <w:rPr>
                <w:sz w:val="20"/>
                <w:szCs w:val="20"/>
                <w:color w:val="auto"/>
              </w:rPr>
            </w:pPr>
            <w:r>
              <w:rPr>
                <w:rFonts w:ascii="Arial" w:cs="Arial" w:eastAsia="Arial" w:hAnsi="Arial"/>
                <w:sz w:val="16"/>
                <w:szCs w:val="16"/>
                <w:color w:val="auto"/>
              </w:rPr>
              <w:t>COS</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6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R&amp;D</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6220" w:type="dxa"/>
            <w:vAlign w:val="bottom"/>
          </w:tcPr>
          <w:p>
            <w:pPr>
              <w:ind w:left="340"/>
              <w:spacing w:after="0"/>
              <w:rPr>
                <w:sz w:val="20"/>
                <w:szCs w:val="20"/>
                <w:color w:val="auto"/>
              </w:rPr>
            </w:pPr>
            <w:r>
              <w:rPr>
                <w:rFonts w:ascii="Arial" w:cs="Arial" w:eastAsia="Arial" w:hAnsi="Arial"/>
                <w:sz w:val="16"/>
                <w:szCs w:val="16"/>
                <w:color w:val="auto"/>
              </w:rPr>
              <w:t>SG&amp;A</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458</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179</w:t>
            </w:r>
          </w:p>
        </w:tc>
        <w:tc>
          <w:tcPr>
            <w:tcW w:w="18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117</w:t>
            </w:r>
          </w:p>
        </w:tc>
      </w:tr>
      <w:tr>
        <w:trPr>
          <w:trHeight w:val="20"/>
        </w:trPr>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490</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w:t>
            </w: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Impairment charges (f)</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7,300</w:t>
            </w:r>
          </w:p>
        </w:tc>
        <w:tc>
          <w:tcPr>
            <w:tcW w:w="18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costs included in SG&amp;A (g)</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7"/>
                <w:szCs w:val="17"/>
                <w:color w:val="auto"/>
              </w:rPr>
            </w:pP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Gain on sale of facility (h)</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(4,468)</w:t>
            </w:r>
          </w:p>
        </w:tc>
        <w:tc>
          <w:tcPr>
            <w:tcW w:w="18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PP&amp;E step-up included in SG&amp;A (i)</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243</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7"/>
                <w:szCs w:val="17"/>
                <w:color w:val="auto"/>
              </w:rPr>
            </w:pP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Reduction of indemnification receivable included in SG&amp;A (j)</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7"/>
                <w:szCs w:val="17"/>
                <w:color w:val="auto"/>
              </w:rPr>
            </w:pP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Payroll taxes related to accelerated vesting of share-based awards included in SG&amp;A (k)</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263</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6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6220" w:type="dxa"/>
            <w:vAlign w:val="bottom"/>
          </w:tcPr>
          <w:p>
            <w:pPr>
              <w:spacing w:after="0"/>
              <w:rPr>
                <w:sz w:val="20"/>
                <w:szCs w:val="20"/>
                <w:color w:val="auto"/>
              </w:rPr>
            </w:pPr>
            <w:r>
              <w:rPr>
                <w:rFonts w:ascii="Arial" w:cs="Arial" w:eastAsia="Arial" w:hAnsi="Arial"/>
                <w:sz w:val="16"/>
                <w:szCs w:val="16"/>
                <w:color w:val="auto"/>
              </w:rPr>
              <w:t>Income from operations - non-GAAP basis (l)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39,275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17,994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6,005</w:t>
            </w:r>
          </w:p>
        </w:tc>
        <w:tc>
          <w:tcPr>
            <w:tcW w:w="120" w:type="dxa"/>
            <w:vAlign w:val="bottom"/>
          </w:tcPr>
          <w:p>
            <w:pPr>
              <w:spacing w:after="0"/>
              <w:rPr>
                <w:sz w:val="17"/>
                <w:szCs w:val="17"/>
                <w:color w:val="auto"/>
              </w:rPr>
            </w:pPr>
          </w:p>
        </w:tc>
      </w:tr>
      <w:tr>
        <w:trPr>
          <w:trHeight w:val="20"/>
        </w:trPr>
        <w:tc>
          <w:tcPr>
            <w:tcW w:w="6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Income (loss) from continuing operations - GAAP basis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14,861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(6,646)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(16,281)</w:t>
            </w: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adjustments (as scheduled above)</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20,501</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19,354</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19,664</w:t>
            </w:r>
          </w:p>
        </w:tc>
        <w:tc>
          <w:tcPr>
            <w:tcW w:w="120" w:type="dxa"/>
            <w:vAlign w:val="bottom"/>
            <w:shd w:val="clear" w:color="auto" w:fill="CCEEFF"/>
          </w:tcPr>
          <w:p>
            <w:pPr>
              <w:spacing w:after="0"/>
              <w:rPr>
                <w:sz w:val="17"/>
                <w:szCs w:val="17"/>
                <w:color w:val="auto"/>
              </w:rPr>
            </w:pP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Tax effect of non-GAAP adjustments (m)</w:t>
            </w:r>
          </w:p>
        </w:tc>
        <w:tc>
          <w:tcPr>
            <w:tcW w:w="1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(3,556)</w:t>
            </w:r>
          </w:p>
        </w:tc>
        <w:tc>
          <w:tcPr>
            <w:tcW w:w="1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(1,080)</w:t>
            </w:r>
          </w:p>
        </w:tc>
        <w:tc>
          <w:tcPr>
            <w:tcW w:w="18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(3,914)</w:t>
            </w:r>
          </w:p>
        </w:tc>
      </w:tr>
      <w:tr>
        <w:trPr>
          <w:trHeight w:val="20"/>
        </w:trPr>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 - non-GAAP basis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31,806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11,628</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(531)</w:t>
            </w:r>
          </w:p>
        </w:tc>
      </w:tr>
      <w:tr>
        <w:trPr>
          <w:trHeight w:val="183"/>
        </w:trPr>
        <w:tc>
          <w:tcPr>
            <w:tcW w:w="6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02"/>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GAAP income (loss) from continuing operations per share - diluted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(0.39)</w:t>
            </w:r>
          </w:p>
        </w:tc>
      </w:tr>
      <w:tr>
        <w:trPr>
          <w:trHeight w:val="203"/>
        </w:trPr>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Non-GAAP income (loss) from continuing operations per share - diluted (n)</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0.73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0.27</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r>
      <w:tr>
        <w:trPr>
          <w:trHeight w:val="54"/>
        </w:trPr>
        <w:tc>
          <w:tcPr>
            <w:tcW w:w="6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3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and impairment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Employer payroll taxes related to accelerated vesting share-based awards is dependent on the Company’s stock price, the number of awards vested and tax regulations specific to the country in which the employee resides, over which management has limited to no control and, as such, management does not believe it correlates to the Company’s operation of the business. Impairment charges and gain on sale of facility have been excluded as these amounts are infrequent and are unrelated to the operational performance of Cohu. Adjustments for inventory and PP&amp;E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253"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9.3%, (0.9)% and (9.6)% of net sales, respectively.</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restructuring costs incurred related to the German operations and the integration of Xcerra.</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manufacturing and sales transition and severance costs.</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impairment charges recorded to adjust IPR&amp;D assets obtained in the acquisition of Xcerra to current fair value.</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professional fees and other direct incremental expenses incurred related to the acquisition of Xcerra.</w:t>
      </w:r>
    </w:p>
    <w:p>
      <w:pPr>
        <w:ind w:left="500" w:right="46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the gains generated by the sale of the Company’s facilities in Rosenheim, Germany in the third quarter and Penang, Malaysia in the second quarter, sold as part of the previously announced Xcerra integration and restructuring program.</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the accelerated depreciation from the property, plant &amp; equipment step-up related to the acquisition of Xcerra.</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the impact of the reduction of an uncertain tax position liability and related indemnification receivable.</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eliminate the impact of employer payroll taxes associated with the acceleration of Pascal Rondé share-based awards under the terms of his separation agreement.</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19.4%, 11.9% and 4.2% of net sales, respectively.</w:t>
      </w:r>
    </w:p>
    <w:p>
      <w:pPr>
        <w:ind w:left="500" w:hanging="330"/>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ind w:left="500" w:right="40" w:hanging="330"/>
        <w:spacing w:after="0" w:line="232"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periods presented were computed using the number of GAAP diluted shares outstanding except the three months ended September 26, 2020 which was computed using 42,659 shares outstanding as the effect of dilutive securities was excluded from GAAP diluted common shares due to the reported net loss under GAAP, but are included for non-GAAP diluted common shares since the Company has 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gridSpan w:val="6"/>
          </w:tcPr>
          <w:p>
            <w:pPr>
              <w:jc w:val="right"/>
              <w:ind w:right="1020"/>
              <w:spacing w:after="0"/>
              <w:rPr>
                <w:sz w:val="20"/>
                <w:szCs w:val="20"/>
                <w:color w:val="auto"/>
              </w:rPr>
            </w:pPr>
            <w:r>
              <w:rPr>
                <w:rFonts w:ascii="Arial" w:cs="Arial" w:eastAsia="Arial" w:hAnsi="Arial"/>
                <w:sz w:val="16"/>
                <w:szCs w:val="16"/>
                <w:color w:val="auto"/>
              </w:rPr>
              <w:t>Twelve Months Ended</w:t>
            </w:r>
          </w:p>
        </w:tc>
      </w:tr>
      <w:tr>
        <w:trPr>
          <w:trHeight w:val="203"/>
        </w:trPr>
        <w:tc>
          <w:tcPr>
            <w:tcW w:w="6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6"/>
                <w:szCs w:val="16"/>
                <w:color w:val="auto"/>
                <w:w w:val="99"/>
              </w:rPr>
              <w:t>December 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6"/>
                <w:szCs w:val="16"/>
                <w:color w:val="auto"/>
                <w:w w:val="99"/>
              </w:rPr>
              <w:t>December 28,</w:t>
            </w:r>
          </w:p>
        </w:tc>
      </w:tr>
      <w:tr>
        <w:trPr>
          <w:trHeight w:val="209"/>
        </w:trPr>
        <w:tc>
          <w:tcPr>
            <w:tcW w:w="6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r>
      <w:tr>
        <w:trPr>
          <w:trHeight w:val="199"/>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 - GAAP basis (a)</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(52,328)</w:t>
            </w: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Non-GAAP adjustments: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 included in (b):</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500"/>
              <w:spacing w:after="0"/>
              <w:rPr>
                <w:sz w:val="20"/>
                <w:szCs w:val="20"/>
                <w:color w:val="auto"/>
              </w:rPr>
            </w:pPr>
            <w:r>
              <w:rPr>
                <w:rFonts w:ascii="Arial" w:cs="Arial" w:eastAsia="Arial" w:hAnsi="Arial"/>
                <w:sz w:val="16"/>
                <w:szCs w:val="16"/>
                <w:color w:val="auto"/>
              </w:rPr>
              <w:t>Cost of sales (COS)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Research and development (R&amp;D)</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500"/>
              <w:spacing w:after="0"/>
              <w:rPr>
                <w:sz w:val="20"/>
                <w:szCs w:val="20"/>
                <w:color w:val="auto"/>
              </w:rPr>
            </w:pPr>
            <w:r>
              <w:rPr>
                <w:rFonts w:ascii="Arial" w:cs="Arial" w:eastAsia="Arial" w:hAnsi="Arial"/>
                <w:sz w:val="16"/>
                <w:szCs w:val="16"/>
                <w:color w:val="auto"/>
              </w:rPr>
              <w:t>Selling, general and administrative (SG&amp;A)</w:t>
            </w:r>
          </w:p>
        </w:tc>
        <w:tc>
          <w:tcPr>
            <w:tcW w:w="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10,418</w:t>
            </w:r>
          </w:p>
        </w:tc>
        <w:tc>
          <w:tcPr>
            <w:tcW w:w="120" w:type="dxa"/>
            <w:vAlign w:val="bottom"/>
          </w:tcPr>
          <w:p>
            <w:pPr>
              <w:spacing w:after="0"/>
              <w:rPr>
                <w:sz w:val="17"/>
                <w:szCs w:val="17"/>
                <w:color w:val="auto"/>
              </w:rPr>
            </w:pPr>
          </w:p>
        </w:tc>
      </w:tr>
      <w:tr>
        <w:trPr>
          <w:trHeight w:val="196"/>
        </w:trPr>
        <w:tc>
          <w:tcPr>
            <w:tcW w:w="6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14,148</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340"/>
              <w:spacing w:after="0"/>
              <w:rPr>
                <w:sz w:val="20"/>
                <w:szCs w:val="20"/>
                <w:color w:val="auto"/>
              </w:rPr>
            </w:pPr>
            <w:r>
              <w:rPr>
                <w:rFonts w:ascii="Arial" w:cs="Arial" w:eastAsia="Arial" w:hAnsi="Arial"/>
                <w:sz w:val="16"/>
                <w:szCs w:val="16"/>
                <w:color w:val="auto"/>
              </w:rPr>
              <w:t>Amortization of purchased intangible assets (c)</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38,746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39,590</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charges related to inventory adjustments in COS (d)</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340"/>
              <w:spacing w:after="0"/>
              <w:rPr>
                <w:sz w:val="20"/>
                <w:szCs w:val="20"/>
                <w:color w:val="auto"/>
              </w:rPr>
            </w:pPr>
            <w:r>
              <w:rPr>
                <w:rFonts w:ascii="Arial" w:cs="Arial" w:eastAsia="Arial" w:hAnsi="Arial"/>
                <w:sz w:val="16"/>
                <w:szCs w:val="16"/>
                <w:color w:val="auto"/>
              </w:rPr>
              <w:t>Restructuring charges (d)</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13,484</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Manufacturing and sales transition costs included in (e):</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COS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1,211</w:t>
            </w: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R&amp;D</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SG&amp;A</w:t>
            </w:r>
          </w:p>
        </w:tc>
        <w:tc>
          <w:tcPr>
            <w:tcW w:w="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120" w:type="dxa"/>
            <w:vAlign w:val="bottom"/>
          </w:tcPr>
          <w:p>
            <w:pPr>
              <w:spacing w:after="0"/>
              <w:rPr>
                <w:sz w:val="17"/>
                <w:szCs w:val="17"/>
                <w:color w:val="auto"/>
              </w:rPr>
            </w:pPr>
          </w:p>
        </w:tc>
      </w:tr>
      <w:tr>
        <w:trPr>
          <w:trHeight w:val="196"/>
        </w:trPr>
        <w:tc>
          <w:tcPr>
            <w:tcW w:w="6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340"/>
              <w:spacing w:after="0"/>
              <w:rPr>
                <w:sz w:val="20"/>
                <w:szCs w:val="20"/>
                <w:color w:val="auto"/>
              </w:rPr>
            </w:pPr>
            <w:r>
              <w:rPr>
                <w:rFonts w:ascii="Arial" w:cs="Arial" w:eastAsia="Arial" w:hAnsi="Arial"/>
                <w:sz w:val="16"/>
                <w:szCs w:val="16"/>
                <w:color w:val="auto"/>
              </w:rPr>
              <w:t>Impairment charges (f)</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11,249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6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340"/>
              <w:spacing w:after="0"/>
              <w:rPr>
                <w:sz w:val="20"/>
                <w:szCs w:val="20"/>
                <w:color w:val="auto"/>
              </w:rPr>
            </w:pPr>
            <w:r>
              <w:rPr>
                <w:rFonts w:ascii="Arial" w:cs="Arial" w:eastAsia="Arial" w:hAnsi="Arial"/>
                <w:sz w:val="16"/>
                <w:szCs w:val="16"/>
                <w:color w:val="auto"/>
              </w:rPr>
              <w:t>Acquisition costs included in SG&amp;A (g)</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sale of facility (h)</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6940" w:type="dxa"/>
            <w:vAlign w:val="bottom"/>
          </w:tcPr>
          <w:p>
            <w:pPr>
              <w:ind w:left="340"/>
              <w:spacing w:after="0"/>
              <w:rPr>
                <w:sz w:val="20"/>
                <w:szCs w:val="20"/>
                <w:color w:val="auto"/>
              </w:rPr>
            </w:pPr>
            <w:r>
              <w:rPr>
                <w:rFonts w:ascii="Arial" w:cs="Arial" w:eastAsia="Arial" w:hAnsi="Arial"/>
                <w:sz w:val="16"/>
                <w:szCs w:val="16"/>
                <w:color w:val="auto"/>
              </w:rPr>
              <w:t>Inventory step-up included in COS (i)</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6,038</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PP&amp;E step-up included in SG&amp;A (j)</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340"/>
              <w:spacing w:after="0"/>
              <w:rPr>
                <w:sz w:val="20"/>
                <w:szCs w:val="20"/>
                <w:color w:val="auto"/>
              </w:rPr>
            </w:pPr>
            <w:r>
              <w:rPr>
                <w:rFonts w:ascii="Arial" w:cs="Arial" w:eastAsia="Arial" w:hAnsi="Arial"/>
                <w:sz w:val="16"/>
                <w:szCs w:val="16"/>
                <w:color w:val="auto"/>
              </w:rPr>
              <w:t>Reduction of indemnification receivable included in SG&amp;A (k)</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taxes related to accelerated vesting of share-based awards included in SG&amp;A (l)</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6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 - non-GAAP basis (m)</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76,404</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31,903</w:t>
            </w:r>
          </w:p>
        </w:tc>
        <w:tc>
          <w:tcPr>
            <w:tcW w:w="120" w:type="dxa"/>
            <w:vAlign w:val="bottom"/>
            <w:shd w:val="clear" w:color="auto" w:fill="CCEEFF"/>
          </w:tcPr>
          <w:p>
            <w:pPr>
              <w:spacing w:after="0"/>
              <w:rPr>
                <w:sz w:val="20"/>
                <w:szCs w:val="20"/>
                <w:color w:val="auto"/>
              </w:rPr>
            </w:pPr>
          </w:p>
        </w:tc>
      </w:tr>
      <w:tr>
        <w:trPr>
          <w:trHeight w:val="183"/>
        </w:trPr>
        <w:tc>
          <w:tcPr>
            <w:tcW w:w="694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Loss from continuing operations - GAAP basis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(13,843)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(68,995)</w:t>
            </w:r>
          </w:p>
        </w:tc>
      </w:tr>
      <w:tr>
        <w:trPr>
          <w:trHeight w:val="203"/>
        </w:trPr>
        <w:tc>
          <w:tcPr>
            <w:tcW w:w="6940" w:type="dxa"/>
            <w:vAlign w:val="bottom"/>
          </w:tcPr>
          <w:p>
            <w:pPr>
              <w:ind w:left="340"/>
              <w:spacing w:after="0"/>
              <w:rPr>
                <w:sz w:val="20"/>
                <w:szCs w:val="20"/>
                <w:color w:val="auto"/>
              </w:rPr>
            </w:pPr>
            <w:r>
              <w:rPr>
                <w:rFonts w:ascii="Arial" w:cs="Arial" w:eastAsia="Arial" w:hAnsi="Arial"/>
                <w:sz w:val="16"/>
                <w:szCs w:val="16"/>
                <w:color w:val="auto"/>
              </w:rPr>
              <w:t>Non-GAAP adjustments (as scheduled above)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73,144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84,231</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effect of non-GAAP adjustments (n)</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(11,456)</w:t>
            </w:r>
          </w:p>
        </w:tc>
      </w:tr>
      <w:tr>
        <w:trPr>
          <w:trHeight w:val="20"/>
        </w:trPr>
        <w:tc>
          <w:tcPr>
            <w:tcW w:w="69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6940" w:type="dxa"/>
            <w:vAlign w:val="bottom"/>
          </w:tcPr>
          <w:p>
            <w:pPr>
              <w:spacing w:after="0"/>
              <w:rPr>
                <w:sz w:val="20"/>
                <w:szCs w:val="20"/>
                <w:color w:val="auto"/>
              </w:rPr>
            </w:pPr>
            <w:r>
              <w:rPr>
                <w:rFonts w:ascii="Arial" w:cs="Arial" w:eastAsia="Arial" w:hAnsi="Arial"/>
                <w:sz w:val="16"/>
                <w:szCs w:val="16"/>
                <w:color w:val="auto"/>
              </w:rPr>
              <w:t>Income from continuing operations - non-GAAP basis</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50,694</w:t>
            </w:r>
          </w:p>
        </w:tc>
        <w:tc>
          <w:tcPr>
            <w:tcW w:w="1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3,780</w:t>
            </w:r>
          </w:p>
        </w:tc>
        <w:tc>
          <w:tcPr>
            <w:tcW w:w="12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GAAP loss per share from continuing operations - diluted</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(0.33)</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(1.68)</w:t>
            </w:r>
          </w:p>
        </w:tc>
      </w:tr>
      <w:tr>
        <w:trPr>
          <w:trHeight w:val="203"/>
        </w:trPr>
        <w:tc>
          <w:tcPr>
            <w:tcW w:w="6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6940" w:type="dxa"/>
            <w:vAlign w:val="bottom"/>
          </w:tcPr>
          <w:p>
            <w:pPr>
              <w:spacing w:after="0"/>
              <w:rPr>
                <w:sz w:val="20"/>
                <w:szCs w:val="20"/>
                <w:color w:val="auto"/>
              </w:rPr>
            </w:pPr>
            <w:r>
              <w:rPr>
                <w:rFonts w:ascii="Arial" w:cs="Arial" w:eastAsia="Arial" w:hAnsi="Arial"/>
                <w:sz w:val="16"/>
                <w:szCs w:val="16"/>
                <w:color w:val="auto"/>
              </w:rPr>
              <w:t>Non-GAAP income per share - diluted (o)</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7"/>
                <w:szCs w:val="17"/>
                <w:color w:val="auto"/>
              </w:rPr>
            </w:pPr>
          </w:p>
        </w:tc>
      </w:tr>
    </w:tbl>
    <w:p>
      <w:pPr>
        <w:spacing w:after="0" w:line="193"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Impairment charges and gain on sale of facility have been excluded as these amounts are infrequent and are unrelated to the operational performance of Cohu. Acquisition costs, fair value adjustment to contingent consideration and adjustments for inventory and PP&amp;E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19" w:lineRule="exact"/>
        <w:rPr>
          <w:sz w:val="20"/>
          <w:szCs w:val="20"/>
          <w:color w:val="auto"/>
        </w:rPr>
      </w:pPr>
    </w:p>
    <w:p>
      <w:pPr>
        <w:ind w:left="320" w:hanging="245"/>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0.5% and (9.0)% of net sales, respectively.</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restructuring costs incurred related to the German operations and the integration of Xcerra.</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manufacturing and sales transition and severance costs.</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impairment charges recorded to adjust IPR&amp;D assets obtained in the acquisition of Xcerra to current fair value.</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professional fees and other direct incremental expenses incurred related to the acquisition of Xcerra.</w:t>
      </w:r>
    </w:p>
    <w:p>
      <w:pPr>
        <w:ind w:left="320" w:right="38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gains generated by the sale of the Company’s facilities in Rosenheim, Germany and Penang, Malaysia sold as part of the previously announced Xcerra integration and restructuring program.</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inventory step-up costs incurred related to the acquisition of Xcerra.</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property, plant &amp; equipment step-up depreciation accelerated related to the acquisition of Xcerra.</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impact of the reduction of an uncertain tax position liability and related indemnification receivable.</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impact of employer payroll taxes associated with the acceleration of Pascal Rondé share-based awards under the terms of his separation agreement.</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12.0% and 5.5% of net sales, respectively.</w:t>
      </w:r>
    </w:p>
    <w:p>
      <w:pPr>
        <w:ind w:left="320" w:hanging="245"/>
        <w:spacing w:after="0" w:line="22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jc w:val="both"/>
        <w:ind w:left="320" w:right="380" w:hanging="245"/>
        <w:spacing w:after="0" w:line="232"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twelve months ended December 26, 2020 and December 26, 2019 were computed using 42,714 and 41,652 shares outstanding, respectively, as the effect of dilutive securities was excluded from GAAP diluted common shares due to the reported net loss under GAAP, but are included for non-GAAP diluted common shares since the Company has non-GAAP net income. All other periods were calculated utilizing the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20"/>
                <w:szCs w:val="20"/>
                <w:color w:val="auto"/>
              </w:rPr>
            </w:pPr>
            <w:r>
              <w:rPr>
                <w:rFonts w:ascii="Arial" w:cs="Arial" w:eastAsia="Arial" w:hAnsi="Arial"/>
                <w:sz w:val="16"/>
                <w:szCs w:val="16"/>
                <w:b w:val="1"/>
                <w:bCs w:val="1"/>
                <w:color w:val="auto"/>
              </w:rPr>
              <w:t>COHU, INC.</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20" w:type="dxa"/>
            <w:vAlign w:val="bottom"/>
            <w:gridSpan w:val="5"/>
          </w:tcPr>
          <w:p>
            <w:pPr>
              <w:spacing w:after="0"/>
              <w:rPr>
                <w:sz w:val="20"/>
                <w:szCs w:val="20"/>
                <w:color w:val="auto"/>
              </w:rPr>
            </w:pPr>
            <w:r>
              <w:rPr>
                <w:rFonts w:ascii="Arial" w:cs="Arial" w:eastAsia="Arial" w:hAnsi="Arial"/>
                <w:sz w:val="16"/>
                <w:szCs w:val="16"/>
                <w:b w:val="1"/>
                <w:bCs w:val="1"/>
                <w:color w:val="auto"/>
              </w:rPr>
              <w:t>Supplemental Reconciliation of GAAP Results to Non-GAAP Financial Measures (Unaudited)</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w w:val="90"/>
              </w:rPr>
              <w:t>Three Months Ended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6"/>
                <w:szCs w:val="16"/>
                <w:color w:val="auto"/>
                <w:w w:val="97"/>
              </w:rPr>
              <w:t>December 26,</w:t>
            </w:r>
          </w:p>
        </w:tc>
        <w:tc>
          <w:tcPr>
            <w:tcW w:w="80" w:type="dxa"/>
            <w:vAlign w:val="bottom"/>
          </w:tcPr>
          <w:p>
            <w:pPr>
              <w:spacing w:after="0"/>
              <w:rPr>
                <w:sz w:val="17"/>
                <w:szCs w:val="17"/>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6"/>
                <w:szCs w:val="16"/>
                <w:color w:val="auto"/>
              </w:rPr>
              <w:t>September 26,</w:t>
            </w:r>
          </w:p>
        </w:tc>
        <w:tc>
          <w:tcPr>
            <w:tcW w:w="180" w:type="dxa"/>
            <w:vAlign w:val="bottom"/>
          </w:tcPr>
          <w:p>
            <w:pPr>
              <w:spacing w:after="0"/>
              <w:rPr>
                <w:sz w:val="17"/>
                <w:szCs w:val="17"/>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6"/>
                <w:szCs w:val="16"/>
                <w:color w:val="auto"/>
                <w:w w:val="97"/>
              </w:rPr>
              <w:t>December 28,</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 Reconciliation</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5"/>
                <w:szCs w:val="15"/>
                <w:color w:val="auto"/>
              </w:rPr>
              <w:t xml:space="preserve">Gross profit - GAAP basis (excluding amortization) </w:t>
            </w:r>
            <w:r>
              <w:rPr>
                <w:rFonts w:ascii="Arial" w:cs="Arial" w:eastAsia="Arial" w:hAnsi="Arial"/>
                <w:sz w:val="23"/>
                <w:szCs w:val="23"/>
                <w:color w:val="auto"/>
                <w:vertAlign w:val="superscript"/>
              </w:rPr>
              <w:t>(1)</w:t>
            </w:r>
          </w:p>
        </w:tc>
        <w:tc>
          <w:tcPr>
            <w:tcW w:w="8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91,241</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63,500</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54,075</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Non-GAAP adjustments to cost of sales (as scheduled above)</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(272)</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Pr>
          <w:p>
            <w:pPr>
              <w:ind w:left="180"/>
              <w:spacing w:after="0"/>
              <w:rPr>
                <w:sz w:val="20"/>
                <w:szCs w:val="20"/>
                <w:color w:val="auto"/>
              </w:rPr>
            </w:pPr>
            <w:r>
              <w:rPr>
                <w:rFonts w:ascii="Arial" w:cs="Arial" w:eastAsia="Arial" w:hAnsi="Arial"/>
                <w:sz w:val="16"/>
                <w:szCs w:val="16"/>
                <w:color w:val="auto"/>
              </w:rPr>
              <w:t>Gross profit - Non-GAAP basis</w:t>
            </w:r>
          </w:p>
        </w:tc>
        <w:tc>
          <w:tcPr>
            <w:tcW w:w="6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90,969</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66,324</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56,674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right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40" w:type="dxa"/>
            <w:vAlign w:val="bottom"/>
          </w:tcPr>
          <w:p>
            <w:pPr>
              <w:ind w:left="180"/>
              <w:spacing w:after="0"/>
              <w:rPr>
                <w:sz w:val="20"/>
                <w:szCs w:val="20"/>
                <w:color w:val="auto"/>
              </w:rPr>
            </w:pPr>
            <w:r>
              <w:rPr>
                <w:rFonts w:ascii="Arial" w:cs="Arial" w:eastAsia="Arial" w:hAnsi="Arial"/>
                <w:sz w:val="16"/>
                <w:szCs w:val="16"/>
                <w:color w:val="auto"/>
              </w:rPr>
              <w:t>As a percentage of net sales: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GAAP gross profit</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45.1%</w:t>
            </w:r>
          </w:p>
        </w:tc>
        <w:tc>
          <w:tcPr>
            <w:tcW w:w="80" w:type="dxa"/>
            <w:vAlign w:val="bottom"/>
            <w:shd w:val="clear" w:color="auto" w:fill="CCEEFF"/>
          </w:tcPr>
          <w:p>
            <w:pPr>
              <w:spacing w:after="0"/>
              <w:rPr>
                <w:sz w:val="17"/>
                <w:szCs w:val="17"/>
                <w:color w:val="auto"/>
              </w:rPr>
            </w:pPr>
          </w:p>
        </w:tc>
        <w:tc>
          <w:tcPr>
            <w:tcW w:w="1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42.2%</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03"/>
        </w:trPr>
        <w:tc>
          <w:tcPr>
            <w:tcW w:w="5440" w:type="dxa"/>
            <w:vAlign w:val="bottom"/>
          </w:tcPr>
          <w:p>
            <w:pPr>
              <w:ind w:left="340"/>
              <w:spacing w:after="0"/>
              <w:rPr>
                <w:sz w:val="20"/>
                <w:szCs w:val="20"/>
                <w:color w:val="auto"/>
              </w:rPr>
            </w:pPr>
            <w:r>
              <w:rPr>
                <w:rFonts w:ascii="Arial" w:cs="Arial" w:eastAsia="Arial" w:hAnsi="Arial"/>
                <w:sz w:val="16"/>
                <w:szCs w:val="16"/>
                <w:color w:val="auto"/>
              </w:rPr>
              <w:t>Non-GAAP gross profit</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44.0%</w:t>
            </w: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b w:val="1"/>
                <w:bCs w:val="1"/>
                <w:color w:val="auto"/>
              </w:rPr>
              <w:t>Adjusted EBITDA Reconciliation</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Cohu - GAAP Basis</w:t>
            </w:r>
          </w:p>
        </w:tc>
        <w:tc>
          <w:tcPr>
            <w:tcW w:w="8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14,861</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(6,646)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(17,266)</w:t>
            </w:r>
          </w:p>
        </w:tc>
        <w:tc>
          <w:tcPr>
            <w:tcW w:w="0" w:type="dxa"/>
            <w:vAlign w:val="bottom"/>
          </w:tcPr>
          <w:p>
            <w:pPr>
              <w:spacing w:after="0"/>
              <w:rPr>
                <w:sz w:val="1"/>
                <w:szCs w:val="1"/>
                <w:color w:val="auto"/>
              </w:rPr>
            </w:pPr>
          </w:p>
        </w:tc>
      </w:tr>
      <w:tr>
        <w:trPr>
          <w:trHeight w:val="203"/>
        </w:trPr>
        <w:tc>
          <w:tcPr>
            <w:tcW w:w="5440" w:type="dxa"/>
            <w:vAlign w:val="bottom"/>
          </w:tcPr>
          <w:p>
            <w:pPr>
              <w:ind w:left="340"/>
              <w:spacing w:after="0"/>
              <w:rPr>
                <w:sz w:val="20"/>
                <w:szCs w:val="20"/>
                <w:color w:val="auto"/>
              </w:rPr>
            </w:pPr>
            <w:r>
              <w:rPr>
                <w:rFonts w:ascii="Arial" w:cs="Arial" w:eastAsia="Arial" w:hAnsi="Arial"/>
                <w:sz w:val="16"/>
                <w:szCs w:val="16"/>
                <w:color w:val="auto"/>
              </w:rPr>
              <w:t>Loss from discontinued operations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provision (benefit)</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1,116</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03"/>
        </w:trPr>
        <w:tc>
          <w:tcPr>
            <w:tcW w:w="544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2,855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3,021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4,767</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7"/>
                <w:szCs w:val="17"/>
                <w:color w:val="auto"/>
              </w:rPr>
            </w:pPr>
          </w:p>
        </w:tc>
        <w:tc>
          <w:tcPr>
            <w:tcW w:w="1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3"/>
        </w:trPr>
        <w:tc>
          <w:tcPr>
            <w:tcW w:w="5440" w:type="dxa"/>
            <w:vAlign w:val="bottom"/>
          </w:tcPr>
          <w:p>
            <w:pPr>
              <w:ind w:left="340"/>
              <w:spacing w:after="0"/>
              <w:rPr>
                <w:sz w:val="20"/>
                <w:szCs w:val="20"/>
                <w:color w:val="auto"/>
              </w:rPr>
            </w:pPr>
            <w:r>
              <w:rPr>
                <w:rFonts w:ascii="Arial" w:cs="Arial" w:eastAsia="Arial" w:hAnsi="Arial"/>
                <w:sz w:val="16"/>
                <w:szCs w:val="16"/>
                <w:color w:val="auto"/>
              </w:rPr>
              <w:t>Amortization of purchased intangible assets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9,898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9,783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9,615</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3,893</w:t>
            </w:r>
          </w:p>
        </w:tc>
        <w:tc>
          <w:tcPr>
            <w:tcW w:w="0" w:type="dxa"/>
            <w:vAlign w:val="bottom"/>
          </w:tcPr>
          <w:p>
            <w:pPr>
              <w:spacing w:after="0"/>
              <w:rPr>
                <w:sz w:val="1"/>
                <w:szCs w:val="1"/>
                <w:color w:val="auto"/>
              </w:rPr>
            </w:pPr>
          </w:p>
        </w:tc>
      </w:tr>
      <w:tr>
        <w:trPr>
          <w:trHeight w:val="203"/>
        </w:trPr>
        <w:tc>
          <w:tcPr>
            <w:tcW w:w="5440" w:type="dxa"/>
            <w:vAlign w:val="bottom"/>
          </w:tcPr>
          <w:p>
            <w:pPr>
              <w:ind w:left="340"/>
              <w:spacing w:after="0" w:line="202" w:lineRule="exact"/>
              <w:rPr>
                <w:sz w:val="20"/>
                <w:szCs w:val="20"/>
                <w:color w:val="auto"/>
              </w:rPr>
            </w:pPr>
            <w:r>
              <w:rPr>
                <w:rFonts w:ascii="Arial" w:cs="Arial" w:eastAsia="Arial" w:hAnsi="Arial"/>
                <w:sz w:val="15"/>
                <w:szCs w:val="15"/>
                <w:color w:val="auto"/>
              </w:rPr>
              <w:t xml:space="preserve">Amortization of cloud-based software implementation costs </w:t>
            </w:r>
            <w:r>
              <w:rPr>
                <w:rFonts w:ascii="Arial" w:cs="Arial" w:eastAsia="Arial" w:hAnsi="Arial"/>
                <w:sz w:val="23"/>
                <w:szCs w:val="23"/>
                <w:color w:val="auto"/>
                <w:vertAlign w:val="superscript"/>
              </w:rPr>
              <w:t>(2)</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non-GAAP adjustments (as scheduled above)</w:t>
            </w: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10,458</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9,806</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ind w:left="180"/>
              <w:spacing w:after="0"/>
              <w:rPr>
                <w:sz w:val="20"/>
                <w:szCs w:val="20"/>
                <w:color w:val="auto"/>
              </w:rPr>
            </w:pPr>
            <w:r>
              <w:rPr>
                <w:rFonts w:ascii="Arial" w:cs="Arial" w:eastAsia="Arial" w:hAnsi="Arial"/>
                <w:sz w:val="16"/>
                <w:szCs w:val="16"/>
                <w:color w:val="auto"/>
              </w:rPr>
              <w:t>Adjusted EBITDA</w:t>
            </w:r>
          </w:p>
        </w:tc>
        <w:tc>
          <w:tcPr>
            <w:tcW w:w="8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42,388</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20,340</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8,450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right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40" w:type="dxa"/>
            <w:vAlign w:val="bottom"/>
          </w:tcPr>
          <w:p>
            <w:pPr>
              <w:ind w:left="180"/>
              <w:spacing w:after="0"/>
              <w:rPr>
                <w:sz w:val="20"/>
                <w:szCs w:val="20"/>
                <w:color w:val="auto"/>
              </w:rPr>
            </w:pPr>
            <w:r>
              <w:rPr>
                <w:rFonts w:ascii="Arial" w:cs="Arial" w:eastAsia="Arial" w:hAnsi="Arial"/>
                <w:sz w:val="16"/>
                <w:szCs w:val="16"/>
                <w:color w:val="auto"/>
              </w:rPr>
              <w:t>As a percentage of net sales: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(loss) attributable to Cohu - GAAP Basis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7"/>
                <w:szCs w:val="17"/>
                <w:color w:val="auto"/>
              </w:rPr>
            </w:pPr>
          </w:p>
        </w:tc>
        <w:tc>
          <w:tcPr>
            <w:tcW w:w="1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3"/>
        </w:trPr>
        <w:tc>
          <w:tcPr>
            <w:tcW w:w="544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b w:val="1"/>
                <w:bCs w:val="1"/>
                <w:color w:val="auto"/>
              </w:rPr>
              <w:t>Operating Expense Reconciliation</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 - GAAP basis</w:t>
            </w:r>
          </w:p>
        </w:tc>
        <w:tc>
          <w:tcPr>
            <w:tcW w:w="8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72,467</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64,860</w:t>
            </w: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67,734</w:t>
            </w:r>
          </w:p>
        </w:tc>
        <w:tc>
          <w:tcPr>
            <w:tcW w:w="0" w:type="dxa"/>
            <w:vAlign w:val="bottom"/>
          </w:tcPr>
          <w:p>
            <w:pPr>
              <w:spacing w:after="0"/>
              <w:rPr>
                <w:sz w:val="1"/>
                <w:szCs w:val="1"/>
                <w:color w:val="auto"/>
              </w:rPr>
            </w:pPr>
          </w:p>
        </w:tc>
      </w:tr>
      <w:tr>
        <w:trPr>
          <w:trHeight w:val="203"/>
        </w:trPr>
        <w:tc>
          <w:tcPr>
            <w:tcW w:w="5440" w:type="dxa"/>
            <w:vAlign w:val="bottom"/>
          </w:tcPr>
          <w:p>
            <w:pPr>
              <w:ind w:left="340"/>
              <w:spacing w:after="0"/>
              <w:rPr>
                <w:sz w:val="20"/>
                <w:szCs w:val="20"/>
                <w:color w:val="auto"/>
              </w:rPr>
            </w:pPr>
            <w:r>
              <w:rPr>
                <w:rFonts w:ascii="Arial" w:cs="Arial" w:eastAsia="Arial" w:hAnsi="Arial"/>
                <w:sz w:val="16"/>
                <w:szCs w:val="16"/>
                <w:color w:val="auto"/>
              </w:rPr>
              <w:t>Non-GAAP adjustments to operating expenses (as scheduled above)</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(20,773)</w:t>
            </w:r>
          </w:p>
        </w:tc>
        <w:tc>
          <w:tcPr>
            <w:tcW w:w="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(16,530)</w:t>
            </w:r>
          </w:p>
        </w:tc>
        <w:tc>
          <w:tcPr>
            <w:tcW w:w="18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(17,065)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 - Non-GAAP basis</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51,694</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48,330</w:t>
            </w: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50,669</w:t>
            </w:r>
          </w:p>
        </w:tc>
        <w:tc>
          <w:tcPr>
            <w:tcW w:w="0" w:type="dxa"/>
            <w:vAlign w:val="bottom"/>
          </w:tcPr>
          <w:p>
            <w:pPr>
              <w:spacing w:after="0"/>
              <w:rPr>
                <w:sz w:val="1"/>
                <w:szCs w:val="1"/>
                <w:color w:val="auto"/>
              </w:rPr>
            </w:pPr>
          </w:p>
        </w:tc>
      </w:tr>
      <w:tr>
        <w:trPr>
          <w:trHeight w:val="35"/>
        </w:trPr>
        <w:tc>
          <w:tcPr>
            <w:tcW w:w="5440" w:type="dxa"/>
            <w:vAlign w:val="bottom"/>
            <w:tcBorders>
              <w:top w:val="single" w:sz="8" w:color="CCEEFF"/>
              <w:bottom w:val="single" w:sz="8" w:color="auto"/>
            </w:tcBorders>
          </w:tcPr>
          <w:p>
            <w:pPr>
              <w:spacing w:after="0"/>
              <w:rPr>
                <w:sz w:val="3"/>
                <w:szCs w:val="3"/>
                <w:color w:val="auto"/>
              </w:rPr>
            </w:pPr>
          </w:p>
        </w:tc>
        <w:tc>
          <w:tcPr>
            <w:tcW w:w="68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CCEEFF"/>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00" w:hanging="245"/>
        <w:spacing w:after="0"/>
        <w:tabs>
          <w:tab w:leader="none" w:pos="300" w:val="left"/>
        </w:tabs>
        <w:numPr>
          <w:ilvl w:val="0"/>
          <w:numId w:val="7"/>
        </w:numPr>
        <w:rPr>
          <w:rFonts w:ascii="Arial" w:cs="Arial" w:eastAsia="Arial" w:hAnsi="Arial"/>
          <w:sz w:val="15"/>
          <w:szCs w:val="15"/>
          <w:color w:val="auto"/>
        </w:rPr>
      </w:pPr>
      <w:r>
        <w:rPr>
          <w:rFonts w:ascii="Arial" w:cs="Arial" w:eastAsia="Arial" w:hAnsi="Arial"/>
          <w:sz w:val="15"/>
          <w:szCs w:val="15"/>
          <w:color w:val="auto"/>
        </w:rPr>
        <w:t>Excludes amortization of $7,541, $7,447 and $7,263 for the three months ending December 26, 2020, September 26, 2020 and December 28, 2019, respectively.</w:t>
      </w:r>
    </w:p>
    <w:p>
      <w:pPr>
        <w:spacing w:after="0" w:line="33" w:lineRule="exact"/>
        <w:rPr>
          <w:rFonts w:ascii="Arial" w:cs="Arial" w:eastAsia="Arial" w:hAnsi="Arial"/>
          <w:sz w:val="15"/>
          <w:szCs w:val="15"/>
          <w:color w:val="auto"/>
        </w:rPr>
      </w:pPr>
    </w:p>
    <w:p>
      <w:pPr>
        <w:ind w:left="300" w:hanging="245"/>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amortization of capitalized implementation costs related to cloud-based software arrangements that are included within SG&amp;A.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6"/>
          </w:tcPr>
          <w:p>
            <w:pPr>
              <w:jc w:val="right"/>
              <w:ind w:right="1100"/>
              <w:spacing w:after="0"/>
              <w:rPr>
                <w:sz w:val="20"/>
                <w:szCs w:val="20"/>
                <w:color w:val="auto"/>
              </w:rPr>
            </w:pPr>
            <w:r>
              <w:rPr>
                <w:rFonts w:ascii="Arial" w:cs="Arial" w:eastAsia="Arial" w:hAnsi="Arial"/>
                <w:sz w:val="16"/>
                <w:szCs w:val="16"/>
                <w:color w:val="auto"/>
              </w:rPr>
              <w:t>Twelve Months Ended</w:t>
            </w:r>
          </w:p>
        </w:tc>
      </w:tr>
      <w:tr>
        <w:trPr>
          <w:trHeight w:val="203"/>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6"/>
                <w:szCs w:val="16"/>
                <w:color w:val="auto"/>
                <w:w w:val="99"/>
              </w:rPr>
              <w:t>December 26,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6"/>
                <w:szCs w:val="16"/>
                <w:color w:val="auto"/>
                <w:w w:val="97"/>
              </w:rPr>
              <w:t>December 28,</w:t>
            </w:r>
          </w:p>
        </w:tc>
      </w:tr>
      <w:tr>
        <w:trPr>
          <w:trHeight w:val="209"/>
        </w:trPr>
        <w:tc>
          <w:tcPr>
            <w:tcW w:w="7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8"/>
                <w:szCs w:val="18"/>
                <w:color w:val="auto"/>
              </w:rPr>
            </w:pPr>
          </w:p>
        </w:tc>
      </w:tr>
      <w:tr>
        <w:trPr>
          <w:trHeight w:val="199"/>
        </w:trPr>
        <w:tc>
          <w:tcPr>
            <w:tcW w:w="7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 Reconciliation</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5"/>
                <w:szCs w:val="15"/>
                <w:color w:val="auto"/>
              </w:rPr>
              <w:t xml:space="preserve">Gross profit - GAAP basis (excluding amortization) </w:t>
            </w:r>
            <w:r>
              <w:rPr>
                <w:rFonts w:ascii="Arial" w:cs="Arial" w:eastAsia="Arial" w:hAnsi="Arial"/>
                <w:sz w:val="23"/>
                <w:szCs w:val="23"/>
                <w:color w:val="auto"/>
                <w:vertAlign w:val="superscript"/>
              </w:rPr>
              <w:t>(1)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271,782</w:t>
            </w:r>
          </w:p>
        </w:tc>
        <w:tc>
          <w:tcPr>
            <w:tcW w:w="24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229,829</w:t>
            </w:r>
          </w:p>
        </w:tc>
        <w:tc>
          <w:tcPr>
            <w:tcW w:w="200" w:type="dxa"/>
            <w:vAlign w:val="bottom"/>
          </w:tcPr>
          <w:p>
            <w:pPr>
              <w:spacing w:after="0"/>
              <w:rPr>
                <w:sz w:val="17"/>
                <w:szCs w:val="17"/>
                <w:color w:val="auto"/>
              </w:rPr>
            </w:pPr>
          </w:p>
        </w:tc>
      </w:tr>
      <w:tr>
        <w:trPr>
          <w:trHeight w:val="20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adjustments to cost of sales (as scheduled above)</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10,714</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196"/>
        </w:trPr>
        <w:tc>
          <w:tcPr>
            <w:tcW w:w="7780" w:type="dxa"/>
            <w:vAlign w:val="bottom"/>
          </w:tcPr>
          <w:p>
            <w:pPr>
              <w:ind w:left="180"/>
              <w:spacing w:after="0"/>
              <w:rPr>
                <w:sz w:val="20"/>
                <w:szCs w:val="20"/>
                <w:color w:val="auto"/>
              </w:rPr>
            </w:pPr>
            <w:r>
              <w:rPr>
                <w:rFonts w:ascii="Arial" w:cs="Arial" w:eastAsia="Arial" w:hAnsi="Arial"/>
                <w:sz w:val="16"/>
                <w:szCs w:val="16"/>
                <w:color w:val="auto"/>
              </w:rPr>
              <w:t>Gross profit - Non-GAAP basis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276,432</w:t>
            </w:r>
          </w:p>
        </w:tc>
        <w:tc>
          <w:tcPr>
            <w:tcW w:w="24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240,543</w:t>
            </w:r>
          </w:p>
        </w:tc>
        <w:tc>
          <w:tcPr>
            <w:tcW w:w="2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7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196"/>
        </w:trPr>
        <w:tc>
          <w:tcPr>
            <w:tcW w:w="7780" w:type="dxa"/>
            <w:vAlign w:val="bottom"/>
          </w:tcPr>
          <w:p>
            <w:pPr>
              <w:ind w:left="180"/>
              <w:spacing w:after="0"/>
              <w:rPr>
                <w:sz w:val="20"/>
                <w:szCs w:val="20"/>
                <w:color w:val="auto"/>
              </w:rPr>
            </w:pPr>
            <w:r>
              <w:rPr>
                <w:rFonts w:ascii="Arial" w:cs="Arial" w:eastAsia="Arial" w:hAnsi="Arial"/>
                <w:sz w:val="16"/>
                <w:szCs w:val="16"/>
                <w:color w:val="auto"/>
              </w:rPr>
              <w:t>As a percentage of net sales: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GAAP gross profit</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39.4%</w:t>
            </w:r>
          </w:p>
        </w:tc>
      </w:tr>
      <w:tr>
        <w:trPr>
          <w:trHeight w:val="203"/>
        </w:trPr>
        <w:tc>
          <w:tcPr>
            <w:tcW w:w="7780" w:type="dxa"/>
            <w:vAlign w:val="bottom"/>
          </w:tcPr>
          <w:p>
            <w:pPr>
              <w:ind w:left="340"/>
              <w:spacing w:after="0"/>
              <w:rPr>
                <w:sz w:val="20"/>
                <w:szCs w:val="20"/>
                <w:color w:val="auto"/>
              </w:rPr>
            </w:pPr>
            <w:r>
              <w:rPr>
                <w:rFonts w:ascii="Arial" w:cs="Arial" w:eastAsia="Arial" w:hAnsi="Arial"/>
                <w:sz w:val="16"/>
                <w:szCs w:val="16"/>
                <w:color w:val="auto"/>
              </w:rPr>
              <w:t>Non-GAAP gross profit</w:t>
            </w:r>
          </w:p>
        </w:tc>
        <w:tc>
          <w:tcPr>
            <w:tcW w:w="18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43.5%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41.2%</w:t>
            </w:r>
          </w:p>
        </w:tc>
      </w:tr>
      <w:tr>
        <w:trPr>
          <w:trHeight w:val="203"/>
        </w:trPr>
        <w:tc>
          <w:tcPr>
            <w:tcW w:w="7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Adjusted EBITDA Reconciliation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 attributable to Cohu - GAAP Basis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(13,801)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(69,700)</w:t>
            </w:r>
          </w:p>
        </w:tc>
      </w:tr>
      <w:tr>
        <w:trPr>
          <w:trHeight w:val="203"/>
        </w:trPr>
        <w:tc>
          <w:tcPr>
            <w:tcW w:w="7780" w:type="dxa"/>
            <w:vAlign w:val="bottom"/>
          </w:tcPr>
          <w:p>
            <w:pPr>
              <w:ind w:left="340"/>
              <w:spacing w:after="0"/>
              <w:rPr>
                <w:sz w:val="20"/>
                <w:szCs w:val="20"/>
                <w:color w:val="auto"/>
              </w:rPr>
            </w:pPr>
            <w:r>
              <w:rPr>
                <w:rFonts w:ascii="Arial" w:cs="Arial" w:eastAsia="Arial" w:hAnsi="Arial"/>
                <w:sz w:val="16"/>
                <w:szCs w:val="16"/>
                <w:color w:val="auto"/>
              </w:rPr>
              <w:t>(Income) loss from discontinued operations</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697</w:t>
            </w:r>
          </w:p>
        </w:tc>
        <w:tc>
          <w:tcPr>
            <w:tcW w:w="200" w:type="dxa"/>
            <w:vAlign w:val="bottom"/>
          </w:tcPr>
          <w:p>
            <w:pPr>
              <w:spacing w:after="0"/>
              <w:rPr>
                <w:sz w:val="17"/>
                <w:szCs w:val="17"/>
                <w:color w:val="auto"/>
              </w:rPr>
            </w:pPr>
          </w:p>
        </w:tc>
      </w:tr>
      <w:tr>
        <w:trPr>
          <w:trHeight w:val="203"/>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provision (benefit)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(3,082)</w:t>
            </w:r>
          </w:p>
        </w:tc>
      </w:tr>
      <w:tr>
        <w:trPr>
          <w:trHeight w:val="202"/>
        </w:trPr>
        <w:tc>
          <w:tcPr>
            <w:tcW w:w="77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13,759</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20,556</w:t>
            </w:r>
          </w:p>
        </w:tc>
        <w:tc>
          <w:tcPr>
            <w:tcW w:w="200" w:type="dxa"/>
            <w:vAlign w:val="bottom"/>
          </w:tcPr>
          <w:p>
            <w:pPr>
              <w:spacing w:after="0"/>
              <w:rPr>
                <w:sz w:val="17"/>
                <w:szCs w:val="17"/>
                <w:color w:val="auto"/>
              </w:rPr>
            </w:pPr>
          </w:p>
        </w:tc>
      </w:tr>
      <w:tr>
        <w:trPr>
          <w:trHeight w:val="203"/>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(764)</w:t>
            </w:r>
          </w:p>
        </w:tc>
      </w:tr>
      <w:tr>
        <w:trPr>
          <w:trHeight w:val="203"/>
        </w:trPr>
        <w:tc>
          <w:tcPr>
            <w:tcW w:w="7780" w:type="dxa"/>
            <w:vAlign w:val="bottom"/>
          </w:tcPr>
          <w:p>
            <w:pPr>
              <w:ind w:left="340"/>
              <w:spacing w:after="0"/>
              <w:rPr>
                <w:sz w:val="20"/>
                <w:szCs w:val="20"/>
                <w:color w:val="auto"/>
              </w:rPr>
            </w:pPr>
            <w:r>
              <w:rPr>
                <w:rFonts w:ascii="Arial" w:cs="Arial" w:eastAsia="Arial" w:hAnsi="Arial"/>
                <w:sz w:val="16"/>
                <w:szCs w:val="16"/>
                <w:color w:val="auto"/>
              </w:rPr>
              <w:t>Amortization of purchased intangible assets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38,746</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39,590</w:t>
            </w:r>
          </w:p>
        </w:tc>
        <w:tc>
          <w:tcPr>
            <w:tcW w:w="200" w:type="dxa"/>
            <w:vAlign w:val="bottom"/>
          </w:tcPr>
          <w:p>
            <w:pPr>
              <w:spacing w:after="0"/>
              <w:rPr>
                <w:sz w:val="17"/>
                <w:szCs w:val="17"/>
                <w:color w:val="auto"/>
              </w:rPr>
            </w:pPr>
          </w:p>
        </w:tc>
      </w:tr>
      <w:tr>
        <w:trPr>
          <w:trHeight w:val="203"/>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19,246</w:t>
            </w:r>
          </w:p>
        </w:tc>
        <w:tc>
          <w:tcPr>
            <w:tcW w:w="200" w:type="dxa"/>
            <w:vAlign w:val="bottom"/>
            <w:shd w:val="clear" w:color="auto" w:fill="CCEEFF"/>
          </w:tcPr>
          <w:p>
            <w:pPr>
              <w:spacing w:after="0"/>
              <w:rPr>
                <w:sz w:val="17"/>
                <w:szCs w:val="17"/>
                <w:color w:val="auto"/>
              </w:rPr>
            </w:pPr>
          </w:p>
        </w:tc>
      </w:tr>
      <w:tr>
        <w:trPr>
          <w:trHeight w:val="203"/>
        </w:trPr>
        <w:tc>
          <w:tcPr>
            <w:tcW w:w="7780" w:type="dxa"/>
            <w:vAlign w:val="bottom"/>
          </w:tcPr>
          <w:p>
            <w:pPr>
              <w:ind w:left="340"/>
              <w:spacing w:after="0" w:line="202" w:lineRule="exact"/>
              <w:rPr>
                <w:sz w:val="20"/>
                <w:szCs w:val="20"/>
                <w:color w:val="auto"/>
              </w:rPr>
            </w:pPr>
            <w:r>
              <w:rPr>
                <w:rFonts w:ascii="Arial" w:cs="Arial" w:eastAsia="Arial" w:hAnsi="Arial"/>
                <w:sz w:val="15"/>
                <w:szCs w:val="15"/>
                <w:color w:val="auto"/>
              </w:rPr>
              <w:t xml:space="preserve">Amortization of cloud-based software implementation costs </w:t>
            </w:r>
            <w:r>
              <w:rPr>
                <w:rFonts w:ascii="Arial" w:cs="Arial" w:eastAsia="Arial" w:hAnsi="Arial"/>
                <w:sz w:val="23"/>
                <w:szCs w:val="23"/>
                <w:color w:val="auto"/>
                <w:vertAlign w:val="superscript"/>
              </w:rPr>
              <w:t>(2)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1,191</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20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non-GAAP adjustments (as scheduled above)</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33,524</w:t>
            </w: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39,534</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196"/>
        </w:trPr>
        <w:tc>
          <w:tcPr>
            <w:tcW w:w="7780" w:type="dxa"/>
            <w:vAlign w:val="bottom"/>
          </w:tcPr>
          <w:p>
            <w:pPr>
              <w:ind w:left="18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87,819</w:t>
            </w:r>
          </w:p>
        </w:tc>
        <w:tc>
          <w:tcPr>
            <w:tcW w:w="24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46,077</w:t>
            </w:r>
          </w:p>
        </w:tc>
        <w:tc>
          <w:tcPr>
            <w:tcW w:w="2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7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196"/>
        </w:trPr>
        <w:tc>
          <w:tcPr>
            <w:tcW w:w="7780" w:type="dxa"/>
            <w:vAlign w:val="bottom"/>
          </w:tcPr>
          <w:p>
            <w:pPr>
              <w:ind w:left="180"/>
              <w:spacing w:after="0"/>
              <w:rPr>
                <w:sz w:val="20"/>
                <w:szCs w:val="20"/>
                <w:color w:val="auto"/>
              </w:rPr>
            </w:pPr>
            <w:r>
              <w:rPr>
                <w:rFonts w:ascii="Arial" w:cs="Arial" w:eastAsia="Arial" w:hAnsi="Arial"/>
                <w:sz w:val="16"/>
                <w:szCs w:val="16"/>
                <w:color w:val="auto"/>
              </w:rPr>
              <w:t>As a percentage of net sales: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(loss) attributable to Cohu - GAAP Basis</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r>
      <w:tr>
        <w:trPr>
          <w:trHeight w:val="203"/>
        </w:trPr>
        <w:tc>
          <w:tcPr>
            <w:tcW w:w="778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13.8%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r>
      <w:tr>
        <w:trPr>
          <w:trHeight w:val="202"/>
        </w:trPr>
        <w:tc>
          <w:tcPr>
            <w:tcW w:w="7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Operating Expense Reconciliation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 - GAAP basis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268,522</w:t>
            </w: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282,157</w:t>
            </w:r>
          </w:p>
        </w:tc>
        <w:tc>
          <w:tcPr>
            <w:tcW w:w="200" w:type="dxa"/>
            <w:vAlign w:val="bottom"/>
            <w:shd w:val="clear" w:color="auto" w:fill="CCEEFF"/>
          </w:tcPr>
          <w:p>
            <w:pPr>
              <w:spacing w:after="0"/>
              <w:rPr>
                <w:sz w:val="17"/>
                <w:szCs w:val="17"/>
                <w:color w:val="auto"/>
              </w:rPr>
            </w:pPr>
          </w:p>
        </w:tc>
      </w:tr>
      <w:tr>
        <w:trPr>
          <w:trHeight w:val="203"/>
        </w:trPr>
        <w:tc>
          <w:tcPr>
            <w:tcW w:w="7780" w:type="dxa"/>
            <w:vAlign w:val="bottom"/>
          </w:tcPr>
          <w:p>
            <w:pPr>
              <w:ind w:left="340"/>
              <w:spacing w:after="0"/>
              <w:rPr>
                <w:sz w:val="20"/>
                <w:szCs w:val="20"/>
                <w:color w:val="auto"/>
              </w:rPr>
            </w:pPr>
            <w:r>
              <w:rPr>
                <w:rFonts w:ascii="Arial" w:cs="Arial" w:eastAsia="Arial" w:hAnsi="Arial"/>
                <w:sz w:val="16"/>
                <w:szCs w:val="16"/>
                <w:color w:val="auto"/>
              </w:rPr>
              <w:t>Non-GAAP adjustments to operating expenses (as scheduled above)</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(68,494)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(73,517)</w:t>
            </w:r>
          </w:p>
        </w:tc>
      </w:tr>
      <w:tr>
        <w:trPr>
          <w:trHeight w:val="20"/>
        </w:trPr>
        <w:tc>
          <w:tcPr>
            <w:tcW w:w="7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 - Non-GAAP basis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200,028</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208,640</w:t>
            </w:r>
          </w:p>
        </w:tc>
        <w:tc>
          <w:tcPr>
            <w:tcW w:w="200" w:type="dxa"/>
            <w:vAlign w:val="bottom"/>
            <w:shd w:val="clear" w:color="auto" w:fill="CCEEFF"/>
          </w:tcPr>
          <w:p>
            <w:pPr>
              <w:spacing w:after="0"/>
              <w:rPr>
                <w:sz w:val="20"/>
                <w:szCs w:val="20"/>
                <w:color w:val="auto"/>
              </w:rPr>
            </w:pPr>
          </w:p>
        </w:tc>
      </w:tr>
      <w:tr>
        <w:trPr>
          <w:trHeight w:val="34"/>
        </w:trPr>
        <w:tc>
          <w:tcPr>
            <w:tcW w:w="778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CCEEFF"/>
              <w:bottom w:val="single" w:sz="8" w:color="auto"/>
            </w:tcBorders>
          </w:tcPr>
          <w:p>
            <w:pPr>
              <w:spacing w:after="0"/>
              <w:rPr>
                <w:sz w:val="3"/>
                <w:szCs w:val="3"/>
                <w:color w:val="auto"/>
              </w:rPr>
            </w:pPr>
          </w:p>
        </w:tc>
        <w:tc>
          <w:tcPr>
            <w:tcW w:w="6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CCEEFF"/>
              <w:bottom w:val="single" w:sz="8" w:color="auto"/>
            </w:tcBorders>
          </w:tcPr>
          <w:p>
            <w:pPr>
              <w:spacing w:after="0"/>
              <w:rPr>
                <w:sz w:val="3"/>
                <w:szCs w:val="3"/>
                <w:color w:val="auto"/>
              </w:rPr>
            </w:pPr>
          </w:p>
        </w:tc>
      </w:tr>
    </w:tbl>
    <w:p>
      <w:pPr>
        <w:spacing w:after="0" w:line="44" w:lineRule="exact"/>
        <w:rPr>
          <w:sz w:val="20"/>
          <w:szCs w:val="20"/>
          <w:color w:val="auto"/>
        </w:rPr>
      </w:pPr>
    </w:p>
    <w:p>
      <w:pPr>
        <w:ind w:left="360" w:hanging="271"/>
        <w:spacing w:after="0"/>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amortization of $29,510 and $30,126 for the twelve months ending December 26, 2020 and December 28, 2019, respectively.</w:t>
      </w:r>
    </w:p>
    <w:p>
      <w:pPr>
        <w:spacing w:after="0" w:line="22" w:lineRule="exact"/>
        <w:rPr>
          <w:rFonts w:ascii="Arial" w:cs="Arial" w:eastAsia="Arial" w:hAnsi="Arial"/>
          <w:sz w:val="16"/>
          <w:szCs w:val="16"/>
          <w:color w:val="auto"/>
        </w:rPr>
      </w:pPr>
    </w:p>
    <w:p>
      <w:pPr>
        <w:ind w:left="360" w:hanging="271"/>
        <w:spacing w:after="0"/>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amortization of capitalized implementation costs related to cloud-based software arrangements that are included within SG&amp;A.</w:t>
      </w:r>
    </w:p>
    <w:sectPr>
      <w:pgSz w:w="11900" w:h="16838" w:orient="portrait"/>
      <w:cols w:equalWidth="0" w:num="1">
        <w:col w:w="11240"/>
      </w:cols>
      <w:pgMar w:left="320" w:top="369" w:right="339" w:bottom="47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2021-02-11T07:02:47Z</dcterms:created>
  <dcterms:modified xsi:type="dcterms:W3CDTF">2021-02-11T07:02:47Z</dcterms:modified>
</cp:coreProperties>
</file>