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UNITED STATES</w:t>
            </w:r>
          </w:p>
        </w:tc>
        <w:tc>
          <w:tcPr>
            <w:tcW w:w="3680" w:type="dxa"/>
            <w:vAlign w:val="bottom"/>
          </w:tcPr>
          <w:p>
            <w:pPr>
              <w:spacing w:after="0"/>
              <w:rPr>
                <w:sz w:val="17"/>
                <w:szCs w:val="17"/>
                <w:color w:val="auto"/>
              </w:rPr>
            </w:pPr>
          </w:p>
        </w:tc>
      </w:tr>
      <w:tr>
        <w:trPr>
          <w:trHeight w:val="204"/>
        </w:trPr>
        <w:tc>
          <w:tcPr>
            <w:tcW w:w="378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SECURITIES AND EXCHANGE COMMISSION</w:t>
            </w:r>
          </w:p>
        </w:tc>
        <w:tc>
          <w:tcPr>
            <w:tcW w:w="3680" w:type="dxa"/>
            <w:vAlign w:val="bottom"/>
          </w:tcPr>
          <w:p>
            <w:pPr>
              <w:spacing w:after="0"/>
              <w:rPr>
                <w:sz w:val="17"/>
                <w:szCs w:val="17"/>
                <w:color w:val="auto"/>
              </w:rPr>
            </w:pPr>
          </w:p>
        </w:tc>
      </w:tr>
      <w:tr>
        <w:trPr>
          <w:trHeight w:val="221"/>
        </w:trPr>
        <w:tc>
          <w:tcPr>
            <w:tcW w:w="378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Washington, D.C. 20549</w:t>
            </w:r>
          </w:p>
        </w:tc>
        <w:tc>
          <w:tcPr>
            <w:tcW w:w="3680" w:type="dxa"/>
            <w:vAlign w:val="bottom"/>
          </w:tcPr>
          <w:p>
            <w:pPr>
              <w:spacing w:after="0"/>
              <w:rPr>
                <w:sz w:val="19"/>
                <w:szCs w:val="19"/>
                <w:color w:val="auto"/>
              </w:rPr>
            </w:pPr>
          </w:p>
        </w:tc>
      </w:tr>
      <w:tr>
        <w:trPr>
          <w:trHeight w:val="563"/>
        </w:trPr>
        <w:tc>
          <w:tcPr>
            <w:tcW w:w="37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31"/>
                <w:szCs w:val="31"/>
                <w:color w:val="auto"/>
                <w:w w:val="98"/>
              </w:rPr>
              <w:t>FORM 8-K</w:t>
            </w:r>
          </w:p>
        </w:tc>
        <w:tc>
          <w:tcPr>
            <w:tcW w:w="3680" w:type="dxa"/>
            <w:vAlign w:val="bottom"/>
          </w:tcPr>
          <w:p>
            <w:pPr>
              <w:spacing w:after="0"/>
              <w:rPr>
                <w:sz w:val="24"/>
                <w:szCs w:val="24"/>
                <w:color w:val="auto"/>
              </w:rPr>
            </w:pPr>
          </w:p>
        </w:tc>
      </w:tr>
      <w:tr>
        <w:trPr>
          <w:trHeight w:val="391"/>
        </w:trPr>
        <w:tc>
          <w:tcPr>
            <w:tcW w:w="37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CURRENT REPORT</w:t>
            </w:r>
          </w:p>
        </w:tc>
        <w:tc>
          <w:tcPr>
            <w:tcW w:w="3680" w:type="dxa"/>
            <w:vAlign w:val="bottom"/>
          </w:tcPr>
          <w:p>
            <w:pPr>
              <w:spacing w:after="0"/>
              <w:rPr>
                <w:sz w:val="24"/>
                <w:szCs w:val="24"/>
                <w:color w:val="auto"/>
              </w:rPr>
            </w:pPr>
          </w:p>
        </w:tc>
      </w:tr>
      <w:tr>
        <w:trPr>
          <w:trHeight w:val="41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Pursuant to Section 13 or 15(d) of the Securities Exchange Act of 1934</w:t>
            </w:r>
          </w:p>
        </w:tc>
      </w:tr>
      <w:tr>
        <w:trPr>
          <w:trHeight w:val="408"/>
        </w:trPr>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Date of Report (Date of Earliest Event Reported):</w:t>
            </w:r>
          </w:p>
        </w:tc>
        <w:tc>
          <w:tcPr>
            <w:tcW w:w="3780" w:type="dxa"/>
            <w:vAlign w:val="bottom"/>
          </w:tcPr>
          <w:p>
            <w:pPr>
              <w:spacing w:after="0"/>
              <w:rPr>
                <w:sz w:val="24"/>
                <w:szCs w:val="24"/>
                <w:color w:val="auto"/>
              </w:rPr>
            </w:pPr>
          </w:p>
        </w:tc>
        <w:tc>
          <w:tcPr>
            <w:tcW w:w="3680" w:type="dxa"/>
            <w:vAlign w:val="bottom"/>
          </w:tcPr>
          <w:p>
            <w:pPr>
              <w:jc w:val="right"/>
              <w:ind w:right="2035"/>
              <w:spacing w:after="0"/>
              <w:rPr>
                <w:sz w:val="20"/>
                <w:szCs w:val="20"/>
                <w:color w:val="auto"/>
              </w:rPr>
            </w:pPr>
            <w:r>
              <w:rPr>
                <w:rFonts w:ascii="Times New Roman" w:cs="Times New Roman" w:eastAsia="Times New Roman" w:hAnsi="Times New Roman"/>
                <w:sz w:val="17"/>
                <w:szCs w:val="17"/>
                <w:color w:val="auto"/>
              </w:rPr>
              <w:t>November 10, 2020</w:t>
            </w:r>
          </w:p>
        </w:tc>
      </w:tr>
      <w:tr>
        <w:trPr>
          <w:trHeight w:val="697"/>
        </w:trPr>
        <w:tc>
          <w:tcPr>
            <w:tcW w:w="37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41"/>
                <w:szCs w:val="41"/>
                <w:color w:val="auto"/>
                <w:w w:val="99"/>
              </w:rPr>
              <w:t>Cohu, Inc.</w:t>
            </w:r>
          </w:p>
        </w:tc>
        <w:tc>
          <w:tcPr>
            <w:tcW w:w="3680" w:type="dxa"/>
            <w:vAlign w:val="bottom"/>
          </w:tcPr>
          <w:p>
            <w:pPr>
              <w:spacing w:after="0"/>
              <w:rPr>
                <w:sz w:val="24"/>
                <w:szCs w:val="24"/>
                <w:color w:val="auto"/>
              </w:rPr>
            </w:pPr>
          </w:p>
        </w:tc>
      </w:tr>
      <w:tr>
        <w:trPr>
          <w:trHeight w:val="105"/>
        </w:trPr>
        <w:tc>
          <w:tcPr>
            <w:tcW w:w="378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r>
      <w:tr>
        <w:trPr>
          <w:trHeight w:val="298"/>
        </w:trPr>
        <w:tc>
          <w:tcPr>
            <w:tcW w:w="37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3680" w:type="dxa"/>
            <w:vAlign w:val="bottom"/>
          </w:tcPr>
          <w:p>
            <w:pPr>
              <w:spacing w:after="0"/>
              <w:rPr>
                <w:sz w:val="24"/>
                <w:szCs w:val="24"/>
                <w:color w:val="auto"/>
              </w:rPr>
            </w:pPr>
          </w:p>
        </w:tc>
      </w:tr>
      <w:tr>
        <w:trPr>
          <w:trHeight w:val="393"/>
        </w:trPr>
        <w:tc>
          <w:tcPr>
            <w:tcW w:w="378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001-04298</w:t>
            </w:r>
          </w:p>
        </w:tc>
        <w:tc>
          <w:tcPr>
            <w:tcW w:w="3680" w:type="dxa"/>
            <w:vAlign w:val="bottom"/>
          </w:tcPr>
          <w:p>
            <w:pPr>
              <w:jc w:val="right"/>
              <w:ind w:right="2035"/>
              <w:spacing w:after="0"/>
              <w:rPr>
                <w:sz w:val="20"/>
                <w:szCs w:val="20"/>
                <w:color w:val="auto"/>
              </w:rPr>
            </w:pPr>
            <w:r>
              <w:rPr>
                <w:rFonts w:ascii="Times New Roman" w:cs="Times New Roman" w:eastAsia="Times New Roman" w:hAnsi="Times New Roman"/>
                <w:sz w:val="17"/>
                <w:szCs w:val="17"/>
                <w:color w:val="auto"/>
              </w:rPr>
              <w:t>95-1934119</w:t>
            </w:r>
          </w:p>
        </w:tc>
      </w:tr>
      <w:tr>
        <w:trPr>
          <w:trHeight w:val="204"/>
        </w:trPr>
        <w:tc>
          <w:tcPr>
            <w:tcW w:w="378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w w:val="99"/>
              </w:rPr>
              <w:t>(State or other jurisdiction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(Commission</w:t>
            </w:r>
          </w:p>
        </w:tc>
        <w:tc>
          <w:tcPr>
            <w:tcW w:w="3680" w:type="dxa"/>
            <w:vAlign w:val="bottom"/>
          </w:tcPr>
          <w:p>
            <w:pPr>
              <w:jc w:val="center"/>
              <w:ind w:right="127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1"/>
        </w:trPr>
        <w:tc>
          <w:tcPr>
            <w:tcW w:w="3780" w:type="dxa"/>
            <w:vAlign w:val="bottom"/>
          </w:tcPr>
          <w:p>
            <w:pPr>
              <w:jc w:val="center"/>
              <w:ind w:left="1215"/>
              <w:spacing w:after="0"/>
              <w:rPr>
                <w:sz w:val="20"/>
                <w:szCs w:val="20"/>
                <w:color w:val="auto"/>
              </w:rPr>
            </w:pPr>
            <w:r>
              <w:rPr>
                <w:rFonts w:ascii="Times New Roman" w:cs="Times New Roman" w:eastAsia="Times New Roman" w:hAnsi="Times New Roman"/>
                <w:sz w:val="17"/>
                <w:szCs w:val="17"/>
                <w:color w:val="auto"/>
              </w:rPr>
              <w:t>of incorporation)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File Number)</w:t>
            </w:r>
          </w:p>
        </w:tc>
        <w:tc>
          <w:tcPr>
            <w:tcW w:w="3680" w:type="dxa"/>
            <w:vAlign w:val="bottom"/>
          </w:tcPr>
          <w:p>
            <w:pPr>
              <w:jc w:val="center"/>
              <w:ind w:right="1275"/>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91"/>
        </w:trPr>
        <w:tc>
          <w:tcPr>
            <w:tcW w:w="3780" w:type="dxa"/>
            <w:vAlign w:val="bottom"/>
          </w:tcPr>
          <w:p>
            <w:pPr>
              <w:jc w:val="center"/>
              <w:ind w:left="1215"/>
              <w:spacing w:after="0"/>
              <w:rPr>
                <w:sz w:val="20"/>
                <w:szCs w:val="20"/>
                <w:color w:val="auto"/>
              </w:rPr>
            </w:pPr>
            <w:r>
              <w:rPr>
                <w:rFonts w:ascii="Times New Roman" w:cs="Times New Roman" w:eastAsia="Times New Roman" w:hAnsi="Times New Roman"/>
                <w:sz w:val="17"/>
                <w:szCs w:val="17"/>
                <w:color w:val="auto"/>
                <w:w w:val="99"/>
              </w:rPr>
              <w:t>12367 Crosthwaite Circle, Poway,</w:t>
            </w:r>
          </w:p>
        </w:tc>
        <w:tc>
          <w:tcPr>
            <w:tcW w:w="3780" w:type="dxa"/>
            <w:vAlign w:val="bottom"/>
          </w:tcPr>
          <w:p>
            <w:pPr>
              <w:spacing w:after="0"/>
              <w:rPr>
                <w:sz w:val="24"/>
                <w:szCs w:val="24"/>
                <w:color w:val="auto"/>
              </w:rPr>
            </w:pPr>
          </w:p>
        </w:tc>
        <w:tc>
          <w:tcPr>
            <w:tcW w:w="3680" w:type="dxa"/>
            <w:vAlign w:val="bottom"/>
          </w:tcPr>
          <w:p>
            <w:pPr>
              <w:jc w:val="right"/>
              <w:ind w:right="2215"/>
              <w:spacing w:after="0"/>
              <w:rPr>
                <w:sz w:val="20"/>
                <w:szCs w:val="20"/>
                <w:color w:val="auto"/>
              </w:rPr>
            </w:pPr>
            <w:r>
              <w:rPr>
                <w:rFonts w:ascii="Times New Roman" w:cs="Times New Roman" w:eastAsia="Times New Roman" w:hAnsi="Times New Roman"/>
                <w:sz w:val="17"/>
                <w:szCs w:val="17"/>
                <w:color w:val="auto"/>
              </w:rPr>
              <w:t>92064</w:t>
            </w:r>
          </w:p>
        </w:tc>
      </w:tr>
      <w:tr>
        <w:trPr>
          <w:trHeight w:val="204"/>
        </w:trPr>
        <w:tc>
          <w:tcPr>
            <w:tcW w:w="3780" w:type="dxa"/>
            <w:vAlign w:val="bottom"/>
          </w:tcPr>
          <w:p>
            <w:pPr>
              <w:jc w:val="center"/>
              <w:ind w:left="1215"/>
              <w:spacing w:after="0"/>
              <w:rPr>
                <w:sz w:val="20"/>
                <w:szCs w:val="20"/>
                <w:color w:val="auto"/>
              </w:rPr>
            </w:pPr>
            <w:r>
              <w:rPr>
                <w:rFonts w:ascii="Times New Roman" w:cs="Times New Roman" w:eastAsia="Times New Roman" w:hAnsi="Times New Roman"/>
                <w:sz w:val="17"/>
                <w:szCs w:val="17"/>
                <w:color w:val="auto"/>
                <w:w w:val="98"/>
              </w:rPr>
              <w:t>California</w:t>
            </w:r>
          </w:p>
        </w:tc>
        <w:tc>
          <w:tcPr>
            <w:tcW w:w="378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19"/>
        </w:trPr>
        <w:tc>
          <w:tcPr>
            <w:tcW w:w="7560" w:type="dxa"/>
            <w:vAlign w:val="bottom"/>
            <w:gridSpan w:val="2"/>
          </w:tcPr>
          <w:p>
            <w:pPr>
              <w:jc w:val="center"/>
              <w:ind w:right="2358"/>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3680" w:type="dxa"/>
            <w:vAlign w:val="bottom"/>
          </w:tcPr>
          <w:p>
            <w:pPr>
              <w:jc w:val="center"/>
              <w:ind w:right="1275"/>
              <w:spacing w:after="0"/>
              <w:rPr>
                <w:sz w:val="20"/>
                <w:szCs w:val="20"/>
                <w:color w:val="auto"/>
              </w:rPr>
            </w:pPr>
            <w:r>
              <w:rPr>
                <w:rFonts w:ascii="Times New Roman" w:cs="Times New Roman" w:eastAsia="Times New Roman" w:hAnsi="Times New Roman"/>
                <w:sz w:val="17"/>
                <w:szCs w:val="17"/>
                <w:color w:val="auto"/>
              </w:rPr>
              <w:t>(Zip Code)</w:t>
            </w:r>
          </w:p>
        </w:tc>
      </w:tr>
      <w:tr>
        <w:trPr>
          <w:trHeight w:val="408"/>
        </w:trPr>
        <w:tc>
          <w:tcPr>
            <w:tcW w:w="75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680" w:type="dxa"/>
            <w:vAlign w:val="bottom"/>
          </w:tcPr>
          <w:p>
            <w:pPr>
              <w:jc w:val="right"/>
              <w:ind w:right="1915"/>
              <w:spacing w:after="0"/>
              <w:rPr>
                <w:sz w:val="20"/>
                <w:szCs w:val="20"/>
                <w:color w:val="auto"/>
              </w:rPr>
            </w:pPr>
            <w:r>
              <w:rPr>
                <w:rFonts w:ascii="Times New Roman" w:cs="Times New Roman" w:eastAsia="Times New Roman" w:hAnsi="Times New Roman"/>
                <w:sz w:val="17"/>
                <w:szCs w:val="17"/>
                <w:color w:val="auto"/>
              </w:rPr>
              <w:t>858-848-8100</w:t>
            </w:r>
          </w:p>
        </w:tc>
      </w:tr>
      <w:tr>
        <w:trPr>
          <w:trHeight w:val="410"/>
        </w:trPr>
        <w:tc>
          <w:tcPr>
            <w:tcW w:w="37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Not Applicable</w:t>
            </w:r>
          </w:p>
        </w:tc>
        <w:tc>
          <w:tcPr>
            <w:tcW w:w="3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161290</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429" w:right="339" w:bottom="1440" w:gutter="0" w:footer="0" w:header="0"/>
        </w:sectPr>
      </w:pPr>
    </w:p>
    <w:p>
      <w:pPr>
        <w:spacing w:after="0" w:line="21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Trading Symbol(s)</w:t>
      </w:r>
    </w:p>
    <w:p>
      <w:pPr>
        <w:spacing w:after="0" w:line="2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COHU</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3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95" w:lineRule="exact"/>
        <w:rPr>
          <w:sz w:val="24"/>
          <w:szCs w:val="24"/>
          <w:color w:val="auto"/>
        </w:rPr>
      </w:pPr>
    </w:p>
    <w:p>
      <w:pPr>
        <w:sectPr>
          <w:pgSz w:w="11900" w:h="16838" w:orient="portrait"/>
          <w:cols w:equalWidth="0" w:num="3">
            <w:col w:w="4260" w:space="720"/>
            <w:col w:w="2080" w:space="720"/>
            <w:col w:w="3460"/>
          </w:cols>
          <w:pgMar w:left="320" w:top="429" w:right="339" w:bottom="1440" w:gutter="0" w:footer="0" w:header="0"/>
          <w:type w:val="continuous"/>
        </w:sectPr>
      </w:pPr>
    </w:p>
    <w:p>
      <w:pPr>
        <w:ind w:right="580"/>
        <w:spacing w:after="0" w:line="28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6"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 w:lineRule="exact"/>
        <w:rPr>
          <w:rFonts w:ascii="MS PGothic" w:cs="MS PGothic" w:eastAsia="MS PGothic" w:hAnsi="MS PGothic"/>
          <w:sz w:val="17"/>
          <w:szCs w:val="17"/>
          <w:color w:val="auto"/>
        </w:rPr>
      </w:pPr>
    </w:p>
    <w:p>
      <w:pPr>
        <w:ind w:left="240" w:hanging="238"/>
        <w:spacing w:after="0"/>
        <w:tabs>
          <w:tab w:leader="none" w:pos="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4"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or Rule 12b-2 of the Securities Exchange Act of 1934.</w:t>
      </w:r>
    </w:p>
    <w:p>
      <w:pPr>
        <w:spacing w:after="0" w:line="12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1" w:lineRule="exact"/>
        <w:rPr>
          <w:sz w:val="24"/>
          <w:szCs w:val="24"/>
          <w:color w:val="auto"/>
        </w:rPr>
      </w:pPr>
    </w:p>
    <w:p>
      <w:pPr>
        <w:ind w:right="6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328295</wp:posOffset>
            </wp:positionV>
            <wp:extent cx="713994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7"/>
          <w:szCs w:val="17"/>
          <w:color w:val="auto"/>
        </w:rPr>
        <w:t>On November 11, 2020, Cohu, Inc. (“Cohu”) is participating in various virtual analyst meetings associated with the Stifel 2020 Midwest One-on-One Growth Conference. Cohu is furnishing on this Form 8-K the presentation to be referenced in our remarks at the conference and associated meetings.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exhibit listed below is being furnished with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(d) Exhibit</w:t>
            </w:r>
          </w:p>
        </w:tc>
        <w:tc>
          <w:tcPr>
            <w:tcW w:w="10020" w:type="dxa"/>
            <w:vAlign w:val="bottom"/>
          </w:tcPr>
          <w:p>
            <w:pPr>
              <w:spacing w:after="0"/>
              <w:rPr>
                <w:sz w:val="19"/>
                <w:szCs w:val="19"/>
                <w:color w:val="auto"/>
              </w:rPr>
            </w:pPr>
          </w:p>
        </w:tc>
      </w:tr>
      <w:tr>
        <w:trPr>
          <w:trHeight w:val="408"/>
        </w:trPr>
        <w:tc>
          <w:tcPr>
            <w:tcW w:w="1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02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91"/>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10020" w:type="dxa"/>
            <w:vAlign w:val="bottom"/>
          </w:tcPr>
          <w:p>
            <w:pPr>
              <w:ind w:left="38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November 2020 Cohu Investor Presentation</w:t>
              </w:r>
            </w:hyperlink>
          </w:p>
        </w:tc>
      </w:tr>
      <w:tr>
        <w:trPr>
          <w:trHeight w:val="219"/>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0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542"/>
        </w:trPr>
        <w:tc>
          <w:tcPr>
            <w:tcW w:w="122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3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Cohu, Inc.</w:t>
      </w:r>
    </w:p>
    <w:p>
      <w:pPr>
        <w:sectPr>
          <w:pgSz w:w="11900" w:h="16838" w:orient="portrait"/>
          <w:cols w:equalWidth="0" w:num="1">
            <w:col w:w="11220"/>
          </w:cols>
          <w:pgMar w:left="320" w:top="591" w:right="35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November 10, 2020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Jeffrey D. Jones</w:t>
      </w:r>
    </w:p>
    <w:p>
      <w:pPr>
        <w:spacing w:after="0" w:line="41" w:lineRule="exact"/>
        <w:rPr>
          <w:sz w:val="20"/>
          <w:szCs w:val="20"/>
          <w:color w:val="auto"/>
        </w:rPr>
      </w:pPr>
    </w:p>
    <w:p>
      <w:pPr>
        <w:sectPr>
          <w:pgSz w:w="11900" w:h="16838" w:orient="portrait"/>
          <w:cols w:equalWidth="0" w:num="3">
            <w:col w:w="4680" w:space="720"/>
            <w:col w:w="240" w:space="300"/>
            <w:col w:w="5280"/>
          </w:cols>
          <w:pgMar w:left="320" w:top="591" w:right="35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7"/>
          <w:szCs w:val="17"/>
          <w:i w:val="1"/>
          <w:iCs w:val="1"/>
          <w:color w:val="auto"/>
        </w:rPr>
        <w:t>Name: Jeffrey D. Jones</w:t>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i w:val="1"/>
          <w:iCs w:val="1"/>
          <w:color w:val="auto"/>
        </w:rPr>
        <w:t>Title: VP Finance and Chief Financial Officer</w:t>
      </w:r>
    </w:p>
    <w:p>
      <w:pPr>
        <w:sectPr>
          <w:pgSz w:w="11900" w:h="16838" w:orient="portrait"/>
          <w:cols w:equalWidth="0" w:num="1">
            <w:col w:w="11220"/>
          </w:cols>
          <w:pgMar w:left="320" w:top="591" w:right="359" w:bottom="1440" w:gutter="0" w:footer="0" w:header="0"/>
          <w:type w:val="continuous"/>
        </w:sectPr>
      </w:pPr>
    </w:p>
    <w:bookmarkStart w:id="3" w:name="page4"/>
    <w:bookmarkEnd w:id="3"/>
    <w:p>
      <w:pPr>
        <w:ind w:left="92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407035</wp:posOffset>
            </wp:positionV>
            <wp:extent cx="7199630" cy="441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4630420</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411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9630" cy="441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234315</wp:posOffset>
            </wp:positionV>
            <wp:extent cx="7199630" cy="4055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4055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2020-11-12T05:24:22Z</dcterms:created>
  <dcterms:modified xsi:type="dcterms:W3CDTF">2020-11-12T05:24:22Z</dcterms:modified>
</cp:coreProperties>
</file>