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020" w:type="dxa"/>
            <w:vAlign w:val="bottom"/>
          </w:tcPr>
          <w:p>
            <w:pPr>
              <w:spacing w:after="0"/>
              <w:rPr>
                <w:sz w:val="20"/>
                <w:szCs w:val="20"/>
                <w:color w:val="auto"/>
              </w:rPr>
            </w:pPr>
          </w:p>
        </w:tc>
        <w:tc>
          <w:tcPr>
            <w:tcW w:w="3520" w:type="dxa"/>
            <w:vAlign w:val="bottom"/>
          </w:tcPr>
          <w:p>
            <w:pPr>
              <w:jc w:val="right"/>
              <w:ind w:right="1890"/>
              <w:spacing w:after="0"/>
              <w:rPr>
                <w:sz w:val="20"/>
                <w:szCs w:val="20"/>
                <w:color w:val="auto"/>
              </w:rPr>
            </w:pPr>
            <w:r>
              <w:rPr>
                <w:rFonts w:ascii="Arial" w:cs="Arial" w:eastAsia="Arial" w:hAnsi="Arial"/>
                <w:sz w:val="18"/>
                <w:szCs w:val="18"/>
                <w:color w:val="auto"/>
              </w:rPr>
              <w:t>October 26, 2020</w:t>
            </w:r>
          </w:p>
        </w:tc>
      </w:tr>
      <w:tr>
        <w:trPr>
          <w:trHeight w:val="738"/>
        </w:trPr>
        <w:tc>
          <w:tcPr>
            <w:tcW w:w="4700" w:type="dxa"/>
            <w:vAlign w:val="bottom"/>
          </w:tcPr>
          <w:p>
            <w:pPr>
              <w:spacing w:after="0"/>
              <w:rPr>
                <w:sz w:val="24"/>
                <w:szCs w:val="24"/>
                <w:color w:val="auto"/>
              </w:rPr>
            </w:pPr>
          </w:p>
        </w:tc>
        <w:tc>
          <w:tcPr>
            <w:tcW w:w="3020" w:type="dxa"/>
            <w:vAlign w:val="bottom"/>
          </w:tcPr>
          <w:p>
            <w:pPr>
              <w:jc w:val="center"/>
              <w:ind w:right="1065"/>
              <w:spacing w:after="0"/>
              <w:rPr>
                <w:sz w:val="20"/>
                <w:szCs w:val="20"/>
                <w:color w:val="auto"/>
              </w:rPr>
            </w:pPr>
            <w:r>
              <w:rPr>
                <w:rFonts w:ascii="Arial" w:cs="Arial" w:eastAsia="Arial" w:hAnsi="Arial"/>
                <w:sz w:val="43"/>
                <w:szCs w:val="43"/>
                <w:color w:val="auto"/>
                <w:w w:val="91"/>
              </w:rPr>
              <w:t>Cohu, Inc.</w:t>
            </w:r>
          </w:p>
        </w:tc>
        <w:tc>
          <w:tcPr>
            <w:tcW w:w="3520" w:type="dxa"/>
            <w:vAlign w:val="bottom"/>
          </w:tcPr>
          <w:p>
            <w:pPr>
              <w:spacing w:after="0"/>
              <w:rPr>
                <w:sz w:val="24"/>
                <w:szCs w:val="24"/>
                <w:color w:val="auto"/>
              </w:rPr>
            </w:pPr>
          </w:p>
        </w:tc>
      </w:tr>
      <w:tr>
        <w:trPr>
          <w:trHeight w:val="248"/>
        </w:trPr>
        <w:tc>
          <w:tcPr>
            <w:tcW w:w="7720" w:type="dxa"/>
            <w:vAlign w:val="bottom"/>
            <w:tcBorders>
              <w:bottom w:val="single" w:sz="8" w:color="auto"/>
            </w:tcBorders>
            <w:gridSpan w:val="2"/>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r>
      <w:tr>
        <w:trPr>
          <w:trHeight w:val="264"/>
        </w:trPr>
        <w:tc>
          <w:tcPr>
            <w:tcW w:w="7720" w:type="dxa"/>
            <w:vAlign w:val="bottom"/>
            <w:gridSpan w:val="2"/>
          </w:tcPr>
          <w:p>
            <w:pPr>
              <w:jc w:val="center"/>
              <w:ind w:left="3430"/>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2"/>
                <w:szCs w:val="22"/>
                <w:color w:val="auto"/>
              </w:rPr>
            </w:pPr>
          </w:p>
        </w:tc>
      </w:tr>
      <w:tr>
        <w:trPr>
          <w:trHeight w:val="418"/>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c>
          <w:tcPr>
            <w:tcW w:w="3020" w:type="dxa"/>
            <w:vAlign w:val="bottom"/>
          </w:tcPr>
          <w:p>
            <w:pPr>
              <w:jc w:val="center"/>
              <w:ind w:right="1045"/>
              <w:spacing w:after="0"/>
              <w:rPr>
                <w:sz w:val="20"/>
                <w:szCs w:val="20"/>
                <w:color w:val="auto"/>
              </w:rPr>
            </w:pPr>
            <w:r>
              <w:rPr>
                <w:rFonts w:ascii="Arial" w:cs="Arial" w:eastAsia="Arial" w:hAnsi="Arial"/>
                <w:sz w:val="18"/>
                <w:szCs w:val="18"/>
                <w:color w:val="auto"/>
                <w:w w:val="90"/>
              </w:rPr>
              <w:t>001-04298</w:t>
            </w:r>
          </w:p>
        </w:tc>
        <w:tc>
          <w:tcPr>
            <w:tcW w:w="3520" w:type="dxa"/>
            <w:vAlign w:val="bottom"/>
          </w:tcPr>
          <w:p>
            <w:pPr>
              <w:jc w:val="right"/>
              <w:ind w:right="2010"/>
              <w:spacing w:after="0"/>
              <w:rPr>
                <w:sz w:val="20"/>
                <w:szCs w:val="20"/>
                <w:color w:val="auto"/>
              </w:rPr>
            </w:pPr>
            <w:r>
              <w:rPr>
                <w:rFonts w:ascii="Arial" w:cs="Arial" w:eastAsia="Arial" w:hAnsi="Arial"/>
                <w:sz w:val="18"/>
                <w:szCs w:val="18"/>
                <w:color w:val="auto"/>
              </w:rPr>
              <w:t>95-1934119</w:t>
            </w:r>
          </w:p>
        </w:tc>
      </w:tr>
      <w:tr>
        <w:trPr>
          <w:trHeight w:val="216"/>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2"/>
              </w:rPr>
              <w:t>(State or other jurisdiction</w:t>
            </w:r>
          </w:p>
        </w:tc>
        <w:tc>
          <w:tcPr>
            <w:tcW w:w="3020" w:type="dxa"/>
            <w:vAlign w:val="bottom"/>
          </w:tcPr>
          <w:p>
            <w:pPr>
              <w:jc w:val="center"/>
              <w:ind w:right="1025"/>
              <w:spacing w:after="0"/>
              <w:rPr>
                <w:sz w:val="20"/>
                <w:szCs w:val="20"/>
                <w:color w:val="auto"/>
              </w:rPr>
            </w:pPr>
            <w:r>
              <w:rPr>
                <w:rFonts w:ascii="Arial" w:cs="Arial" w:eastAsia="Arial" w:hAnsi="Arial"/>
                <w:sz w:val="18"/>
                <w:szCs w:val="18"/>
                <w:color w:val="auto"/>
                <w:w w:val="91"/>
              </w:rPr>
              <w:t>(Commission</w:t>
            </w:r>
          </w:p>
        </w:tc>
        <w:tc>
          <w:tcPr>
            <w:tcW w:w="3520" w:type="dxa"/>
            <w:vAlign w:val="bottom"/>
          </w:tcPr>
          <w:p>
            <w:pPr>
              <w:jc w:val="center"/>
              <w:ind w:right="143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3"/>
              </w:rPr>
              <w:t>of incorporation)</w:t>
            </w:r>
          </w:p>
        </w:tc>
        <w:tc>
          <w:tcPr>
            <w:tcW w:w="3020" w:type="dxa"/>
            <w:vAlign w:val="bottom"/>
          </w:tcPr>
          <w:p>
            <w:pPr>
              <w:jc w:val="center"/>
              <w:ind w:right="1025"/>
              <w:spacing w:after="0"/>
              <w:rPr>
                <w:sz w:val="20"/>
                <w:szCs w:val="20"/>
                <w:color w:val="auto"/>
              </w:rPr>
            </w:pPr>
            <w:r>
              <w:rPr>
                <w:rFonts w:ascii="Arial" w:cs="Arial" w:eastAsia="Arial" w:hAnsi="Arial"/>
                <w:sz w:val="18"/>
                <w:szCs w:val="18"/>
                <w:color w:val="auto"/>
                <w:w w:val="92"/>
              </w:rPr>
              <w:t>File Number)</w:t>
            </w:r>
          </w:p>
        </w:tc>
        <w:tc>
          <w:tcPr>
            <w:tcW w:w="3520" w:type="dxa"/>
            <w:vAlign w:val="bottom"/>
          </w:tcPr>
          <w:p>
            <w:pPr>
              <w:jc w:val="center"/>
              <w:ind w:right="14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1"/>
              </w:rPr>
              <w:t>12367 Crosthwaite Circle, Poway,</w:t>
            </w:r>
          </w:p>
        </w:tc>
        <w:tc>
          <w:tcPr>
            <w:tcW w:w="3020" w:type="dxa"/>
            <w:vAlign w:val="bottom"/>
          </w:tcPr>
          <w:p>
            <w:pPr>
              <w:spacing w:after="0"/>
              <w:rPr>
                <w:sz w:val="24"/>
                <w:szCs w:val="24"/>
                <w:color w:val="auto"/>
              </w:rPr>
            </w:pPr>
          </w:p>
        </w:tc>
        <w:tc>
          <w:tcPr>
            <w:tcW w:w="3520" w:type="dxa"/>
            <w:vAlign w:val="bottom"/>
          </w:tcPr>
          <w:p>
            <w:pPr>
              <w:jc w:val="right"/>
              <w:ind w:right="2210"/>
              <w:spacing w:after="0"/>
              <w:rPr>
                <w:sz w:val="20"/>
                <w:szCs w:val="20"/>
                <w:color w:val="auto"/>
              </w:rPr>
            </w:pPr>
            <w:r>
              <w:rPr>
                <w:rFonts w:ascii="Arial" w:cs="Arial" w:eastAsia="Arial" w:hAnsi="Arial"/>
                <w:sz w:val="18"/>
                <w:szCs w:val="18"/>
                <w:color w:val="auto"/>
              </w:rPr>
              <w:t>92064</w:t>
            </w:r>
          </w:p>
        </w:tc>
      </w:tr>
      <w:tr>
        <w:trPr>
          <w:trHeight w:val="216"/>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7"/>
              </w:rPr>
              <w:t>California</w:t>
            </w:r>
          </w:p>
        </w:tc>
        <w:tc>
          <w:tcPr>
            <w:tcW w:w="30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2"/>
              </w:rPr>
              <w:t>(Address of principal executive</w:t>
            </w:r>
          </w:p>
        </w:tc>
        <w:tc>
          <w:tcPr>
            <w:tcW w:w="3020" w:type="dxa"/>
            <w:vAlign w:val="bottom"/>
          </w:tcPr>
          <w:p>
            <w:pPr>
              <w:spacing w:after="0"/>
              <w:rPr>
                <w:sz w:val="18"/>
                <w:szCs w:val="18"/>
                <w:color w:val="auto"/>
              </w:rPr>
            </w:pPr>
          </w:p>
        </w:tc>
        <w:tc>
          <w:tcPr>
            <w:tcW w:w="3520" w:type="dxa"/>
            <w:vAlign w:val="bottom"/>
          </w:tcPr>
          <w:p>
            <w:pPr>
              <w:jc w:val="center"/>
              <w:ind w:right="1430"/>
              <w:spacing w:after="0"/>
              <w:rPr>
                <w:sz w:val="20"/>
                <w:szCs w:val="20"/>
                <w:color w:val="auto"/>
              </w:rPr>
            </w:pPr>
            <w:r>
              <w:rPr>
                <w:rFonts w:ascii="Arial" w:cs="Arial" w:eastAsia="Arial" w:hAnsi="Arial"/>
                <w:sz w:val="18"/>
                <w:szCs w:val="18"/>
                <w:color w:val="auto"/>
                <w:w w:val="94"/>
              </w:rPr>
              <w:t>(Zip Code)</w:t>
            </w:r>
          </w:p>
        </w:tc>
      </w:tr>
      <w:tr>
        <w:trPr>
          <w:trHeight w:val="230"/>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2"/>
              </w:rPr>
              <w:t>offices)</w:t>
            </w:r>
          </w:p>
        </w:tc>
        <w:tc>
          <w:tcPr>
            <w:tcW w:w="30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2"/>
        </w:trPr>
        <w:tc>
          <w:tcPr>
            <w:tcW w:w="4700" w:type="dxa"/>
            <w:vAlign w:val="bottom"/>
          </w:tcPr>
          <w:p>
            <w:pPr>
              <w:ind w:left="940"/>
              <w:spacing w:after="0"/>
              <w:rPr>
                <w:sz w:val="20"/>
                <w:szCs w:val="20"/>
                <w:color w:val="auto"/>
              </w:rPr>
            </w:pPr>
            <w:r>
              <w:rPr>
                <w:rFonts w:ascii="Arial" w:cs="Arial" w:eastAsia="Arial" w:hAnsi="Arial"/>
                <w:sz w:val="18"/>
                <w:szCs w:val="18"/>
                <w:color w:val="auto"/>
                <w:w w:val="89"/>
              </w:rPr>
              <w:t>Registrant’s telephone number, including area code:</w:t>
            </w:r>
          </w:p>
        </w:tc>
        <w:tc>
          <w:tcPr>
            <w:tcW w:w="3020" w:type="dxa"/>
            <w:vAlign w:val="bottom"/>
          </w:tcPr>
          <w:p>
            <w:pPr>
              <w:spacing w:after="0"/>
              <w:rPr>
                <w:sz w:val="24"/>
                <w:szCs w:val="24"/>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color w:val="auto"/>
              </w:rPr>
              <w:t>858-848-8100</w:t>
            </w:r>
          </w:p>
        </w:tc>
      </w:tr>
      <w:tr>
        <w:trPr>
          <w:trHeight w:val="432"/>
        </w:trPr>
        <w:tc>
          <w:tcPr>
            <w:tcW w:w="4700" w:type="dxa"/>
            <w:vAlign w:val="bottom"/>
          </w:tcPr>
          <w:p>
            <w:pPr>
              <w:spacing w:after="0"/>
              <w:rPr>
                <w:sz w:val="24"/>
                <w:szCs w:val="24"/>
                <w:color w:val="auto"/>
              </w:rPr>
            </w:pPr>
          </w:p>
        </w:tc>
        <w:tc>
          <w:tcPr>
            <w:tcW w:w="3020" w:type="dxa"/>
            <w:vAlign w:val="bottom"/>
          </w:tcPr>
          <w:p>
            <w:pPr>
              <w:jc w:val="center"/>
              <w:ind w:right="1045"/>
              <w:spacing w:after="0"/>
              <w:rPr>
                <w:sz w:val="20"/>
                <w:szCs w:val="20"/>
                <w:color w:val="auto"/>
              </w:rPr>
            </w:pPr>
            <w:r>
              <w:rPr>
                <w:rFonts w:ascii="Arial" w:cs="Arial" w:eastAsia="Arial" w:hAnsi="Arial"/>
                <w:sz w:val="18"/>
                <w:szCs w:val="18"/>
                <w:color w:val="auto"/>
                <w:w w:val="94"/>
              </w:rPr>
              <w:t>Not Applicable</w:t>
            </w:r>
          </w:p>
        </w:tc>
        <w:tc>
          <w:tcPr>
            <w:tcW w:w="3520" w:type="dxa"/>
            <w:vAlign w:val="bottom"/>
          </w:tcPr>
          <w:p>
            <w:pPr>
              <w:spacing w:after="0"/>
              <w:rPr>
                <w:sz w:val="24"/>
                <w:szCs w:val="24"/>
                <w:color w:val="auto"/>
              </w:rPr>
            </w:pPr>
          </w:p>
        </w:tc>
      </w:tr>
      <w:tr>
        <w:trPr>
          <w:trHeight w:val="270"/>
        </w:trPr>
        <w:tc>
          <w:tcPr>
            <w:tcW w:w="470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r>
    </w:tbl>
    <w:p>
      <w:pPr>
        <w:spacing w:after="0" w:line="296"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449" w:right="33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560"/>
          </w:cols>
          <w:pgMar w:left="320" w:top="449" w:right="339" w:bottom="1440" w:gutter="0" w:footer="0" w:header="0"/>
          <w:type w:val="continuous"/>
        </w:sectPr>
      </w:pPr>
    </w:p>
    <w:p>
      <w:pPr>
        <w:spacing w:after="0" w:line="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Compensatory Arrangements of Certain Officers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26, 2020, the Compensation Committee of the Board of Directors of Cohu, Inc. (“Cohu”) met and considered the improved business conditions and outlook since the company previously announced, on March 25, 2020, temporary base salary reductions for Cohu’s named executive officers (“NEOs”). After reviewing such matter, the Compensation Committee reversed the salary reductions, with the base salary restorations effective with the next applicable payroll period commencing on or after November 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summary of the temporary base salary reductions, on an annualized basis, and the restored amounts for Cohu’s NEOs:</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2"/>
              </w:rPr>
              <w:t>February 24, 2020</w:t>
            </w:r>
          </w:p>
        </w:tc>
        <w:tc>
          <w:tcPr>
            <w:tcW w:w="240" w:type="dxa"/>
            <w:vAlign w:val="bottom"/>
          </w:tcPr>
          <w:p>
            <w:pPr>
              <w:spacing w:after="0"/>
              <w:rPr>
                <w:sz w:val="18"/>
                <w:szCs w:val="18"/>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April 6, 2020</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November 1, 2020</w:t>
            </w:r>
          </w:p>
        </w:tc>
      </w:t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2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Base Salary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w:t>
            </w:r>
          </w:p>
        </w:tc>
      </w:tr>
      <w:tr>
        <w:trPr>
          <w:trHeight w:val="209"/>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240" w:type="dxa"/>
            <w:vAlign w:val="bottom"/>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$595,000</w:t>
            </w:r>
          </w:p>
        </w:tc>
        <w:tc>
          <w:tcPr>
            <w:tcW w:w="24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$476,000</w:t>
            </w: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$595,000</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Jeffrey D. Jones</w:t>
            </w:r>
          </w:p>
        </w:tc>
        <w:tc>
          <w:tcPr>
            <w:tcW w:w="220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$380,000</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0"/>
              </w:rPr>
              <w:t>$323,000</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$380,000</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Christopher G. Bohrson</w:t>
            </w:r>
          </w:p>
        </w:tc>
        <w:tc>
          <w:tcPr>
            <w:tcW w:w="22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$350,000</w:t>
            </w:r>
          </w:p>
        </w:tc>
        <w:tc>
          <w:tcPr>
            <w:tcW w:w="2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$297,500</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$350,000</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Thomas D. Kampfer</w:t>
            </w:r>
          </w:p>
        </w:tc>
        <w:tc>
          <w:tcPr>
            <w:tcW w:w="220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$335,000</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0"/>
              </w:rPr>
              <w:t>$284,750</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$335,000</w:t>
            </w:r>
          </w:p>
        </w:tc>
      </w:tr>
      <w:tr>
        <w:trPr>
          <w:trHeight w:val="216"/>
        </w:trPr>
        <w:tc>
          <w:tcPr>
            <w:tcW w:w="20" w:type="dxa"/>
            <w:vAlign w:val="bottom"/>
          </w:tcPr>
          <w:p>
            <w:pPr>
              <w:spacing w:after="0"/>
              <w:rPr>
                <w:sz w:val="18"/>
                <w:szCs w:val="18"/>
                <w:color w:val="auto"/>
              </w:rPr>
            </w:pPr>
          </w:p>
        </w:tc>
        <w:tc>
          <w:tcPr>
            <w:tcW w:w="276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Pascal Rondé </w:t>
            </w:r>
            <w:r>
              <w:rPr>
                <w:rFonts w:ascii="Arial" w:cs="Arial" w:eastAsia="Arial" w:hAnsi="Arial"/>
                <w:sz w:val="25"/>
                <w:szCs w:val="25"/>
                <w:color w:val="auto"/>
                <w:vertAlign w:val="superscript"/>
              </w:rPr>
              <w:t>(1)</w:t>
            </w:r>
          </w:p>
        </w:tc>
        <w:tc>
          <w:tcPr>
            <w:tcW w:w="2200" w:type="dxa"/>
            <w:vAlign w:val="bottom"/>
            <w:tcBorders>
              <w:bottom w:val="single" w:sz="8" w:color="auto"/>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$358,400</w:t>
            </w:r>
          </w:p>
        </w:tc>
        <w:tc>
          <w:tcPr>
            <w:tcW w:w="21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$304,639</w:t>
            </w:r>
          </w:p>
        </w:tc>
        <w:tc>
          <w:tcPr>
            <w:tcW w:w="2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$358,400</w:t>
            </w:r>
          </w:p>
        </w:tc>
      </w:tr>
    </w:tbl>
    <w:p>
      <w:pPr>
        <w:jc w:val="both"/>
        <w:ind w:left="1240" w:right="1540" w:hanging="440"/>
        <w:spacing w:after="0" w:line="255"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Rondé is paid in Euros and the base salary figures above have been converted to U.S. Dollars as required by SEC rules. The conversion rate, as consistently applied above, is based upon the rate in effect proximate to the preparation Cohu’s 2020 Proxy Statement, as filed on March 25,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Similarly, and also after considering the improved business conditions and outlook, the Board of Directors met on October 27, 2020 and determined to reverse the temporary cash retainer and fee reductions for non-employee directors, as a 20% reduction was previously announced on March 25, 2020, with the cash retainer and fee restorations effective as of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00"/>
          </w:cols>
          <w:pgMar w:left="320" w:top="580" w:right="3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October 29, 2020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Jeffrey D. Jones</w:t>
      </w:r>
    </w:p>
    <w:p>
      <w:pPr>
        <w:spacing w:after="0" w:line="46" w:lineRule="exact"/>
        <w:rPr>
          <w:sz w:val="20"/>
          <w:szCs w:val="20"/>
          <w:color w:val="auto"/>
        </w:rPr>
      </w:pPr>
    </w:p>
    <w:p>
      <w:pPr>
        <w:sectPr>
          <w:pgSz w:w="11900" w:h="16838" w:orient="portrait"/>
          <w:cols w:equalWidth="0" w:num="3">
            <w:col w:w="4680" w:space="720"/>
            <w:col w:w="260" w:space="300"/>
            <w:col w:w="5240"/>
          </w:cols>
          <w:pgMar w:left="320" w:top="580" w:right="379" w:bottom="1440" w:gutter="0" w:footer="0" w:header="0"/>
          <w:type w:val="continuous"/>
        </w:sectPr>
      </w:pPr>
    </w:p>
    <w:p>
      <w:pPr>
        <w:ind w:left="5740"/>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Title: Chief Financial Officer</w:t>
      </w:r>
    </w:p>
    <w:sectPr>
      <w:pgSz w:w="11900" w:h="16838" w:orient="portrait"/>
      <w:cols w:equalWidth="0" w:num="1">
        <w:col w:w="11200"/>
      </w:cols>
      <w:pgMar w:left="320" w:top="58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2020-10-29T07:09:00Z</dcterms:created>
  <dcterms:modified xsi:type="dcterms:W3CDTF">2020-10-29T07:09:00Z</dcterms:modified>
</cp:coreProperties>
</file>