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3020" w:type="dxa"/>
            <w:vAlign w:val="bottom"/>
          </w:tcPr>
          <w:p>
            <w:pPr>
              <w:spacing w:after="0"/>
              <w:rPr>
                <w:sz w:val="20"/>
                <w:szCs w:val="20"/>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September 8, 2020</w:t>
            </w:r>
          </w:p>
        </w:tc>
      </w:tr>
      <w:tr>
        <w:trPr>
          <w:trHeight w:val="739"/>
        </w:trPr>
        <w:tc>
          <w:tcPr>
            <w:tcW w:w="4700" w:type="dxa"/>
            <w:vAlign w:val="bottom"/>
          </w:tcPr>
          <w:p>
            <w:pPr>
              <w:spacing w:after="0"/>
              <w:rPr>
                <w:sz w:val="24"/>
                <w:szCs w:val="24"/>
                <w:color w:val="auto"/>
              </w:rPr>
            </w:pPr>
          </w:p>
        </w:tc>
        <w:tc>
          <w:tcPr>
            <w:tcW w:w="3020" w:type="dxa"/>
            <w:vAlign w:val="bottom"/>
          </w:tcPr>
          <w:p>
            <w:pPr>
              <w:jc w:val="center"/>
              <w:ind w:right="1065"/>
              <w:spacing w:after="0"/>
              <w:rPr>
                <w:sz w:val="20"/>
                <w:szCs w:val="20"/>
                <w:color w:val="auto"/>
              </w:rPr>
            </w:pPr>
            <w:r>
              <w:rPr>
                <w:rFonts w:ascii="Times New Roman" w:cs="Times New Roman" w:eastAsia="Times New Roman" w:hAnsi="Times New Roman"/>
                <w:sz w:val="43"/>
                <w:szCs w:val="43"/>
                <w:color w:val="auto"/>
                <w:w w:val="99"/>
              </w:rPr>
              <w:t>Cohu, Inc.</w:t>
            </w:r>
          </w:p>
        </w:tc>
        <w:tc>
          <w:tcPr>
            <w:tcW w:w="3520" w:type="dxa"/>
            <w:vAlign w:val="bottom"/>
          </w:tcPr>
          <w:p>
            <w:pPr>
              <w:spacing w:after="0"/>
              <w:rPr>
                <w:sz w:val="24"/>
                <w:szCs w:val="24"/>
                <w:color w:val="auto"/>
              </w:rPr>
            </w:pPr>
          </w:p>
        </w:tc>
      </w:tr>
      <w:tr>
        <w:trPr>
          <w:trHeight w:val="246"/>
        </w:trPr>
        <w:tc>
          <w:tcPr>
            <w:tcW w:w="7720" w:type="dxa"/>
            <w:vAlign w:val="bottom"/>
            <w:tcBorders>
              <w:bottom w:val="single" w:sz="8" w:color="auto"/>
            </w:tcBorders>
            <w:gridSpan w:val="2"/>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r>
      <w:tr>
        <w:trPr>
          <w:trHeight w:val="480"/>
        </w:trPr>
        <w:tc>
          <w:tcPr>
            <w:tcW w:w="7720" w:type="dxa"/>
            <w:vAlign w:val="bottom"/>
            <w:gridSpan w:val="2"/>
          </w:tcPr>
          <w:p>
            <w:pPr>
              <w:jc w:val="center"/>
              <w:ind w:left="34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20" w:type="dxa"/>
            <w:vAlign w:val="bottom"/>
          </w:tcPr>
          <w:p>
            <w:pPr>
              <w:spacing w:after="0"/>
              <w:rPr>
                <w:sz w:val="24"/>
                <w:szCs w:val="24"/>
                <w:color w:val="auto"/>
              </w:rPr>
            </w:pPr>
          </w:p>
        </w:tc>
      </w:tr>
      <w:tr>
        <w:trPr>
          <w:trHeight w:val="414"/>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Delaware</w:t>
            </w:r>
          </w:p>
        </w:tc>
        <w:tc>
          <w:tcPr>
            <w:tcW w:w="3020" w:type="dxa"/>
            <w:vAlign w:val="bottom"/>
          </w:tcPr>
          <w:p>
            <w:pPr>
              <w:jc w:val="center"/>
              <w:ind w:right="1045"/>
              <w:spacing w:after="0"/>
              <w:rPr>
                <w:sz w:val="20"/>
                <w:szCs w:val="20"/>
                <w:color w:val="auto"/>
              </w:rPr>
            </w:pPr>
            <w:r>
              <w:rPr>
                <w:rFonts w:ascii="Times New Roman" w:cs="Times New Roman" w:eastAsia="Times New Roman" w:hAnsi="Times New Roman"/>
                <w:sz w:val="18"/>
                <w:szCs w:val="18"/>
                <w:color w:val="auto"/>
                <w:w w:val="99"/>
              </w:rPr>
              <w:t>001-04298</w:t>
            </w:r>
          </w:p>
        </w:tc>
        <w:tc>
          <w:tcPr>
            <w:tcW w:w="35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95-1934119</w:t>
            </w:r>
          </w:p>
        </w:tc>
      </w:tr>
      <w:tr>
        <w:trPr>
          <w:trHeight w:val="216"/>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020" w:type="dxa"/>
            <w:vAlign w:val="bottom"/>
          </w:tcPr>
          <w:p>
            <w:pPr>
              <w:jc w:val="center"/>
              <w:ind w:right="1025"/>
              <w:spacing w:after="0"/>
              <w:rPr>
                <w:sz w:val="20"/>
                <w:szCs w:val="20"/>
                <w:color w:val="auto"/>
              </w:rPr>
            </w:pPr>
            <w:r>
              <w:rPr>
                <w:rFonts w:ascii="Times New Roman" w:cs="Times New Roman" w:eastAsia="Times New Roman" w:hAnsi="Times New Roman"/>
                <w:sz w:val="18"/>
                <w:szCs w:val="18"/>
                <w:color w:val="auto"/>
                <w:w w:val="98"/>
              </w:rPr>
              <w:t>(Commission</w:t>
            </w:r>
          </w:p>
        </w:tc>
        <w:tc>
          <w:tcPr>
            <w:tcW w:w="35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020" w:type="dxa"/>
            <w:vAlign w:val="bottom"/>
          </w:tcPr>
          <w:p>
            <w:pPr>
              <w:jc w:val="center"/>
              <w:ind w:right="1025"/>
              <w:spacing w:after="0"/>
              <w:rPr>
                <w:sz w:val="20"/>
                <w:szCs w:val="20"/>
                <w:color w:val="auto"/>
              </w:rPr>
            </w:pPr>
            <w:r>
              <w:rPr>
                <w:rFonts w:ascii="Times New Roman" w:cs="Times New Roman" w:eastAsia="Times New Roman" w:hAnsi="Times New Roman"/>
                <w:sz w:val="18"/>
                <w:szCs w:val="18"/>
                <w:color w:val="auto"/>
                <w:w w:val="98"/>
              </w:rPr>
              <w:t>File Number)</w:t>
            </w:r>
          </w:p>
        </w:tc>
        <w:tc>
          <w:tcPr>
            <w:tcW w:w="3520" w:type="dxa"/>
            <w:vAlign w:val="bottom"/>
          </w:tcPr>
          <w:p>
            <w:pPr>
              <w:jc w:val="center"/>
              <w:ind w:right="14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12367 Crosthwaite Circle, Poway,</w:t>
            </w:r>
          </w:p>
        </w:tc>
        <w:tc>
          <w:tcPr>
            <w:tcW w:w="3020" w:type="dxa"/>
            <w:vAlign w:val="bottom"/>
          </w:tcPr>
          <w:p>
            <w:pPr>
              <w:spacing w:after="0"/>
              <w:rPr>
                <w:sz w:val="24"/>
                <w:szCs w:val="24"/>
                <w:color w:val="auto"/>
              </w:rPr>
            </w:pPr>
          </w:p>
        </w:tc>
        <w:tc>
          <w:tcPr>
            <w:tcW w:w="3520" w:type="dxa"/>
            <w:vAlign w:val="bottom"/>
          </w:tcPr>
          <w:p>
            <w:pPr>
              <w:jc w:val="right"/>
              <w:ind w:right="2210"/>
              <w:spacing w:after="0"/>
              <w:rPr>
                <w:sz w:val="20"/>
                <w:szCs w:val="20"/>
                <w:color w:val="auto"/>
              </w:rPr>
            </w:pPr>
            <w:r>
              <w:rPr>
                <w:rFonts w:ascii="Times New Roman" w:cs="Times New Roman" w:eastAsia="Times New Roman" w:hAnsi="Times New Roman"/>
                <w:sz w:val="18"/>
                <w:szCs w:val="18"/>
                <w:color w:val="auto"/>
              </w:rPr>
              <w:t>92064</w:t>
            </w:r>
          </w:p>
        </w:tc>
      </w:tr>
      <w:tr>
        <w:trPr>
          <w:trHeight w:val="216"/>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California</w:t>
            </w:r>
          </w:p>
        </w:tc>
        <w:tc>
          <w:tcPr>
            <w:tcW w:w="30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020" w:type="dxa"/>
            <w:vAlign w:val="bottom"/>
          </w:tcPr>
          <w:p>
            <w:pPr>
              <w:spacing w:after="0"/>
              <w:rPr>
                <w:sz w:val="18"/>
                <w:szCs w:val="18"/>
                <w:color w:val="auto"/>
              </w:rPr>
            </w:pPr>
          </w:p>
        </w:tc>
        <w:tc>
          <w:tcPr>
            <w:tcW w:w="352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47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offices)</w:t>
            </w:r>
          </w:p>
        </w:tc>
        <w:tc>
          <w:tcPr>
            <w:tcW w:w="3020" w:type="dxa"/>
            <w:vAlign w:val="bottom"/>
          </w:tcPr>
          <w:p>
            <w:pPr>
              <w:spacing w:after="0"/>
              <w:rPr>
                <w:sz w:val="20"/>
                <w:szCs w:val="20"/>
                <w:color w:val="auto"/>
              </w:rPr>
            </w:pPr>
          </w:p>
        </w:tc>
        <w:tc>
          <w:tcPr>
            <w:tcW w:w="3520" w:type="dxa"/>
            <w:vAlign w:val="bottom"/>
          </w:tcPr>
          <w:p>
            <w:pPr>
              <w:spacing w:after="0"/>
              <w:rPr>
                <w:sz w:val="20"/>
                <w:szCs w:val="20"/>
                <w:color w:val="auto"/>
              </w:rPr>
            </w:pPr>
          </w:p>
        </w:tc>
      </w:tr>
      <w:tr>
        <w:trPr>
          <w:trHeight w:val="432"/>
        </w:trPr>
        <w:tc>
          <w:tcPr>
            <w:tcW w:w="47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20" w:type="dxa"/>
            <w:vAlign w:val="bottom"/>
          </w:tcPr>
          <w:p>
            <w:pPr>
              <w:spacing w:after="0"/>
              <w:rPr>
                <w:sz w:val="24"/>
                <w:szCs w:val="24"/>
                <w:color w:val="auto"/>
              </w:rPr>
            </w:pPr>
          </w:p>
        </w:tc>
        <w:tc>
          <w:tcPr>
            <w:tcW w:w="3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858-848-8100</w:t>
            </w:r>
          </w:p>
        </w:tc>
      </w:tr>
      <w:tr>
        <w:trPr>
          <w:trHeight w:val="432"/>
        </w:trPr>
        <w:tc>
          <w:tcPr>
            <w:tcW w:w="4700" w:type="dxa"/>
            <w:vAlign w:val="bottom"/>
          </w:tcPr>
          <w:p>
            <w:pPr>
              <w:spacing w:after="0"/>
              <w:rPr>
                <w:sz w:val="24"/>
                <w:szCs w:val="24"/>
                <w:color w:val="auto"/>
              </w:rPr>
            </w:pPr>
          </w:p>
        </w:tc>
        <w:tc>
          <w:tcPr>
            <w:tcW w:w="3020" w:type="dxa"/>
            <w:vAlign w:val="bottom"/>
          </w:tcPr>
          <w:p>
            <w:pPr>
              <w:jc w:val="center"/>
              <w:ind w:right="1045"/>
              <w:spacing w:after="0"/>
              <w:rPr>
                <w:sz w:val="20"/>
                <w:szCs w:val="20"/>
                <w:color w:val="auto"/>
              </w:rPr>
            </w:pPr>
            <w:r>
              <w:rPr>
                <w:rFonts w:ascii="Times New Roman" w:cs="Times New Roman" w:eastAsia="Times New Roman" w:hAnsi="Times New Roman"/>
                <w:sz w:val="18"/>
                <w:szCs w:val="18"/>
                <w:color w:val="auto"/>
                <w:w w:val="99"/>
              </w:rPr>
              <w:t>Not Applicable</w:t>
            </w:r>
          </w:p>
        </w:tc>
        <w:tc>
          <w:tcPr>
            <w:tcW w:w="3520" w:type="dxa"/>
            <w:vAlign w:val="bottom"/>
          </w:tcPr>
          <w:p>
            <w:pPr>
              <w:spacing w:after="0"/>
              <w:rPr>
                <w:sz w:val="24"/>
                <w:szCs w:val="24"/>
                <w:color w:val="auto"/>
              </w:rPr>
            </w:pPr>
          </w:p>
        </w:tc>
      </w:tr>
      <w:tr>
        <w:trPr>
          <w:trHeight w:val="270"/>
        </w:trPr>
        <w:tc>
          <w:tcPr>
            <w:tcW w:w="470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tcPr>
          <w:p>
            <w:pPr>
              <w:spacing w:after="0"/>
              <w:rPr>
                <w:sz w:val="23"/>
                <w:szCs w:val="23"/>
                <w:color w:val="auto"/>
              </w:rPr>
            </w:pPr>
          </w:p>
        </w:tc>
        <w:tc>
          <w:tcPr>
            <w:tcW w:w="3520" w:type="dxa"/>
            <w:vAlign w:val="bottom"/>
            <w:tcBorders>
              <w:bottom w:val="single" w:sz="8" w:color="auto"/>
            </w:tcBorders>
          </w:tcPr>
          <w:p>
            <w:pPr>
              <w:spacing w:after="0"/>
              <w:rPr>
                <w:sz w:val="23"/>
                <w:szCs w:val="23"/>
                <w:color w:val="auto"/>
              </w:rPr>
            </w:pPr>
          </w:p>
        </w:tc>
      </w:tr>
    </w:tbl>
    <w:p>
      <w:pPr>
        <w:spacing w:after="0" w:line="333"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445" w:right="339" w:bottom="1440" w:gutter="0" w:footer="0" w:header="0"/>
        </w:sectPr>
      </w:pPr>
    </w:p>
    <w:p>
      <w:pPr>
        <w:spacing w:after="0" w:line="225"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Common Stock, $1.00 par value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COHU</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40" w:space="720"/>
            <w:col w:w="2000" w:space="720"/>
            <w:col w:w="3560"/>
          </w:cols>
          <w:pgMar w:left="320" w:top="445" w:right="339" w:bottom="1440" w:gutter="0" w:footer="0" w:header="0"/>
          <w:type w:val="continuous"/>
        </w:sectPr>
      </w:pPr>
    </w:p>
    <w:p>
      <w:pPr>
        <w:spacing w:after="0" w:line="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ind w:right="35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 Compensatory Arrangements of Certain Officers</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Compensation Committee of the Board of Directors of Cohu, Inc. (the “Company”) recently undertook, in consultation with its outside compensation advisory firm, Compensia, a review of its executive agreements. The objective of this review was to independently benchmark, assess best practices and develop standard agreements to be implemented as the Committee deemed appropriate among the Company’s executive officers. The Committee has approved a form of executive severance agreement (the “Severance Agreement”) and form of change in control agreement (the “Change in Control Agreement”) for certain of the Company’s executive officers (each, an “Executive”), as described below. The Company first entered into the Severance Agreements and Change in Control Agreements on September 8, 2020.</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Severance Agreement provides that if an Executive’s employment is terminated by the Company without Cause, or only in the case of Mr. Luis Müller, if he voluntarily resigns for Good Reason, then, subject to the Executive’s continued compliance with the obligations set forth in the Executive’s Confidentiality and Inventions Agreement and the Executive’s signing and not revoking a separation agreement and release of claims, the Executive would be entitled to: (1) any expense reimbursements, wages and other benefits due to Executive under any Company-provided plans, policies and arrangements (the “Accrued Amounts”); (2) a lump sum payment equal to a multiplier (as summarized below) multiplied by the Executive’s annual base salary; and (3) reimbursement for the Executive’s COBRA continuation premiums for the Premium Payment Period (as summarized below). If an Executive’s employment with the Company terminates (A) voluntarily by the Executive (other than for Good Reason in the case of Mr. Müller), (B) for Cause by the Company, or (C) due to Executive’s death or disability, the Executive would not be entitled to receive any severance payments, but in the event of death their estate would be eligible for a pro-rata incentive bonus for the fiscal year in which the termination date occurs.</w:t>
      </w:r>
    </w:p>
    <w:p>
      <w:pPr>
        <w:spacing w:after="0" w:line="1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Change in Control Agreement provides that if an Executive’s employment is terminated by the Company without Cause or the Executive voluntarily resigns for Good Reason, in either case beginning sixty (60) days preceding the date of an event constituting a Change in Control and ending on the second anniversary of the date of the event constituting such Change in Control, then, subject to the Executive’s continued compliance with the obligations set forth in the Executive’s Confidentiality and Inventions Agreement and the Executive’s signing and not revoking a separation agreement and release of claims, the Executive would be entitled to: (1) the Accrued Amounts; (2) a lump sum payment equal to a multiplier (as summarized below) multiplied by the Executive’s annual base salary; (3) a lump sum payment equal to a multiplier (as summarized below) multiplied by the Executive’s target bonus amount in the year of termination; (4) a lump sum payment equal to the pro-rated portion of Executive’s target bonus amount for the fiscal year in which the termination date occurs; (5) reimbursement for the Executive’s COBRA continuation premiums for the Premium Payment Period (as summarized below); and (6) all of Executive’s then unvested awards relating to the Company’s common stock or equivalent equity awards as assumed, continued or substituted for by an Acquiror, whether stock options, shares of restricted stock, restricted stock units, performance share units, or otherwise, outstanding as of the Termination Date would become vested in full. If an Executive’s employment with the Company terminates (A) voluntarily by the Executive, other than for Good Reason, (B) for Cause by the Company, or (C) due to Executive’s death or disability, the Executive would not be entitled to receive any severance payments, but in the event of death their estate would be eligible for a pro-rata incentive bonus for the fiscal year in which the termination date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 w:name="page3"/>
    <w:bookmarkEnd w:id="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Capitalized terms as used in the preceding two paragraphs are defined in the Agreements. The Agreements have a three (3) year Initial Term and will be automatically extended for successive two (2) year periods, unless either party has delivered written notice to the other party no later than six (6) months prior to the completion of the then effective Term that the Agreement will not be extended.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Summary:</w:t>
            </w:r>
          </w:p>
        </w:tc>
        <w:tc>
          <w:tcPr>
            <w:tcW w:w="220" w:type="dxa"/>
            <w:vAlign w:val="bottom"/>
          </w:tcPr>
          <w:p>
            <w:pPr>
              <w:spacing w:after="0"/>
              <w:rPr>
                <w:sz w:val="20"/>
                <w:szCs w:val="20"/>
                <w:color w:val="auto"/>
              </w:rPr>
            </w:pPr>
          </w:p>
        </w:tc>
        <w:tc>
          <w:tcPr>
            <w:tcW w:w="316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Severance Agreement</w:t>
            </w:r>
          </w:p>
        </w:tc>
        <w:tc>
          <w:tcPr>
            <w:tcW w:w="220" w:type="dxa"/>
            <w:vAlign w:val="bottom"/>
          </w:tcPr>
          <w:p>
            <w:pPr>
              <w:spacing w:after="0"/>
              <w:rPr>
                <w:sz w:val="20"/>
                <w:szCs w:val="20"/>
                <w:color w:val="auto"/>
              </w:rPr>
            </w:pPr>
          </w:p>
        </w:tc>
        <w:tc>
          <w:tcPr>
            <w:tcW w:w="3120" w:type="dxa"/>
            <w:vAlign w:val="bottom"/>
            <w:gridSpan w:val="3"/>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Change in Control Agreement</w:t>
            </w: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COBRA Premium</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COBRA Premium</w:t>
            </w:r>
          </w:p>
        </w:tc>
        <w:tc>
          <w:tcPr>
            <w:tcW w:w="0" w:type="dxa"/>
            <w:vAlign w:val="bottom"/>
          </w:tcPr>
          <w:p>
            <w:pPr>
              <w:spacing w:after="0"/>
              <w:rPr>
                <w:sz w:val="1"/>
                <w:szCs w:val="1"/>
                <w:color w:val="auto"/>
              </w:rPr>
            </w:pPr>
          </w:p>
        </w:tc>
      </w:tr>
      <w:tr>
        <w:trPr>
          <w:trHeight w:val="238"/>
        </w:trPr>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Multiplier</w:t>
            </w:r>
          </w:p>
        </w:tc>
        <w:tc>
          <w:tcPr>
            <w:tcW w:w="22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Payment Per.</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Multiplier</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Payment Per.</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Luis A. Müller, </w:t>
            </w:r>
            <w:r>
              <w:rPr>
                <w:rFonts w:ascii="Times New Roman" w:cs="Times New Roman" w:eastAsia="Times New Roman" w:hAnsi="Times New Roman"/>
                <w:sz w:val="18"/>
                <w:szCs w:val="18"/>
                <w:i w:val="1"/>
                <w:iCs w:val="1"/>
                <w:color w:val="auto"/>
              </w:rPr>
              <w:t>CEO and President</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15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200%</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Jeffrey D. Jones, </w:t>
            </w:r>
            <w:r>
              <w:rPr>
                <w:rFonts w:ascii="Times New Roman" w:cs="Times New Roman" w:eastAsia="Times New Roman" w:hAnsi="Times New Roman"/>
                <w:sz w:val="18"/>
                <w:szCs w:val="18"/>
                <w:i w:val="1"/>
                <w:iCs w:val="1"/>
                <w:color w:val="auto"/>
              </w:rPr>
              <w:t>Chief Financial Officer</w:t>
            </w: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0" w:type="dxa"/>
            <w:vAlign w:val="bottom"/>
          </w:tcPr>
          <w:p>
            <w:pPr>
              <w:spacing w:after="0"/>
              <w:rPr>
                <w:sz w:val="1"/>
                <w:szCs w:val="1"/>
                <w:color w:val="auto"/>
              </w:rPr>
            </w:pPr>
          </w:p>
        </w:tc>
      </w:tr>
      <w:tr>
        <w:trPr>
          <w:trHeight w:val="196"/>
        </w:trPr>
        <w:tc>
          <w:tcPr>
            <w:tcW w:w="45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 xml:space="preserve">Christopher G. Bohrson, </w:t>
            </w:r>
            <w:r>
              <w:rPr>
                <w:rFonts w:ascii="Times New Roman" w:cs="Times New Roman" w:eastAsia="Times New Roman" w:hAnsi="Times New Roman"/>
                <w:sz w:val="18"/>
                <w:szCs w:val="18"/>
                <w:i w:val="1"/>
                <w:iCs w:val="1"/>
                <w:color w:val="auto"/>
              </w:rPr>
              <w:t>SVP and General Manager, Test</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Handler Group</w:t>
            </w:r>
          </w:p>
        </w:tc>
        <w:tc>
          <w:tcPr>
            <w:tcW w:w="158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15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0" w:type="dxa"/>
            <w:vAlign w:val="bottom"/>
          </w:tcPr>
          <w:p>
            <w:pPr>
              <w:spacing w:after="0"/>
              <w:rPr>
                <w:sz w:val="1"/>
                <w:szCs w:val="1"/>
                <w:color w:val="auto"/>
              </w:rPr>
            </w:pPr>
          </w:p>
        </w:tc>
      </w:tr>
      <w:tr>
        <w:trPr>
          <w:trHeight w:val="196"/>
        </w:trPr>
        <w:tc>
          <w:tcPr>
            <w:tcW w:w="45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 xml:space="preserve">Thomas D. Kampfer, </w:t>
            </w:r>
            <w:r>
              <w:rPr>
                <w:rFonts w:ascii="Times New Roman" w:cs="Times New Roman" w:eastAsia="Times New Roman" w:hAnsi="Times New Roman"/>
                <w:sz w:val="18"/>
                <w:szCs w:val="18"/>
                <w:i w:val="1"/>
                <w:iCs w:val="1"/>
                <w:color w:val="auto"/>
              </w:rPr>
              <w:t>VP Corporate Development, General</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Counsel and Secretary</w:t>
            </w:r>
          </w:p>
        </w:tc>
        <w:tc>
          <w:tcPr>
            <w:tcW w:w="15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100%</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15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 months</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Regarding Mr. Pascal Rondé, </w:t>
      </w:r>
      <w:r>
        <w:rPr>
          <w:rFonts w:ascii="Times New Roman" w:cs="Times New Roman" w:eastAsia="Times New Roman" w:hAnsi="Times New Roman"/>
          <w:sz w:val="18"/>
          <w:szCs w:val="18"/>
          <w:i w:val="1"/>
          <w:iCs w:val="1"/>
          <w:color w:val="auto"/>
        </w:rPr>
        <w:t>SVP Global Customer Group</w:t>
      </w:r>
      <w:r>
        <w:rPr>
          <w:rFonts w:ascii="Times New Roman" w:cs="Times New Roman" w:eastAsia="Times New Roman" w:hAnsi="Times New Roman"/>
          <w:sz w:val="18"/>
          <w:szCs w:val="18"/>
          <w:color w:val="auto"/>
        </w:rPr>
        <w:t>, his severance and change in control benefits will remain unchanged, and as stated in the Company’s most recent definitive proxy statement, dated March 25, 2020.</w:t>
      </w:r>
    </w:p>
    <w:p>
      <w:pPr>
        <w:spacing w:after="0" w:line="16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Severance Agreement and Change in Control Agreement, when executed by the individual Executive, superseded any prior severance agreements and change in control agreements with the Executive.</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Severance Agreements and Change in Control Agreements are not complete and are qualified in their entirety by reference to the full text of the Agreements. Copies of the Severance Agreements and Change in Control Agreements, as signed by each Executive, will be filed as exhibits to the Company’s Quarterly Report on Form 10-Q for the fiscal quarter ended September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560705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Cohu, Inc.</w:t>
      </w:r>
    </w:p>
    <w:p>
      <w:pPr>
        <w:sectPr>
          <w:pgSz w:w="11900" w:h="16838" w:orient="portrait"/>
          <w:cols w:equalWidth="0" w:num="1">
            <w:col w:w="11200"/>
          </w:cols>
          <w:pgMar w:left="320" w:top="576" w:right="37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September 11, 2020</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26035</wp:posOffset>
            </wp:positionV>
            <wp:extent cx="3488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3">
            <w:col w:w="4680" w:space="720"/>
            <w:col w:w="260" w:space="300"/>
            <w:col w:w="5240"/>
          </w:cols>
          <w:pgMar w:left="320" w:top="576" w:right="379" w:bottom="1440" w:gutter="0" w:footer="0" w:header="0"/>
          <w:type w:val="continuous"/>
        </w:sectPr>
      </w:pPr>
    </w:p>
    <w:p>
      <w:pPr>
        <w:ind w:left="574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Title: Chief Financial Officer</w:t>
      </w:r>
    </w:p>
    <w:sectPr>
      <w:pgSz w:w="11900" w:h="16838" w:orient="portrait"/>
      <w:cols w:equalWidth="0" w:num="1">
        <w:col w:w="11200"/>
      </w:cols>
      <w:pgMar w:left="320" w:top="57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2020-09-11T15:15:15Z</dcterms:created>
  <dcterms:modified xsi:type="dcterms:W3CDTF">2020-09-11T15:15:15Z</dcterms:modified>
</cp:coreProperties>
</file>