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20" w:type="dxa"/>
            <w:vAlign w:val="bottom"/>
          </w:tcPr>
          <w:p>
            <w:pPr>
              <w:ind w:left="2300"/>
              <w:spacing w:after="0"/>
              <w:rPr>
                <w:sz w:val="20"/>
                <w:szCs w:val="20"/>
                <w:color w:val="auto"/>
              </w:rPr>
            </w:pPr>
            <w:r>
              <w:rPr>
                <w:rFonts w:ascii="Arial" w:cs="Arial" w:eastAsia="Arial" w:hAnsi="Arial"/>
                <w:sz w:val="18"/>
                <w:szCs w:val="18"/>
                <w:color w:val="auto"/>
                <w:w w:val="90"/>
              </w:rPr>
              <w:t>May 6, 2020</w:t>
            </w:r>
          </w:p>
        </w:tc>
      </w:tr>
    </w:tbl>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6780" w:type="dxa"/>
            <w:vAlign w:val="bottom"/>
            <w:gridSpan w:val="2"/>
          </w:tcPr>
          <w:p>
            <w:pPr>
              <w:jc w:val="center"/>
              <w:ind w:left="2490"/>
              <w:spacing w:after="0"/>
              <w:rPr>
                <w:sz w:val="20"/>
                <w:szCs w:val="20"/>
                <w:color w:val="auto"/>
              </w:rPr>
            </w:pPr>
            <w:r>
              <w:rPr>
                <w:rFonts w:ascii="Arial" w:cs="Arial" w:eastAsia="Arial" w:hAnsi="Arial"/>
                <w:sz w:val="18"/>
                <w:szCs w:val="18"/>
                <w:color w:val="auto"/>
                <w:w w:val="90"/>
              </w:rPr>
              <w:t>(Exact name of registrant as specified in its charter)</w:t>
            </w:r>
          </w:p>
        </w:tc>
        <w:tc>
          <w:tcPr>
            <w:tcW w:w="1660" w:type="dxa"/>
            <w:vAlign w:val="bottom"/>
          </w:tcPr>
          <w:p>
            <w:pPr>
              <w:spacing w:after="0"/>
              <w:rPr>
                <w:sz w:val="20"/>
                <w:szCs w:val="20"/>
                <w:color w:val="auto"/>
              </w:rPr>
            </w:pPr>
          </w:p>
        </w:tc>
      </w:tr>
      <w:tr>
        <w:trPr>
          <w:trHeight w:val="418"/>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Delaware</w:t>
            </w:r>
          </w:p>
        </w:tc>
        <w:tc>
          <w:tcPr>
            <w:tcW w:w="2840" w:type="dxa"/>
            <w:vAlign w:val="bottom"/>
          </w:tcPr>
          <w:p>
            <w:pPr>
              <w:jc w:val="center"/>
              <w:ind w:right="1250"/>
              <w:spacing w:after="0"/>
              <w:rPr>
                <w:sz w:val="20"/>
                <w:szCs w:val="20"/>
                <w:color w:val="auto"/>
              </w:rPr>
            </w:pPr>
            <w:r>
              <w:rPr>
                <w:rFonts w:ascii="Arial" w:cs="Arial" w:eastAsia="Arial" w:hAnsi="Arial"/>
                <w:sz w:val="18"/>
                <w:szCs w:val="18"/>
                <w:color w:val="auto"/>
                <w:w w:val="90"/>
              </w:rPr>
              <w:t>001-04298</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(State or other jurisdiction</w:t>
            </w:r>
          </w:p>
        </w:tc>
        <w:tc>
          <w:tcPr>
            <w:tcW w:w="2840" w:type="dxa"/>
            <w:vAlign w:val="bottom"/>
          </w:tcPr>
          <w:p>
            <w:pPr>
              <w:jc w:val="center"/>
              <w:ind w:right="12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3"/>
              </w:rPr>
              <w:t>of incorporation)</w:t>
            </w:r>
          </w:p>
        </w:tc>
        <w:tc>
          <w:tcPr>
            <w:tcW w:w="2840" w:type="dxa"/>
            <w:vAlign w:val="bottom"/>
          </w:tcPr>
          <w:p>
            <w:pPr>
              <w:jc w:val="center"/>
              <w:ind w:right="12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1"/>
              </w:rPr>
              <w:t>12367 Crosthwaite Circle, Poway,</w:t>
            </w:r>
          </w:p>
        </w:tc>
        <w:tc>
          <w:tcPr>
            <w:tcW w:w="284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color w:val="auto"/>
              </w:rPr>
              <w:t>92064</w:t>
            </w: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7"/>
              </w:rPr>
              <w:t>California</w:t>
            </w:r>
          </w:p>
        </w:tc>
        <w:tc>
          <w:tcPr>
            <w:tcW w:w="28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w:t>
            </w:r>
          </w:p>
        </w:tc>
        <w:tc>
          <w:tcPr>
            <w:tcW w:w="2840" w:type="dxa"/>
            <w:vAlign w:val="bottom"/>
          </w:tcPr>
          <w:p>
            <w:pPr>
              <w:spacing w:after="0"/>
              <w:rPr>
                <w:sz w:val="18"/>
                <w:szCs w:val="18"/>
                <w:color w:val="auto"/>
              </w:rPr>
            </w:pP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r>
        <w:trPr>
          <w:trHeight w:val="230"/>
        </w:trPr>
        <w:tc>
          <w:tcPr>
            <w:tcW w:w="3940" w:type="dxa"/>
            <w:vAlign w:val="bottom"/>
          </w:tcPr>
          <w:p>
            <w:pPr>
              <w:jc w:val="center"/>
              <w:ind w:right="630"/>
              <w:spacing w:after="0"/>
              <w:rPr>
                <w:sz w:val="20"/>
                <w:szCs w:val="20"/>
                <w:color w:val="auto"/>
              </w:rPr>
            </w:pPr>
            <w:r>
              <w:rPr>
                <w:rFonts w:ascii="Arial" w:cs="Arial" w:eastAsia="Arial" w:hAnsi="Arial"/>
                <w:sz w:val="18"/>
                <w:szCs w:val="18"/>
                <w:color w:val="auto"/>
                <w:w w:val="92"/>
              </w:rPr>
              <w:t>offices)</w:t>
            </w:r>
          </w:p>
        </w:tc>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2840" w:type="dxa"/>
            <w:vAlign w:val="bottom"/>
          </w:tcPr>
          <w:p>
            <w:pPr>
              <w:spacing w:after="0"/>
              <w:rPr>
                <w:sz w:val="24"/>
                <w:szCs w:val="24"/>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858-848-8100</w:t>
            </w:r>
          </w:p>
        </w:tc>
      </w:tr>
      <w:tr>
        <w:trPr>
          <w:trHeight w:val="432"/>
        </w:trPr>
        <w:tc>
          <w:tcPr>
            <w:tcW w:w="3940" w:type="dxa"/>
            <w:vAlign w:val="bottom"/>
          </w:tcPr>
          <w:p>
            <w:pPr>
              <w:spacing w:after="0"/>
              <w:rPr>
                <w:sz w:val="24"/>
                <w:szCs w:val="24"/>
                <w:color w:val="auto"/>
              </w:rPr>
            </w:pPr>
          </w:p>
        </w:tc>
        <w:tc>
          <w:tcPr>
            <w:tcW w:w="2840" w:type="dxa"/>
            <w:vAlign w:val="bottom"/>
          </w:tcPr>
          <w:p>
            <w:pPr>
              <w:jc w:val="center"/>
              <w:ind w:right="1250"/>
              <w:spacing w:after="0"/>
              <w:rPr>
                <w:sz w:val="20"/>
                <w:szCs w:val="20"/>
                <w:color w:val="auto"/>
              </w:rPr>
            </w:pPr>
            <w:r>
              <w:rPr>
                <w:rFonts w:ascii="Arial" w:cs="Arial" w:eastAsia="Arial" w:hAnsi="Arial"/>
                <w:sz w:val="18"/>
                <w:szCs w:val="18"/>
                <w:color w:val="auto"/>
                <w:w w:val="94"/>
              </w:rPr>
              <w:t>Not Applicable</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8"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665" w:right="49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400"/>
          </w:cols>
          <w:pgMar w:left="320" w:top="665" w:right="499" w:bottom="1440" w:gutter="0" w:footer="0" w:header="0"/>
          <w:type w:val="continuous"/>
        </w:sectPr>
      </w:pPr>
    </w:p>
    <w:p>
      <w:pPr>
        <w:spacing w:after="0" w:line="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2020 Annual Meeting of Cohu, Inc. (“Cohu”) was held on May 6, 2020. At the Annual Meeting, Cohu’s stockholders cast their votes on three proposals, as set forth below. Cohu had 41,461,352 shares outstanding on the March 17, 2020 record date and 39,567,406 (95%) were represented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 was elected as a Class 1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- 35,407,105; Votes Against - 610,171; Abstentions - 112,781; Broker Non-Votes - 3,437,349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Nina L. Richardson was elected as a Class 1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- 35,893,411; Votes Against - 126,458; Abstentions - 110,188; Broker Non-Votes - 3,437,349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remaining directors whose terms continue until 2021 are Andrew M. Caggia, Luis A. Müller and Jorge L. Titinger, and until 2022 are Steven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Bilodeau, Lynne J. Camp and James A. Donahue.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advisory vote on executive compensation of Named Executive Officers, as disclosed in the Proxy Statement, was approved.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- 34,984,142; Votes Against - 476,533; Abstentions - 669,382; Broker Non-Votes - 3,437,349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ratification of the appointment of Ernst &amp; Young LLP as the Cohu’s independent registered public accounting firm for fiscal year 2020 was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Votes For - 37,737,496; Votes Against - 1,536,888; Abstentions - 293,022; Broker Non-Votes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120" w:type="dxa"/>
            <w:vAlign w:val="bottom"/>
          </w:tcPr>
          <w:p>
            <w:pPr>
              <w:ind w:left="2320"/>
              <w:spacing w:after="0"/>
              <w:rPr>
                <w:sz w:val="20"/>
                <w:szCs w:val="20"/>
                <w:color w:val="auto"/>
              </w:rPr>
            </w:pPr>
            <w:r>
              <w:rPr>
                <w:rFonts w:ascii="Arial" w:cs="Arial" w:eastAsia="Arial" w:hAnsi="Arial"/>
                <w:sz w:val="18"/>
                <w:szCs w:val="18"/>
                <w:color w:val="auto"/>
              </w:rPr>
              <w:t>Cohu,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i w:val="1"/>
                <w:iCs w:val="1"/>
                <w:color w:val="auto"/>
              </w:rPr>
              <w:t>May 7, 2020</w:t>
            </w:r>
          </w:p>
        </w:tc>
        <w:tc>
          <w:tcPr>
            <w:tcW w:w="4120" w:type="dxa"/>
            <w:vAlign w:val="bottom"/>
          </w:tcPr>
          <w:p>
            <w:pPr>
              <w:ind w:left="2300"/>
              <w:spacing w:after="0"/>
              <w:rPr>
                <w:sz w:val="20"/>
                <w:szCs w:val="20"/>
                <w:color w:val="auto"/>
              </w:rPr>
            </w:pPr>
            <w:r>
              <w:rPr>
                <w:rFonts w:ascii="Arial" w:cs="Arial" w:eastAsia="Arial" w:hAnsi="Arial"/>
                <w:sz w:val="18"/>
                <w:szCs w:val="18"/>
                <w:i w:val="1"/>
                <w:iCs w:val="1"/>
                <w:color w:val="auto"/>
                <w:w w:val="92"/>
              </w:rPr>
              <w:t>By:   /s/ Jeffrey D. Jones</w:t>
            </w:r>
          </w:p>
        </w:tc>
      </w:tr>
    </w:tbl>
    <w:p>
      <w:pPr>
        <w:ind w:left="596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Title: VP Finance and Chief Financial Officer</w:t>
      </w:r>
    </w:p>
    <w:sectPr>
      <w:pgSz w:w="11900" w:h="16838" w:orient="portrait"/>
      <w:cols w:equalWidth="0" w:num="1">
        <w:col w:w="11200"/>
      </w:cols>
      <w:pgMar w:left="320" w:top="6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2020-05-07T15:23:08Z</dcterms:created>
  <dcterms:modified xsi:type="dcterms:W3CDTF">2020-05-07T15:23:08Z</dcterms:modified>
</cp:coreProperties>
</file>