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920" w:right="1800" w:hanging="3912"/>
        <w:spacing w:after="0" w:line="261" w:lineRule="auto"/>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28, 2019</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92" w:right="339" w:bottom="14" w:gutter="0" w:footer="0" w:header="0"/>
        </w:sectPr>
      </w:pPr>
    </w:p>
    <w:p>
      <w:pPr>
        <w:spacing w:after="0" w:line="48" w:lineRule="exact"/>
        <w:rPr>
          <w:sz w:val="24"/>
          <w:szCs w:val="24"/>
          <w:color w:val="auto"/>
        </w:rPr>
      </w:pPr>
    </w:p>
    <w:p>
      <w:pPr>
        <w:jc w:val="center"/>
        <w:ind w:right="-19"/>
        <w:spacing w:after="0"/>
        <w:tabs>
          <w:tab w:leader="none" w:pos="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center"/>
        <w:ind w:right="-19"/>
        <w:spacing w:after="0"/>
        <w:rPr>
          <w:sz w:val="20"/>
          <w:szCs w:val="20"/>
          <w:color w:val="auto"/>
        </w:rPr>
      </w:pPr>
      <w:r>
        <w:rPr>
          <w:rFonts w:ascii="Arial" w:cs="Arial" w:eastAsia="Arial" w:hAnsi="Arial"/>
          <w:sz w:val="18"/>
          <w:szCs w:val="18"/>
          <w:b w:val="1"/>
          <w:bCs w:val="1"/>
          <w:color w:val="auto"/>
        </w:rPr>
        <w:t>Commission file number 1-4298</w:t>
      </w:r>
    </w:p>
    <w:p>
      <w:pPr>
        <w:sectPr>
          <w:pgSz w:w="11900" w:h="16838" w:orient="portrait"/>
          <w:cols w:equalWidth="0" w:num="1">
            <w:col w:w="11240"/>
          </w:cols>
          <w:pgMar w:left="320" w:top="692" w:right="339" w:bottom="14" w:gutter="0" w:footer="0" w:header="0"/>
          <w:type w:val="continuous"/>
        </w:sectPr>
      </w:pP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r>
        <w:rPr>
          <w:rFonts w:ascii="Arial" w:cs="Arial" w:eastAsia="Arial" w:hAnsi="Arial"/>
          <w:sz w:val="32"/>
          <w:szCs w:val="32"/>
          <w:color w:val="auto"/>
        </w:rPr>
        <w:t>.</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7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6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500" w:type="dxa"/>
            <w:vAlign w:val="bottom"/>
          </w:tcPr>
          <w:p>
            <w:pPr>
              <w:spacing w:after="0"/>
              <w:rPr>
                <w:sz w:val="18"/>
                <w:szCs w:val="18"/>
                <w:color w:val="auto"/>
              </w:rPr>
            </w:pPr>
          </w:p>
        </w:tc>
        <w:tc>
          <w:tcPr>
            <w:tcW w:w="3740" w:type="dxa"/>
            <w:vAlign w:val="bottom"/>
            <w:gridSpan w:val="2"/>
          </w:tcPr>
          <w:p>
            <w:pPr>
              <w:jc w:val="center"/>
              <w:ind w:right="330"/>
              <w:spacing w:after="0"/>
              <w:rPr>
                <w:sz w:val="20"/>
                <w:szCs w:val="20"/>
                <w:color w:val="auto"/>
              </w:rPr>
            </w:pPr>
            <w:r>
              <w:rPr>
                <w:rFonts w:ascii="Arial" w:cs="Arial" w:eastAsia="Arial" w:hAnsi="Arial"/>
                <w:sz w:val="18"/>
                <w:szCs w:val="18"/>
                <w:i w:val="1"/>
                <w:iCs w:val="1"/>
                <w:color w:val="auto"/>
                <w:w w:val="94"/>
              </w:rPr>
              <w:t>(State or other jurisdiction of</w:t>
            </w: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60" w:type="dxa"/>
            <w:vAlign w:val="bottom"/>
            <w:gridSpan w:val="2"/>
          </w:tcPr>
          <w:p>
            <w:pPr>
              <w:jc w:val="center"/>
              <w:ind w:right="6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500" w:type="dxa"/>
            <w:vAlign w:val="bottom"/>
          </w:tcPr>
          <w:p>
            <w:pPr>
              <w:spacing w:after="0"/>
              <w:rPr>
                <w:sz w:val="20"/>
                <w:szCs w:val="20"/>
                <w:color w:val="auto"/>
              </w:rPr>
            </w:pPr>
          </w:p>
        </w:tc>
        <w:tc>
          <w:tcPr>
            <w:tcW w:w="3740" w:type="dxa"/>
            <w:vAlign w:val="bottom"/>
            <w:gridSpan w:val="2"/>
          </w:tcPr>
          <w:p>
            <w:pPr>
              <w:jc w:val="center"/>
              <w:ind w:right="33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500" w:type="dxa"/>
            <w:vAlign w:val="bottom"/>
          </w:tcPr>
          <w:p>
            <w:pPr>
              <w:spacing w:after="0"/>
              <w:rPr>
                <w:sz w:val="20"/>
                <w:szCs w:val="20"/>
                <w:color w:val="auto"/>
              </w:rPr>
            </w:pPr>
          </w:p>
        </w:tc>
        <w:tc>
          <w:tcPr>
            <w:tcW w:w="3740" w:type="dxa"/>
            <w:vAlign w:val="bottom"/>
            <w:gridSpan w:val="2"/>
          </w:tcPr>
          <w:p>
            <w:pPr>
              <w:jc w:val="center"/>
              <w:ind w:right="3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80" w:type="dxa"/>
            <w:vAlign w:val="bottom"/>
          </w:tcPr>
          <w:p>
            <w:pPr>
              <w:jc w:val="center"/>
              <w:ind w:right="177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300" w:type="dxa"/>
            <w:vAlign w:val="bottom"/>
            <w:gridSpan w:val="5"/>
          </w:tcPr>
          <w:p>
            <w:pPr>
              <w:jc w:val="center"/>
              <w:ind w:right="2170"/>
              <w:spacing w:after="0"/>
              <w:rPr>
                <w:sz w:val="20"/>
                <w:szCs w:val="20"/>
                <w:color w:val="auto"/>
              </w:rPr>
            </w:pPr>
            <w:r>
              <w:rPr>
                <w:rFonts w:ascii="Arial" w:cs="Arial" w:eastAsia="Arial" w:hAnsi="Arial"/>
                <w:sz w:val="18"/>
                <w:szCs w:val="18"/>
                <w:b w:val="1"/>
                <w:bCs w:val="1"/>
                <w:color w:val="auto"/>
                <w:w w:val="89"/>
              </w:rPr>
              <w:t>Registrant’s telephone number, including area code: (858) 848-8100</w:t>
            </w:r>
          </w:p>
        </w:tc>
      </w:tr>
      <w:tr>
        <w:trPr>
          <w:trHeight w:val="414"/>
        </w:trPr>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300" w:type="dxa"/>
            <w:vAlign w:val="bottom"/>
            <w:gridSpan w:val="5"/>
          </w:tcPr>
          <w:p>
            <w:pPr>
              <w:jc w:val="center"/>
              <w:ind w:right="21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00" w:type="dxa"/>
            <w:vAlign w:val="bottom"/>
          </w:tcPr>
          <w:p>
            <w:pPr>
              <w:spacing w:after="0"/>
              <w:rPr>
                <w:sz w:val="16"/>
                <w:szCs w:val="16"/>
                <w:color w:val="auto"/>
              </w:rPr>
            </w:pPr>
          </w:p>
        </w:tc>
        <w:tc>
          <w:tcPr>
            <w:tcW w:w="14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Title of Each Class</w:t>
            </w:r>
          </w:p>
        </w:tc>
        <w:tc>
          <w:tcPr>
            <w:tcW w:w="2300" w:type="dxa"/>
            <w:vAlign w:val="bottom"/>
          </w:tcPr>
          <w:p>
            <w:pPr>
              <w:spacing w:after="0"/>
              <w:rPr>
                <w:sz w:val="16"/>
                <w:szCs w:val="16"/>
                <w:color w:val="auto"/>
              </w:rPr>
            </w:pPr>
          </w:p>
        </w:tc>
        <w:tc>
          <w:tcPr>
            <w:tcW w:w="14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Name of Exchange on Which Registered</w:t>
            </w:r>
          </w:p>
        </w:tc>
      </w:tr>
      <w:tr>
        <w:trPr>
          <w:trHeight w:val="236"/>
        </w:trPr>
        <w:tc>
          <w:tcPr>
            <w:tcW w:w="4240" w:type="dxa"/>
            <w:vAlign w:val="bottom"/>
            <w:gridSpan w:val="3"/>
          </w:tcPr>
          <w:p>
            <w:pPr>
              <w:jc w:val="center"/>
              <w:ind w:right="1710"/>
              <w:spacing w:after="0"/>
              <w:rPr>
                <w:sz w:val="20"/>
                <w:szCs w:val="20"/>
                <w:color w:val="auto"/>
              </w:rPr>
            </w:pPr>
            <w:r>
              <w:rPr>
                <w:rFonts w:ascii="Arial" w:cs="Arial" w:eastAsia="Arial" w:hAnsi="Arial"/>
                <w:sz w:val="18"/>
                <w:szCs w:val="18"/>
                <w:b w:val="1"/>
                <w:bCs w:val="1"/>
                <w:color w:val="auto"/>
                <w:w w:val="89"/>
              </w:rPr>
              <w:t>Common Stock, $1.00 par value</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COHU</w:t>
            </w:r>
          </w:p>
        </w:tc>
        <w:tc>
          <w:tcPr>
            <w:tcW w:w="108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20"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60" w:firstLine="16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560" w:type="dxa"/>
        <w:tblCellMar>
          <w:top w:w="0" w:type="dxa"/>
          <w:left w:w="0" w:type="dxa"/>
          <w:bottom w:w="0" w:type="dxa"/>
          <w:right w:w="0" w:type="dxa"/>
        </w:tblCellMar>
      </w:tblPr>
      <w:tr>
        <w:trPr>
          <w:trHeight w:val="284"/>
        </w:trPr>
        <w:tc>
          <w:tcPr>
            <w:tcW w:w="5620" w:type="dxa"/>
            <w:vAlign w:val="bottom"/>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660" w:type="dxa"/>
            <w:vAlign w:val="bottom"/>
          </w:tcPr>
          <w:p>
            <w:pPr>
              <w:ind w:left="60"/>
              <w:spacing w:after="0"/>
              <w:rPr>
                <w:sz w:val="20"/>
                <w:szCs w:val="20"/>
                <w:color w:val="auto"/>
              </w:rPr>
            </w:pPr>
            <w:r>
              <w:rPr>
                <w:rFonts w:ascii="Arial" w:cs="Arial" w:eastAsia="Arial" w:hAnsi="Arial"/>
                <w:sz w:val="18"/>
                <w:szCs w:val="18"/>
                <w:color w:val="auto"/>
              </w:rPr>
              <w:t>Smaller reporting</w:t>
            </w:r>
          </w:p>
        </w:tc>
        <w:tc>
          <w:tcPr>
            <w:tcW w:w="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ind w:left="80"/>
              <w:spacing w:after="0"/>
              <w:rPr>
                <w:sz w:val="20"/>
                <w:szCs w:val="20"/>
                <w:color w:val="auto"/>
              </w:rPr>
            </w:pPr>
            <w:r>
              <w:rPr>
                <w:rFonts w:ascii="Arial" w:cs="Arial" w:eastAsia="Arial" w:hAnsi="Arial"/>
                <w:sz w:val="18"/>
                <w:szCs w:val="18"/>
                <w:color w:val="auto"/>
              </w:rPr>
              <w:t>Emerging growth</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5620" w:type="dxa"/>
            <w:vAlign w:val="bottom"/>
          </w:tcPr>
          <w:p>
            <w:pPr>
              <w:spacing w:after="0"/>
              <w:rPr>
                <w:sz w:val="20"/>
                <w:szCs w:val="20"/>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company</w:t>
            </w:r>
          </w:p>
        </w:tc>
        <w:tc>
          <w:tcPr>
            <w:tcW w:w="54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auto"/>
              </w:rPr>
              <w:t>company</w:t>
            </w:r>
          </w:p>
        </w:tc>
        <w:tc>
          <w:tcPr>
            <w:tcW w:w="500" w:type="dxa"/>
            <w:vAlign w:val="bottom"/>
          </w:tcPr>
          <w:p>
            <w:pPr>
              <w:spacing w:after="0"/>
              <w:rPr>
                <w:sz w:val="20"/>
                <w:szCs w:val="20"/>
                <w:color w:val="auto"/>
              </w:rPr>
            </w:pPr>
          </w:p>
        </w:tc>
      </w:tr>
    </w:tbl>
    <w:p>
      <w:pPr>
        <w:spacing w:after="0" w:line="1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168"/>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$624,000,000 based on the closing stock price as reported by the Nasdaq Stock Market LLC as of June 28, 2019.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8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27, 2020, the Registrant had 41,452,753 shares of its $1.00 par value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40" w:firstLine="168"/>
        <w:spacing w:after="0" w:line="308" w:lineRule="auto"/>
        <w:rPr>
          <w:sz w:val="20"/>
          <w:szCs w:val="20"/>
          <w:color w:val="auto"/>
        </w:rPr>
      </w:pPr>
      <w:r>
        <w:rPr>
          <w:rFonts w:ascii="Arial" w:cs="Arial" w:eastAsia="Arial" w:hAnsi="Arial"/>
          <w:sz w:val="17"/>
          <w:szCs w:val="17"/>
          <w:color w:val="auto"/>
        </w:rPr>
        <w:t>Portions of the Proxy Statement for Cohu, Inc.’s 2020 Annual Meeting of Stockholders to be held on May 6, 2020, and to be filed pursuant to Regulation 14A within 120 days after registrant’s fiscal year ended December 28, 2019,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7"/>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8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COHU, INC.</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gridSpan w:val="16"/>
          </w:tcPr>
          <w:p>
            <w:pPr>
              <w:jc w:val="center"/>
              <w:ind w:right="1620"/>
              <w:spacing w:after="0"/>
              <w:rPr>
                <w:sz w:val="20"/>
                <w:szCs w:val="20"/>
                <w:color w:val="auto"/>
              </w:rPr>
            </w:pPr>
            <w:r>
              <w:rPr>
                <w:rFonts w:ascii="Arial" w:cs="Arial" w:eastAsia="Arial" w:hAnsi="Arial"/>
                <w:sz w:val="18"/>
                <w:szCs w:val="18"/>
                <w:b w:val="1"/>
                <w:bCs w:val="1"/>
                <w:color w:val="auto"/>
                <w:w w:val="99"/>
              </w:rPr>
              <w:t>FORM 10-K FOR THE FISCAL YEAR ENDED DECEMBER 28, 2019</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60" w:type="dxa"/>
            <w:vAlign w:val="bottom"/>
            <w:gridSpan w:val="6"/>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vMerge w:val="continue"/>
          </w:tcPr>
          <w:p>
            <w:pPr>
              <w:spacing w:after="0"/>
              <w:rPr>
                <w:sz w:val="17"/>
                <w:szCs w:val="17"/>
                <w:color w:val="auto"/>
              </w:rPr>
            </w:pPr>
          </w:p>
        </w:tc>
        <w:tc>
          <w:tcPr>
            <w:tcW w:w="76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160" w:type="dxa"/>
            <w:vAlign w:val="bottom"/>
            <w:gridSpan w:val="20"/>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1A.</w:t>
            </w:r>
          </w:p>
        </w:tc>
        <w:tc>
          <w:tcPr>
            <w:tcW w:w="880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1B.</w:t>
            </w:r>
          </w:p>
        </w:tc>
        <w:tc>
          <w:tcPr>
            <w:tcW w:w="880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6760" w:type="dxa"/>
            <w:vAlign w:val="bottom"/>
            <w:gridSpan w:val="11"/>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7460" w:type="dxa"/>
            <w:vAlign w:val="bottom"/>
            <w:gridSpan w:val="16"/>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4.</w:t>
            </w:r>
          </w:p>
        </w:tc>
        <w:tc>
          <w:tcPr>
            <w:tcW w:w="880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360" w:type="dxa"/>
            <w:vAlign w:val="bottom"/>
            <w:gridSpan w:val="7"/>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700" w:type="dxa"/>
            <w:vAlign w:val="bottom"/>
            <w:gridSpan w:val="5"/>
          </w:tcPr>
          <w:p>
            <w:pPr>
              <w:spacing w:after="0"/>
              <w:rPr>
                <w:sz w:val="17"/>
                <w:szCs w:val="17"/>
                <w:color w:val="auto"/>
              </w:rPr>
            </w:pPr>
          </w:p>
        </w:tc>
        <w:tc>
          <w:tcPr>
            <w:tcW w:w="8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6.</w:t>
            </w:r>
          </w:p>
        </w:tc>
        <w:tc>
          <w:tcPr>
            <w:tcW w:w="880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4440" w:type="dxa"/>
            <w:vAlign w:val="bottom"/>
            <w:gridSpan w:val="6"/>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8.</w:t>
            </w:r>
          </w:p>
        </w:tc>
        <w:tc>
          <w:tcPr>
            <w:tcW w:w="880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Changes in and Disagreements with Accountants on Accounting and Financial Disclosure</w:t>
              </w:r>
            </w:hyperlink>
          </w:p>
        </w:tc>
        <w:tc>
          <w:tcPr>
            <w:tcW w:w="2320" w:type="dxa"/>
            <w:vAlign w:val="bottom"/>
            <w:gridSpan w:val="3"/>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9A.</w:t>
            </w:r>
          </w:p>
        </w:tc>
        <w:tc>
          <w:tcPr>
            <w:tcW w:w="880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7040" w:type="dxa"/>
            <w:vAlign w:val="bottom"/>
            <w:gridSpan w:val="13"/>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III</w:t>
              </w:r>
            </w:hyperlink>
          </w:p>
        </w:tc>
        <w:tc>
          <w:tcPr>
            <w:tcW w:w="6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11.</w:t>
            </w:r>
          </w:p>
        </w:tc>
        <w:tc>
          <w:tcPr>
            <w:tcW w:w="880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12.</w:t>
            </w:r>
          </w:p>
        </w:tc>
        <w:tc>
          <w:tcPr>
            <w:tcW w:w="880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Security Ownership of Certain Beneficial Owners and Management and Related Stockholder Matters</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Certain Relationships and Related Transactions, and Director Independence</w:t>
              </w:r>
            </w:hyperlink>
          </w:p>
        </w:tc>
        <w:tc>
          <w:tcPr>
            <w:tcW w:w="1520" w:type="dxa"/>
            <w:vAlign w:val="bottom"/>
            <w:gridSpan w:val="2"/>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Principal Accounting Fees and Services</w:t>
              </w:r>
            </w:hyperlink>
          </w:p>
        </w:tc>
        <w:tc>
          <w:tcPr>
            <w:tcW w:w="3360" w:type="dxa"/>
            <w:vAlign w:val="bottom"/>
            <w:gridSpan w:val="5"/>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1360" w:type="dxa"/>
            <w:vAlign w:val="bottom"/>
            <w:gridSpan w:val="7"/>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640" w:type="dxa"/>
            <w:vAlign w:val="bottom"/>
            <w:gridSpan w:val="4"/>
          </w:tcPr>
          <w:p>
            <w:pPr>
              <w:spacing w:after="0"/>
              <w:rPr>
                <w:sz w:val="17"/>
                <w:szCs w:val="17"/>
                <w:color w:val="auto"/>
              </w:rPr>
            </w:pPr>
          </w:p>
        </w:tc>
        <w:tc>
          <w:tcPr>
            <w:tcW w:w="29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Exhibits, Financial Statement Schedules</w:t>
              </w:r>
            </w:hyperlink>
          </w:p>
        </w:tc>
        <w:tc>
          <w:tcPr>
            <w:tcW w:w="5900" w:type="dxa"/>
            <w:vAlign w:val="bottom"/>
            <w:gridSpan w:val="9"/>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sz w:val="20"/>
                <w:szCs w:val="20"/>
                <w:color w:val="auto"/>
              </w:rPr>
            </w:pPr>
            <w:r>
              <w:rPr>
                <w:rFonts w:ascii="Arial" w:cs="Arial" w:eastAsia="Arial" w:hAnsi="Arial"/>
                <w:sz w:val="18"/>
                <w:szCs w:val="18"/>
                <w:color w:val="auto"/>
              </w:rPr>
              <w:t>Item 16.</w:t>
            </w:r>
          </w:p>
        </w:tc>
        <w:tc>
          <w:tcPr>
            <w:tcW w:w="8800" w:type="dxa"/>
            <w:vAlign w:val="bottom"/>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Form 10-K Summary</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36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594"/>
        </w:trPr>
        <w:tc>
          <w:tcPr>
            <w:tcW w:w="6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business.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time-to-time with the Securities and Exchange Commission (“SEC”) after the date of this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Cohu, Inc. (“Cohu”, “we”, “our”, “us” and the “Company”)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October 1, 2018, we acquired Xcerra Corporation (“Xcerra”), a Massachusetts-based company. Xcerra, formerly known as LTX-Credence Corporation, is a global provider of test and handling capital equipment, interface products and related services to the semiconductor and electronics manufacturing industries. Xcerra operated in the semiconductor and electronics manufacturing test markets through its atg-Luther &amp; Maelzer, Everett Charles Technologies (ECT), LTX-Credence and Multitest businesses. The acquisition of Xcerra extended Cohu’s market position in the test handler and test contactor markets and expanded Cohu’s addressable market with our entry into semiconductor automated test equipment (ATE) and bare board printed circuit board (PCB) test. The results of Xcerra’s operations have been included in our consolidated results since October 1, 2018. As a result of the timing of the acquisition our 2019 results include Xcerra for the entire year whereas all 2018 amounts only include Xcerra for the three months ended December 29, 2018.</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 determined that Xcerra’s fixtures services business did not align with Cohu’s long-term strategic plan and has engaged in a process to divest this portion of the business. As a result, as of December 28, 2019 and December 29, 2018, the assets of our fixtures business are considered “held for sale” and the operations of our fixtures business have been presented as “discontinued operations”. This business was sold in February 2020. Unless otherwise noted, all amounts presented are from continuing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After the acquisition of Xcerra, we determined that we have two reportable segments, Semiconductor Test and Inspection Equipment (“Semiconductor Test</w:t>
      </w:r>
    </w:p>
    <w:p>
      <w:pPr>
        <w:spacing w:after="0" w:line="46" w:lineRule="exact"/>
        <w:rPr>
          <w:sz w:val="20"/>
          <w:szCs w:val="20"/>
          <w:color w:val="auto"/>
        </w:rPr>
      </w:pPr>
    </w:p>
    <w:p>
      <w:pPr>
        <w:ind w:firstLine="8"/>
        <w:spacing w:after="0" w:line="260"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Inspection”) and PCB Test Equipment (“PCB Test”). Financial information on our reportable segments for each of the last three years is included in Note 9, “Segment and Geographic Information” in Part IV, Item 15(a) of this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122" w:lineRule="exact"/>
        <w:rPr>
          <w:sz w:val="20"/>
          <w:szCs w:val="20"/>
          <w:color w:val="auto"/>
        </w:rPr>
      </w:pPr>
    </w:p>
    <w:tbl>
      <w:tblPr>
        <w:tblLayout w:type="fixed"/>
        <w:tblInd w:w="160" w:type="dxa"/>
        <w:tblCellMar>
          <w:top w:w="0" w:type="dxa"/>
          <w:left w:w="0" w:type="dxa"/>
          <w:bottom w:w="0" w:type="dxa"/>
          <w:right w:w="0" w:type="dxa"/>
        </w:tblCellMar>
      </w:tblPr>
      <w:tr>
        <w:trPr>
          <w:trHeight w:val="333"/>
        </w:trPr>
        <w:tc>
          <w:tcPr>
            <w:tcW w:w="3800" w:type="dxa"/>
            <w:vAlign w:val="bottom"/>
          </w:tcPr>
          <w:p>
            <w:pPr>
              <w:spacing w:after="0"/>
              <w:rPr>
                <w:sz w:val="24"/>
                <w:szCs w:val="24"/>
                <w:color w:val="auto"/>
              </w:rPr>
            </w:pPr>
          </w:p>
        </w:tc>
        <w:tc>
          <w:tcPr>
            <w:tcW w:w="20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2019</w:t>
            </w:r>
          </w:p>
        </w:tc>
        <w:tc>
          <w:tcPr>
            <w:tcW w:w="17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2018</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Semiconductor Test &amp; Inspection</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93%</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PCB Test</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0"/>
        </w:trPr>
        <w:tc>
          <w:tcPr>
            <w:tcW w:w="38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48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After the acquisition of Xcerra on October 1, 2018 we report in two segments, Semiconductor Test &amp; Inspection and PCB Test. Cohu’s historical reported net sales would have been reported in our Semiconductor Test &amp; Inspection segment and have been presented accordingly.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Cohu is a leading supplier of semiconductor test and inspection handlers, micro-electro mechanical system (MEMS) test modules, test contactors, thermal sub-systems, semiconductor automated test equipment and bare board PCB test systems used by global semiconductor and electronics manufacturers and semiconductor test subcontractors.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PCBs and the products that incorporate them. Our recurring revenues are driven by an increase in the number of semiconductor devices and PCBs that are tested and by the continuous introduction of new products and technologies by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Semiconductor Test. </w:t>
      </w:r>
      <w:r>
        <w:rPr>
          <w:rFonts w:ascii="Arial" w:cs="Arial" w:eastAsia="Arial" w:hAnsi="Arial"/>
          <w:sz w:val="18"/>
          <w:szCs w:val="18"/>
          <w:color w:val="auto"/>
        </w:rPr>
        <w:t>Semiconductor ATE is used both for wafer level and device package testing. Our semiconductor ATE solutions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two platforms focused on the system on a chip (SoC) device market. The Diamond series platform, which includes the flagship Diamondx test system, offers high-density instrumentation for low-cost testing of microcontrollers and cost sensitive consumer and digital-based application specific standard products (ASSP) such as Power Management and application specific integrated circuit (ASIC) devices including flat panel display drivers. The PAx series of testers is focused primarily on the RF Front End IC and Module market.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Semiconductor Handlers. </w:t>
      </w:r>
      <w:r>
        <w:rPr>
          <w:rFonts w:ascii="Arial" w:cs="Arial" w:eastAsia="Arial" w:hAnsi="Arial"/>
          <w:sz w:val="18"/>
          <w:szCs w:val="18"/>
          <w:color w:val="auto"/>
        </w:rPr>
        <w:t>Semiconductor test and inspection handlers are used in conjunction with automated test equipment and are used to automate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inspection of packaged semiconductor devices. Our handlers support a variety of package sizes and device types, including those used in automotive, mobile, industrial, computing applications, among others. We offer a broad range of test handlers, including pick-and-place, turret, gravity, strip, microelectronic systems (MEMS) and thermal sub-systems.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Bare Board PCB Test Systems. </w:t>
      </w:r>
      <w:r>
        <w:rPr>
          <w:rFonts w:ascii="Arial" w:cs="Arial" w:eastAsia="Arial" w:hAnsi="Arial"/>
          <w:sz w:val="17"/>
          <w:szCs w:val="17"/>
          <w:color w:val="auto"/>
        </w:rPr>
        <w:t>Bare board PCB test systems are used to test pre-assembly printed circuit boards. Our PCB test systems include flying probe</w:t>
      </w:r>
      <w:r>
        <w:rPr>
          <w:rFonts w:ascii="Arial" w:cs="Arial" w:eastAsia="Arial" w:hAnsi="Arial"/>
          <w:sz w:val="17"/>
          <w:szCs w:val="17"/>
          <w:i w:val="1"/>
          <w:iCs w:val="1"/>
          <w:color w:val="auto"/>
        </w:rPr>
        <w:t xml:space="preserve"> </w:t>
      </w:r>
      <w:r>
        <w:rPr>
          <w:rFonts w:ascii="Arial" w:cs="Arial" w:eastAsia="Arial" w:hAnsi="Arial"/>
          <w:sz w:val="17"/>
          <w:szCs w:val="17"/>
          <w:color w:val="auto"/>
        </w:rPr>
        <w:t>testers, which are used to test low-volume, highly complex circuit boards and do not require the use of a separate test fixture, as well as universal grid testers, which require the use of a separate test fixture and are well-suited for circuit boards in high volume manufacturing.</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Interface Products. </w:t>
      </w:r>
      <w:r>
        <w:rPr>
          <w:rFonts w:ascii="Arial" w:cs="Arial" w:eastAsia="Arial" w:hAnsi="Arial"/>
          <w:sz w:val="18"/>
          <w:szCs w:val="18"/>
          <w:color w:val="auto"/>
        </w:rPr>
        <w:t>Our interface products are comprised of test contactors and probe pins. Test contactors serve as the interface between the test handler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are specific to individual semiconductor device designs, need to be replaced frequently and increase in size with the number of devices tested in parallel. Interface Products are included in our recurring revenues.</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Spares and Kits. </w:t>
      </w:r>
      <w:r>
        <w:rPr>
          <w:rFonts w:ascii="Arial" w:cs="Arial" w:eastAsia="Arial" w:hAnsi="Arial"/>
          <w:sz w:val="17"/>
          <w:szCs w:val="17"/>
          <w:color w:val="auto"/>
        </w:rPr>
        <w:t>We provide consumable, non-consumable and spare items that are used to maintain, sustain or otherwise enable customers’ equipment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its 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Services</w:t>
      </w:r>
      <w:r>
        <w:rPr>
          <w:rFonts w:ascii="Arial" w:cs="Arial" w:eastAsia="Arial" w:hAnsi="Arial"/>
          <w:sz w:val="16"/>
          <w:szCs w:val="16"/>
          <w:color w:val="auto"/>
        </w:rPr>
        <w:t>. Our worldwide service organization is capable of performing installations and necessary maintenance of systems sold. We provide various parts</w:t>
      </w:r>
      <w:r>
        <w:rPr>
          <w:rFonts w:ascii="Arial" w:cs="Arial" w:eastAsia="Arial" w:hAnsi="Arial"/>
          <w:sz w:val="16"/>
          <w:szCs w:val="16"/>
          <w:i w:val="1"/>
          <w:iCs w:val="1"/>
          <w:color w:val="auto"/>
        </w:rPr>
        <w:t xml:space="preserve"> </w:t>
      </w:r>
      <w:r>
        <w:rPr>
          <w:rFonts w:ascii="Arial" w:cs="Arial" w:eastAsia="Arial" w:hAnsi="Arial"/>
          <w:sz w:val="16"/>
          <w:szCs w:val="16"/>
          <w:color w:val="auto"/>
        </w:rPr>
        <w:t>and labor warranties on test and handling systems and instruments designed and manufactured by us and warranties on certain components that have been purchased from other manufacturers and incorporated into our test and handling systems. We also provide training on the maintenance and operation of our systems as well as application, data management software and consulting services on our products. Our InSight test cell enterprise software platform provides our customers with a centralized data management system to monitor equipment performance. Services are included in our recurring revenues.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8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6840" w:type="dxa"/>
            <w:vAlign w:val="bottom"/>
            <w:gridSpan w:val="4"/>
          </w:tcPr>
          <w:p>
            <w:pPr>
              <w:spacing w:after="0"/>
              <w:rPr>
                <w:sz w:val="20"/>
                <w:szCs w:val="20"/>
                <w:color w:val="auto"/>
              </w:rPr>
            </w:pPr>
            <w:r>
              <w:rPr>
                <w:rFonts w:ascii="Arial" w:cs="Arial" w:eastAsia="Arial" w:hAnsi="Arial"/>
                <w:sz w:val="18"/>
                <w:szCs w:val="18"/>
                <w:b w:val="1"/>
                <w:bCs w:val="1"/>
                <w:color w:val="auto"/>
              </w:rPr>
              <w:t>Sales by Product Line</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840" w:type="dxa"/>
            <w:vAlign w:val="bottom"/>
            <w:gridSpan w:val="4"/>
          </w:tcPr>
          <w:p>
            <w:pPr>
              <w:spacing w:after="0"/>
              <w:rPr>
                <w:sz w:val="20"/>
                <w:szCs w:val="20"/>
                <w:color w:val="auto"/>
              </w:rPr>
            </w:pPr>
            <w:r>
              <w:rPr>
                <w:rFonts w:ascii="Arial" w:cs="Arial" w:eastAsia="Arial" w:hAnsi="Arial"/>
                <w:sz w:val="18"/>
                <w:szCs w:val="18"/>
                <w:color w:val="auto"/>
              </w:rPr>
              <w:t>During the last three years, our consolidated net sales were distributed as follows: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740" w:type="dxa"/>
            <w:vAlign w:val="bottom"/>
            <w:gridSpan w:val="3"/>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4"/>
                <w:szCs w:val="24"/>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6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Semiconductor test &amp; inspection systems (including kits)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160" w:type="dxa"/>
            <w:vAlign w:val="bottom"/>
          </w:tcPr>
          <w:p>
            <w:pPr>
              <w:spacing w:after="0"/>
              <w:rPr>
                <w:sz w:val="18"/>
                <w:szCs w:val="18"/>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Interface products, spares, kits (not as part of systems sales) and service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60" w:type="dxa"/>
            <w:vAlign w:val="bottom"/>
          </w:tcPr>
          <w:p>
            <w:pPr>
              <w:spacing w:after="0"/>
              <w:rPr>
                <w:sz w:val="18"/>
                <w:szCs w:val="18"/>
                <w:color w:val="auto"/>
              </w:rPr>
            </w:pPr>
          </w:p>
        </w:tc>
        <w:tc>
          <w:tcPr>
            <w:tcW w:w="668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PCB test systems </w:t>
            </w:r>
            <w:r>
              <w:rPr>
                <w:rFonts w:ascii="Arial" w:cs="Arial" w:eastAsia="Arial" w:hAnsi="Arial"/>
                <w:sz w:val="25"/>
                <w:szCs w:val="25"/>
                <w:color w:val="auto"/>
                <w:vertAlign w:val="superscript"/>
              </w:rPr>
              <w:t>(1)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Cohu had no PCB test systems sales prior to the acquisition of Xcerra on October 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customers include semiconductor integrated device manufacturers, fabless design houses, PCB manufacturers, and test subcontractors throughout the world. Repeat sales to existing customers represent a significant portion of our sales. During the last three years, customers of our Semiconductor Test &amp; Inspection segment that comprised 10% or greater of our consolidated net sales were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r>
      <w:tr>
        <w:trPr>
          <w:trHeight w:val="20"/>
        </w:trPr>
        <w:tc>
          <w:tcPr>
            <w:tcW w:w="38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NXP Semiconductors N.V.</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r>
    </w:tbl>
    <w:p>
      <w:pPr>
        <w:spacing w:after="0" w:line="22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Less than 10% of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 single customer exceeded 10% of consolidated net sales for the year ended December 29, 2018.</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customer of our PCB Test segment exceeded 10% of consolidated net sales for the years ended December 28, 2019 and December 29, 2018.</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9, “Segment and Geographic Information” in Part IV, Item 15(a)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geographic areas where we believe there is sufficient sales potential, we generally employ our own personnel. Our U.S. sales offices are located in Poway, Milpitas (California), Richardson (Texas) and Norwood (Massachusetts). Our European sales offices are located in Munich, Wertheim and Kolbermoor (Germany), Grenoble (France), Agrate (Italy) and La Chaux-de-Fonds (Switzerland). We operate in Asia with offices in Singapore, Malaysia, Thailand, Philippines, Taiwan, China, Korea, and Japan. After acquiring Xcerra, we announced that we would terminate Xcerra’s distribution arrangements in China and Taiwan and sell and service Xcerra products direct to customers. As a result, in 2019, we made significant investments in sales and service resources located in China and Taiwan and we now sell and service the entire portfolio of Cohu products direct to customers in this geography.</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lead-time, customer support and installed base of products. While we believe that we are the leading worldwide supplier of semiconductor test handling equipment, we face substantial competition in the Japanese and Korean markets which represent a significant percentage of the worldwide market. During each of the last three years our sales to Japanese and Korean customers, who have historically purchased test handling equipment from Asian suppliers, have represented less than 10% of our total sales. Test subcontractors in Asia also purchase mostly from local Asian competitors. Some of our current and potential competitors are part of larger corporations that have substantially greater financial, engineering, manufacturing and customer support capabilities and offer more extensive product offerings than Cohu. In the semiconductor test market, we face competition from two dominant suppliers headquartered in the U.S. and Japan, both of which are substantially larger than Cohu’s test business. While we are among the leading worldwide suppliers of test contactors, this market is very fragmented with a large number of global and local competitors.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28, 2019 and December 29, 2018 was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2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PCB Test</w:t>
            </w: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0"/>
        </w:trPr>
        <w:tc>
          <w:tcPr>
            <w:tcW w:w="4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consolidated backlog</w:t>
            </w:r>
          </w:p>
        </w:tc>
        <w:tc>
          <w:tcPr>
            <w:tcW w:w="2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and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Our principal manufacturing operations are currently located in Malacca, Malaysia (handler operations and kits); Laguna, Philippines (kits and test contactors); Lincoln, Rhode Island (connectors); Osaka, Japan (probe pins); and Wertheim, Germany (bare board PCB test systems).</w:t>
      </w:r>
    </w:p>
    <w:p>
      <w:pPr>
        <w:spacing w:after="0" w:line="12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outsource the manufacturing of many of our semiconductor automated test equipment products to Jabil Circuit, Inc. Our contract manufacturing partner is responsible for significant material procurement, assembly, and testing. We continue to manage product design through pilot production for the subcontracted products, and we are directly involved in qualifying suppliers and key components used in all our products. Our contract manufacturer is responsible for funding the capital expenses incurred in connection with the manufacture of our products, except with regard to end-of-line testing equipment and other specific manufacturing equipment utilized in assembling our products or sub-components which are financed and owned by Cohu. Contracting with a global provider such as Jabil, gives us added flexibility to manufacture certain products closer to target markets in Asia, potentially increasing responsiveness to customers while reducing costs and delivery times.</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technology is protected by various intellectual property laws including patent, license, trademark, copyright and trade secret laws. In addition, we believe that, due to the rapid pace of technological change in the semiconductor and electronic equipment industries,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ectPr>
          <w:pgSz w:w="11900" w:h="16838" w:orient="portrait"/>
          <w:cols w:equalWidth="0" w:num="1">
            <w:col w:w="11320"/>
          </w:cols>
          <w:pgMar w:left="320" w:top="125" w:right="259" w:bottom="1440" w:gutter="0" w:footer="0" w:header="0"/>
        </w:sectPr>
      </w:pP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$86.1 million in 2019, $56.4 million in 2018 and $40.7 million in 2017. The increase in research and development expense in 2019 and 2018 was primarily associated with the acquisition of Xcerra on October 1, 2018. Incremental research and development expense directly attributed to Xcerra in 2019 and 2018 was $45.4 million and $11.6 million, respectively.</w:t>
      </w:r>
    </w:p>
    <w:p>
      <w:pPr>
        <w:spacing w:after="0" w:line="18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business is subject to numerous federal, state, local and international environmental laws. We believe we are in compliance with applicable federal, state, local and international regulations. Compliance with federal, state, local and international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See the risk factor entitled “The semiconductor industry we serve is seasonal, volatile and unpredictable.”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27, 2020. Executive Officers serve at the discretion of the Board of Directors, until their successors are appointed.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Luis A. Müller</w:t>
            </w:r>
          </w:p>
        </w:tc>
        <w:tc>
          <w:tcPr>
            <w:tcW w:w="8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50</w:t>
            </w:r>
          </w:p>
        </w:tc>
        <w:tc>
          <w:tcPr>
            <w:tcW w:w="3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Jeffrey D. Jones</w:t>
            </w:r>
          </w:p>
        </w:tc>
        <w:tc>
          <w:tcPr>
            <w:tcW w:w="8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58</w:t>
            </w:r>
          </w:p>
        </w:tc>
        <w:tc>
          <w:tcPr>
            <w:tcW w:w="3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Christopher G. Bohrson</w:t>
            </w:r>
          </w:p>
        </w:tc>
        <w:tc>
          <w:tcPr>
            <w:tcW w:w="8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60</w:t>
            </w:r>
          </w:p>
        </w:tc>
        <w:tc>
          <w:tcPr>
            <w:tcW w:w="3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General Manager, Test Handler Group</w:t>
            </w: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Thomas D. Kampfer</w:t>
            </w:r>
          </w:p>
        </w:tc>
        <w:tc>
          <w:tcPr>
            <w:tcW w:w="8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56</w:t>
            </w:r>
          </w:p>
        </w:tc>
        <w:tc>
          <w:tcPr>
            <w:tcW w:w="3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Ian P. Lawee</w:t>
            </w:r>
          </w:p>
        </w:tc>
        <w:tc>
          <w:tcPr>
            <w:tcW w:w="8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53</w:t>
            </w:r>
          </w:p>
        </w:tc>
        <w:tc>
          <w:tcPr>
            <w:tcW w:w="3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General Manager, Semiconductor Test Group</w:t>
            </w: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Pascal Rondé</w:t>
            </w:r>
          </w:p>
        </w:tc>
        <w:tc>
          <w:tcPr>
            <w:tcW w:w="8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57</w:t>
            </w:r>
          </w:p>
        </w:tc>
        <w:tc>
          <w:tcPr>
            <w:tcW w:w="3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Global Customer Group</w:t>
            </w: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Dr. Müller has been the President and Chief Executive Officer of Cohu since December 28, 2014. His previous roles at Cohu include serving as President of Cohu’s Semiconductor Equipment Group (“SEG”) from 2011 to 2014; Managing Director of Rasco GmbH (“Rasco”) from 2009 to 2011; Vice President of Delta Design’s High Speed Handling Group from 2008 to 2011; and Director of Engineering at Delta Design from 2005 to 2008. Prior to joining Cohu, Dr. Müller spent nine years at Teradyne Inc., where he held management positions in engineering and business development.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Mr. Jones joined Cohu’s Delta Design subsidiary in July 2005 as Vice President Finance and Controller. In November 2007, Mr. Jones was named Vice President, Finance and Chief Financial Officer of Cohu. Prior to joining Delta Design, Mr. Jones, was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Mr. Bohrson was appointed Sr. Vice President and General Manager, Test Handler Group in October 2018. Mr. Bohrson was Vice President and General Manager for Digital Test Handlers from January 2017 until his promotion,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Kampfer joined Cohu in May 2017 as Vice President Corporate Development, General Counsel and Secretary. Mr. Kampfer most recently served from June 2015 to May 2017 as Executive Vice President and Chief Financial Officer of Multi-Fineline Electronix, Inc. Prior to that, Mr. Kampfer served from 2012 to 2015 as President of CohuHD, formerly a division of Cohu, which was divested in 2014. Previously, Mr. Kampfer spent eight years with Iomega Corporation, holding several executive positions, including President and Chief Operating Officer and Vice President, General Counsel and Secretary. Earlier, Mr. Kampfer served in various legal and business development executive roles with Proxima Corporation, and also held various positions in manufacturing engineering and legal at IBM.</w:t>
      </w:r>
    </w:p>
    <w:p>
      <w:pPr>
        <w:spacing w:after="0" w:line="19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Mr. Lawee joined Cohu in May 2019 as Vice President and General Manager of Cohu’s Semiconductor Test Group. Mr. Lawee has more than 25 years of experience in multiple management positions at both semiconductor and test instrumentation companies. Between 2009 and 2019, he served in multiple General Manager and Senior Director roles at Analog Devices, with responsibilities spanning Interface, Isolation and Precision Converter semiconductor franchises, as well as Business Unit responsibility for semiconductors sold into the Energy market. Prior to this, Mr. Lawee spent 15 years working in a variety of product, marketing and engineering management roles at Teradyne’s semiconductor test division.</w:t>
      </w:r>
    </w:p>
    <w:p>
      <w:pPr>
        <w:spacing w:after="0" w:line="17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Mr. Rondé joined Cohu in October 2018 with the acquisition of Xcerra, and was appointed Sr. Vice President, Global Customer Group at that time. Mr. Rondé was Sr. Vice President Global Customer Team at Xcerra, a position he held since joining the company’s original LTX-Credence group in January 2012. Prior to that, Mr. Rondé was Vice President Global Sales, Service, Support and Business Development for Verigy, Inc. from 2006 to 2011. From 2000 to 2006, he was the Vice President of Global Sales, Service and Support for Agilent Technologies and later Verigy. Mr. Rondé spent the early part of his career in sales and management roles in France at HP, ATE Europe and Saintel.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December 28, 2019, we had approximately 3,200 employees. Our employee headcount has fluctuated in the last five years primarily due to the volatile and unpredictable business conditions in the semiconductor equipment industry. Over the last several years, our headcount has also been impacted by acquisitions and divestitures. Our employees in the United States and most locations in Asia are not covered by collective bargaining agreements. However, certain employees at our operations in Germany are represented by works councils and employees in La Chaux-de-Fonds, Switzerland are members of the micro-technology and Swiss watch trade union. The Collective Bargaining Agreement of “Metallurgie (ingenieurs et cadres)” is applicable to all employees of our French subsidiary and certain employees in our China operation belong to local trade unions. We have not experienced any work stoppages and consider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are also posted on our web site at </w:t>
      </w:r>
      <w:r>
        <w:rPr>
          <w:rFonts w:ascii="Arial" w:cs="Arial" w:eastAsia="Arial" w:hAnsi="Arial"/>
          <w:sz w:val="16"/>
          <w:szCs w:val="16"/>
          <w:u w:val="single" w:color="auto"/>
          <w:color w:val="auto"/>
        </w:rPr>
        <w:t>www.cohu.com/investors/corporategovernance</w:t>
      </w:r>
      <w:r>
        <w:rPr>
          <w:rFonts w:ascii="Arial" w:cs="Arial" w:eastAsia="Arial" w:hAnsi="Arial"/>
          <w:sz w:val="16"/>
          <w:szCs w:val="16"/>
          <w:color w:val="auto"/>
        </w:rPr>
        <w:t>. When required by the rules of the Nasdaq Stock Market, LLC, or Nasdaq, or the Securities and Exchange Commission, or SEC, we will disclose any future amendment to, or waiver of, any provision of the code of conduct for our chief executive officer and principal financial officer or any member or members of our board of directors on our website within four business days following the date of such amendment or waiver. Information contained on our web site is not deemed part of this report.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realize all of the anticipated benefits of the Xcerra acquisition or those benefits may take longer to realize than expected.</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Cohu acquired Xcerra on October 1, 2018, at which time Xcerra became a wholly owned subsidiary of Cohu (the “Merger”). Our ability to realize the anticipated benefits and synergies of the Merger depends, to a large extent, on our ability to successfully integrate Xcerra, which has been and continues to be a complex, costly and time-consuming process. The integration process may disrupt our business and, if implemented ineffectively or delayed, could restrict the realization of the full expected benefits, and could ultimately be unsuccessful. The failure to meet the challenges involved in the integration process and to realize the anticipated benefits of the Merger in the time frame we initially anticipated could cause an interruption of, or a loss of momentum in, our operations and could adversely affect our business, financial condition and results of operations.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the integration of Xcerra may result in material unanticipated problems, expenses, liabilities, competitive responses, and loss of employees, customers, suppliers and other business relationships. Additional integration challenges and risks include:</w:t>
      </w:r>
    </w:p>
    <w:p>
      <w:pPr>
        <w:spacing w:after="0" w:line="17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Cohu has no or limited direct prior experience;</w:t>
      </w:r>
    </w:p>
    <w:p>
      <w:pPr>
        <w:spacing w:after="0" w:line="23"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a new market for Cohu, the automated test equipment market, is intensely competitive with entrenched large competitors who are much larger than Cohu;</w:t>
      </w: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managing relationships with Cohu and Xcerra’s combined supplier and customer base;</w:t>
      </w:r>
    </w:p>
    <w:p>
      <w:pPr>
        <w:spacing w:after="0" w:line="9"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and integrating independent research and development and engineering teams across technologies and product platforms to enhance product development while reducing costs;</w:t>
      </w:r>
    </w:p>
    <w:p>
      <w:pPr>
        <w:ind w:left="500" w:hanging="492"/>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coordinating sales and marketing efforts to effectively position the combined company’s capabilities and the direction of product development;</w:t>
      </w:r>
    </w:p>
    <w:p>
      <w:pPr>
        <w:spacing w:after="0" w:line="20" w:lineRule="exact"/>
        <w:rPr>
          <w:rFonts w:ascii="Arial" w:cs="Arial" w:eastAsia="Arial" w:hAnsi="Arial"/>
          <w:sz w:val="17"/>
          <w:szCs w:val="17"/>
          <w:color w:val="auto"/>
        </w:rPr>
      </w:pPr>
    </w:p>
    <w:p>
      <w:pPr>
        <w:ind w:left="500" w:right="98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and significant costs in integrating the systems and processes of two companies with complex operations including multiple manufacturing sites;</w:t>
      </w: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and potential loss of sales in transitioning customers from certain Xcerra products that are being discontinued and to Cohu products;</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manufacturing disruptions and delays as we consolidate certain manufacturing sites;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and errors that may occur in integrating disparate accounting staffs, processes and systems;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scale and complexity of Cohu’s operations resulting from the Merger;</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Cohu’s ability to achieve the targeted cost synergies within the expected time frame, and significant costs of integration and restructuring;</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retaining key employees of Cohu and Xcerra;</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obligations that Cohu will have to counterparties of Xcerra that arise as a result of the change in control of Xcerra;</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impediments, delays and significant costs to reduce headcounts in various geographies;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litigation and potential liabilities we may be inheriting from Xcerra;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 to integration matters.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these factors are outside of our control and any one of them could result in increased costs, decreases in the amount of expected revenues, and diversion of management’s time and energy, which could adversely affect our business, financial condition, and results of operations and result in us becoming subject to litigation. In addition, even if Xcerra is integrated successfully, the full anticipated benefits of the Merger may not be realized, including the synergies, cost savings or sales or growth opportunities that are anticipated. These benefits may not be achieved within the anticipated time frame, or at all. Cohu incurred $16.2 million of restructuring charges for the Xcerra acquisition during fiscal year 2019 and additional restructuring charges or unanticipated costs may be incurred in the integration process. All of these factors could cause reductions in our earnings per share and decrease or delay the expected accretive effect of the Merger. As a result, it cannot be assured that the Merger will result in the realization of the full or any anticipated benefits.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underperform relative to our expectations.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business and financial performance, especially with our acquisition of Xcerra, are subject to certain risks and uncertainties. We may not be able to maintain the growth rate, levels of revenue, earnings, or operating efficiency that we and Xcerra have achieved or might achieve separately and, in fact, due to weak market conditions in 2019 sales and earnings related to the Xcerra related business declined significantly on a year-over-year basis. In addition, we believe Xcerra’s ATE products have been materially impacted by the Huawei export restrictions and may adversely affect our revenues and operating results in the near term (see risk factor entitled “Global economic and political conditions, including trade tariffs and export restrictions, have impacted our business and may continue to have an impact on our business and financial condition”). Any further underperformance could have a material adverse effect on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Uncertainties underlie Cohu’s expectation that, relative to Cohu on a stand-alone basis, the Merger will be accretive to Cohu’s earnings per share.</w:t>
      </w:r>
    </w:p>
    <w:p>
      <w:pPr>
        <w:spacing w:after="0" w:line="24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Cohu currently believes that, relative to Cohu on a stand-alone basis, the Merger will be accretive to Cohu’s earnings per share upon completion of the ongoing restructuring and integration and after the recovery of market conditions. However, Cohu cannot give any assurance that the Merger will actually be accretive to Cohu’s earnings per share.</w:t>
      </w:r>
    </w:p>
    <w:p>
      <w:pPr>
        <w:spacing w:after="0" w:line="18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The use of cash and incurrence of substantial indebtedness in connection with the financing of the Merger may have an adverse impact on Cohu’s liquidity, limit Cohu’s flexibility in responding to other business opportunities and increase Cohu’s vulnerability to adverse economic and industry conditions.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Merger was financed in part by using Cohu’s and Xcerra’s cash on hand and the incurrence of indebtedness. In connection with the Merger, Cohu entered into a term loan facility, with an aggregate principal amount of $350.0 million (the “Debt Financing” or “Credit Agreement”). Cohu used $160.5 million of Cohu’s and Xcerra’s cash on hand to complete the Merger. After completing the Merger and paying acquisition-related costs, Cohu’s (including Xcerra’s) cash, cash equivalents and short-term investments as of December 29, 2018, were approximately $165.0 million. Total cash, cash equivalents and short-term investments as of December 28, 2019, were approximately $156.1 million. The use of cash on hand and indebtedness to finance the acquisition has reduced Cohu’s liquidity and could cause Cohu to place more reliance on cash generated from operations to pay principal and interest on Cohu’s debt, thereby reducing the availability of Cohu’s cash flow for working capital, dividend and capital expenditure needs or to pursue other potential strategic plans.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Credit Agreement contains various representations and negative covenants that limit, subject to certain exceptions and baskets, our ability and/or our subsidiaries’ ability to, among other things:</w:t>
      </w:r>
    </w:p>
    <w:p>
      <w:pPr>
        <w:spacing w:after="0" w:line="17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cash dividends or make distributions on capital stock, repurchase, redeem or make payments on capital stock;</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rate, commodity, equity or currency swap, hedging or other similar transactions;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loans, investments or acquisitions;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or permit restrictions on the ability of our subsidiaries to pay dividends or make other distributions to us or to guarantee our debt, limit our or any of our subsidiaries’ ability to create liens, or that require the grant of a lien to secure an obligation if a lien is granted to secure another obligation;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transfer, license, lease or dispose of our or our subsidiaries’ assets; and</w:t>
      </w:r>
    </w:p>
    <w:p>
      <w:pPr>
        <w:spacing w:after="0" w:line="9" w:lineRule="exact"/>
        <w:rPr>
          <w:rFonts w:ascii="Arial" w:cs="Arial" w:eastAsia="Arial" w:hAnsi="Arial"/>
          <w:sz w:val="18"/>
          <w:szCs w:val="18"/>
          <w:color w:val="auto"/>
        </w:rPr>
      </w:pPr>
    </w:p>
    <w:p>
      <w:pPr>
        <w:ind w:left="500" w:right="460" w:hanging="49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dissolve, liquidate, consolidate or merge with or into, or sell substantially all the assets of us and our subsidiaries, taken as a whole, to, another person.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contained in our Credit Agreement could adversely affect our ability to:</w:t>
      </w:r>
    </w:p>
    <w:p>
      <w:pPr>
        <w:spacing w:after="0" w:line="2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breach of any of these negative covenants could result in a default under the Credit Agreement. Further, additional indebtedness that we incur in the future may subject us to further covenants. Our failure to comply with these covenants could result in a default under the agreements governing the relevant indebtedness. The lender may accelerate the payment terms of the Credit Agreement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Any event that could require us to repay debt prior to its due date could have a material adverse impact on our financial condition and results of operations.</w:t>
      </w:r>
    </w:p>
    <w:p>
      <w:pPr>
        <w:spacing w:after="0" w:line="17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ability to comply with covenants contained in such debt agreements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 In addition, our obligations under the Credit Agreement are secured, on a first-priority basis, and such security interests could be enforced in the event of default by the collateral agent for the Credit Agreement.</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(LIBOR), or the replacement of LIBOR with an alternative reference rate, may adversely affect interest rates.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Interest rates under our Credit Agreement are calculated using LIBOR. On July 27, 2017, the Financial Conduct Authority (the authority that regulates LIBOR) announced that it intends to stop compelling banks to submit rates for the calculation of LIBOR after 2021 and it is unclear whether new methods of calculating LIBOR will be established. If LIBOR ceases to exist after 2021, a comparable or successor reference rate must be negotiated and agreed among the Administrative Agent, the Company and certain lenders under the Credit Agreement.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To the extent these interest rates increase, our interest expense will increase, which could adversely affect our financial condition, operating results and cash flows.</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Cohu has total consolidated long-term debt of $347 million and because of such high debt levels we may not be able to service our debt obligations in accordance with their terms; the Tax Cuts and Jobs Act severely limits the deductibility of interest expense.</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Cohu’s ability to meet its expense and debt service obligations contained in the Debt Financing agreements will depend on Cohu’s future performance, which will be affected by financial, business, economic and other factors, including potential changes in industry conditions, industry supply and demand balance, customer preferences, the success of Cohu’s products, pressure from competitors, and Cohu’s ability to successfully integrate Xcerra in a timely manner. In addition, Cohu is subject to interest rate risks, and continuing increases in interest rates will increase Cohu’s debt service obligations. Should combined Cohu and Xcerra revenues decline after the Merger (on a year-over-year basis), as they did in fiscal year 2019, Cohu may not be able to generate sufficient cash flow to pay its debt service obligations when due. If Cohu is unable to meet its debt service obligations after the Merger or should Cohu fail to comply with the covenants contained in the agreements governing its indebtedness, Cohu may be required to refinance all or part of its debt, sell important strategic assets at unfavorable prices, incur additional indebtedness or issue Cohu Common Stock or other equity securities. Cohu may not be able to, at any given time, refinance its debt, sell assets, incur additional indebtedness or issue equity securities on terms acceptable to Cohu, in amounts sufficient to meet Cohu’s needs or at all. If Cohu is able to raise additional funds through the issuance of equity or equity-linked securities, such issuance would also result in dilution to Cohu’s stockholders. Cohu’s inability to service its debt obligations or refinance its debt could have a material adverse effect on its business, financial conditions or operating results after the Merger. In addition, Cohu’s debt obligations may limit its ability to make required investments in capacity, technology or other areas of its business, which could have a material adverse effect on its business, financial conditions or operating results. Furthermore, the Tax Cuts and Jobs Act limits the deductibility of interest expense in a given year to 30% of adjusted taxable income, as defined. This resulted in the inability of Cohu to utilize a substantial portion of its interest expense deductions in 2018 and 2019 and may impact our ability to utilize future deductions. However, the Act permits indefinite carryforward of any disallowed business interest, subject to Internal Revenue Code section 382 limitations on utilization.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Because a significant portion of Cohu’s total assets are represented by goodwill, which is subject to mandatory impairment evaluation, and other intangibles, Cohu could be required to write off some or all of this goodwill and other intangibles, which may adversely affect the combined company’s financial condition and results of operations.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Cohu has accounted for the acquisition of Xcerra using the purchase method of accounting. A portion of the purchase price for this business was allocated to identifiable tangible and intangible assets and assumed liabilities based on estimated fair values at the date of consummation of the merger. As a result of the Merger, 47.7% of Cohu’s total assets is comprised of goodwill and other intangibles, of which approximately $238.7 million is allocated to goodwill. In accordance with the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goodwill and certain other intangible assets with indefinite useful lives are not amortized but are reviewed at least annually for impairment, or more frequently if there are indications of impairment. Significant declines in the price of Cohu’s common stock, as we saw in third fiscal quarter 2019, could increase the risk of an impairment. All other intangible assets are subject to periodic amortization. Cohu evaluates the remaining useful lives of other intangibles each quarter to determine whether events and circumstances warrant a revision to the remaining period of amortization. If we are unable to realize the anticipated benefits of the Merger, when Cohu performs future impairment tests, it is possible that the carrying value of goodwill or other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required by the Securities and Exchange Commission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Completing the Merger has significantly increased the size, number of employees, global operations and complexity of Cohu’s business.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Likewise, if our financial statements are not filed on a timely basis as required by the Securities and Exchange Commission and Nasdaq Global Select Market, we could face severe consequences from those authorities. In either case, there could result a material adverse effect on our business.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Cohu has discovered and may discover additional liabilities or deficiencies associated with Xcerra that were not identified in advance.</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may discover liabilities, product return issues or deficiencies associated with Xcerra that were not identified in advance, which may result in significant unanticipated costs, including potential accounting and tax charges. The effectiveness of our due diligence review and our ability to evaluate the results of such due diligence are ultimately dependent upon the accuracy and completeness of statements and disclosures made or actions taken by Xcerra, as well as the limited amount of time in which the acquisition was executed. For example, since closing the Merger, we have incurred material product returns and associated expenses and were required to make material customer pricing concessions in order to resolve various Xcerra product issues. Any further unexpected liabilities, product return issues or deficiencies associated with Xcerra could have a material adverse effect on our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Cohu cannot provide assurance that it will be able to continue paying dividends at the current rate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stockholders may not receive the same or any dividends in the future for various reasons, including the following:</w:t>
      </w:r>
    </w:p>
    <w:p>
      <w:pPr>
        <w:spacing w:after="0" w:line="225" w:lineRule="exact"/>
        <w:rPr>
          <w:sz w:val="20"/>
          <w:szCs w:val="20"/>
          <w:color w:val="auto"/>
        </w:rPr>
      </w:pPr>
    </w:p>
    <w:p>
      <w:pPr>
        <w:ind w:left="500" w:right="340" w:hanging="492"/>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Merger and the issuance of shares of Cohu Common Stock in connection with the Merger, the total amount of cash required for Cohu to pay dividends at its current rate has increased;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Cohu’s credit agreement restricts payments of dividends under certain circumstances;</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Cohu may not have enough cash to pay such dividends due to Cohu’s operational cash requirements, capital spending plans, cash flow or financial position;</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rising interest rates, which increase Cohu’s debt service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Cohu may desire to retain cash to maintain or improve its credit ratings;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20" w:lineRule="exact"/>
        <w:rPr>
          <w:rFonts w:ascii="Arial" w:cs="Arial" w:eastAsia="Arial" w:hAnsi="Arial"/>
          <w:sz w:val="17"/>
          <w:szCs w:val="17"/>
          <w:color w:val="auto"/>
        </w:rPr>
      </w:pPr>
    </w:p>
    <w:p>
      <w:pPr>
        <w:ind w:left="500" w:right="8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given weak market conditions that began in late 2018 and continued throughout 2019, and the associated business uncertainty, we may determine to take action to preserve cash;</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Cohu may reduce or eliminate its dividend in order to pay down debt;</w:t>
      </w:r>
    </w:p>
    <w:p>
      <w:pPr>
        <w:spacing w:after="0" w:line="9" w:lineRule="exact"/>
        <w:rPr>
          <w:rFonts w:ascii="Arial" w:cs="Arial" w:eastAsia="Arial" w:hAnsi="Arial"/>
          <w:sz w:val="18"/>
          <w:szCs w:val="18"/>
          <w:color w:val="auto"/>
        </w:rPr>
      </w:pPr>
    </w:p>
    <w:p>
      <w:pPr>
        <w:ind w:left="500" w:right="38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on whether, when and in which amounts to make any future distributions will remain at all times entirely at the discretion of the Cohu Board, which reserves the right to change Cohu’s dividend practices at any time with no prior notice; and</w:t>
      </w:r>
    </w:p>
    <w:p>
      <w:pPr>
        <w:ind w:left="500" w:hanging="492"/>
        <w:spacing w:after="0" w:line="255"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dividends that Cohu’s subsidiaries may distribute to Cohu may be subject to restrictions imposed by state or foreign law, restrictions that may be imposed by state or foreign regulators, and restrictions imposed by the terms of any current or future indebtedness that these subsidiaries may incur.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other risks associated with other acquisitions, investments and divestitures.</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As part of our business strategy, we will continue to regularly evaluate investments in, or acquisitions of, complementary businesses, joint ventures, services and technologies, and we expect that periodically we will continue to make such investments and acquisitions in the future. Acquisitions and investments involve numerous risks, including, but not limited to:</w:t>
      </w:r>
    </w:p>
    <w:p>
      <w:pPr>
        <w:spacing w:after="0" w:line="18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risk of having to potentially develop new and unfamiliar sales channels for acquired businesses;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Cohu or acquired businesses;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commercialize purchased technology;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impairment of acquired intangible assets and goodwill that could result in significant charges to operating results in future periods; and</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may decide to finance future acquisitions and investments through a combination of borrowings, proceeds from equity or debt offerings and the use of cash, cash equivalents and short-term investments. If we finance acquisitions or investments by issuing equity-linked (such as convertible debt) or equity securities, our existing stockholders may be diluted which would likely affect the market price of our stock. For example, the Merger resulted in significant dilution wherein it was financed in part by the issuance of additional shares of our common stock to shareholders of Xcerra, comprised approximately 11.8 million shares of common stock, or approximately 29% of our issued and outstanding shares of common stock immediately after completing the Merger.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28, 2019, we had goodwill and net purchased intangible assets balances of $238.7 million and $275.0 million, respectively.</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Further, as a strategy to pay down long-term debt, we expect to continue to evaluate and pursue divestitures of assets that management determines to be non-core to our overall business strategy. Any such divestitures may distract Cohu’s management team, disrupt employees, may not yield attractive valuations, may incur material restructuring and transaction expenses and tax obligations, and may otherwise be unsuccessful.</w:t>
      </w:r>
    </w:p>
    <w:p>
      <w:pPr>
        <w:spacing w:after="0" w:line="1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making investments in new products to enter new markets, which may adversely affect our operating results; these investments may not be successful.</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Given the highly competitive and rapidly evolving technology environment in which we operate, we believe it is important to develop new product offerings to meet strategic opportunities as they evolve. This includes developing products that we believe are necessary to meet the future needs of the marketplace. We are currently significantly investing in new product development programs to enable us to compete in the test contactor markets, while also investing in next generation test handlers and automated test equipment. For example, in fiscal year 2019, we incurred $86.1 million in research and development expenses. We expect to continue to make investments and we may at any time, based on product need or marketplace demand, decide to significantly increase our product development expenditures in these or other products. The cost of investments in new product offerings can have a negative impact on our operating results. There can be no assurance that new products we develop will be accepted in the marketplace or generate material revenues for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a global corporation with offices and subsidiaries in certain foreign locations to manufacture our products, support our sales and services to the global semiconductor industry and, as such, we face risks in doing business abroad. Certain aspects inherent in transacting business internationally could negatively impact our operating results, including:</w:t>
      </w:r>
    </w:p>
    <w:p>
      <w:pPr>
        <w:spacing w:after="0" w:line="18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3"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requirements and potential changes in or interpretations of requirements in the United States and in the countries in which we manufacture or sell our products;</w:t>
      </w: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restrictions, including treaty changes, sanctions and the suspension of export licenses;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and changes in import/export tariffs and regulations;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labor laws and privacy regulations;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epidemics;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health epidemics and geopolitical instability;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complex tax laws and potentially adverse tax consequences, including restrictions on repatriating earnings and the threat of “double taxation;” and</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foreign currency exchange rates against the U.S. Dollar, which can affect demand for our products and increase our costs.</w:t>
      </w: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highlight the complexity of foreign labor laws, in 2019, we incurred $9.5 million of severance and related costs to downsize and reduce headcount by approximately 105 employees in our Rosenheim, Germany facility, and we would incur material amounts of additional severance costs in the future should we determine to undertake other headcount reduction activities in foreign locations. 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continue to monitor global privacy laws and legislation to determine its impact on our business. We do not sell to consumers nor process individual credit card information, but do maintain certain personally identifiable information on our employees. Such employee information may be subject to the EU General Data Protection Regulation and the recently effective California Consumer Protection Act. We believe that we have implemented reasonable procedures and internal controls in compliance with these laws, but should such actions be insufficient, we may be subject to regulatory investigations, fines and legal costs.</w:t>
      </w:r>
    </w:p>
    <w:p>
      <w:pPr>
        <w:spacing w:after="0" w:line="1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Our overseas sites are more susceptible to impacts from natural disasters, health epidemics and geopolitical instability (see risk factor entitled “The occurrence of natural disasters, health epidemics, and geopolitical instability caused by terrorist attacks and other threats may adversely impact our operations and sales”). If our overseas manufacturing locations are unable to meet our manufacturing requirements in a timely manner, our ability to ship products and to realize the related revenues when anticipated could be materially affected.</w:t>
      </w:r>
    </w:p>
    <w:p>
      <w:pPr>
        <w:spacing w:after="0" w:line="16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suppliers are subject to the fluctuations in general economic cycles, and global economic conditions may impact their ability to operate their businesses. They may also be impacted by possible import, export, tariff and other trade barriers,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use numerous vendors to supply parts, components and subassemblies for the manufacture of our products. It is not always possible to maintain multiple qualified suppliers for all of our parts, components and subassemblies. As a result, many key parts may be available only from a single supplier (“sole source”) or a limited number of suppliers. In addition, suppliers may significantly raise prices or cease manufacturing certain components (with or without advance notice to us) that are difficult to replace without significant reengineering of our products. On occasion, we have experienced problems in obtaining adequate and reliable quantities of various parts and components from certain key or sole source suppliers. Our results of operations may be materially and adversely impacted if we do not receive sufficient parts to meet our requirements in a timely and cost-effective manner.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seasonal, volatile and unpredictable.</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Visibility into our markets is limited. The semiconductor equipment business is highly dependent on the overall strength of the semiconductor industry. 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seasonal, volatile and unpredictable nature of semiconductor equipment demand has in the past and may in the future expose us to significant excess and obsolete and lower of cost or net realizable value inventory write-offs and reserve requirements. In 2019, 2018 and 2017, we recorded pre-tax inventory-related charges of approximately $4.1 million, $1.4 million, and $1.1 million, respectively, primarily as a result of changes in customer forecasts. In the second half of 2018 and throughout 2019, we saw significantly weakened demand in automotive, mobility and consumer market segments, and overall geographic weakness in China and Taiwan. These trends adversely affected our second half 2018 results and full year 2019 results. Such adverse trends have materially impacted all of our business areas, including the businesses conducted by Xcerra. Finally, in 2019 and 2018 we incurred $2.7 million and $19.1 million, respectively, of inventory charges related to the decision to end manufacturing of certain of Xcerra’s semiconductor test handler products, and these charges may be insufficient as market conditions and demand changes.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Further, under our Credit Agreement, we are significantly limited by financial and other negative covenants in our credit arrangements, including limitations on our borrowing of additional funds and issuing dividends. At any time in the future, we may determine to issue new equity-linked (such as convertible debt) or equity securities in order to pay down long-term debt or for other corporate purposes. In such case, existing stockholders may be diluted which would likely affect the market price of our stock. Any such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is intensely competitive.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reduce the cost of our existing products and successfully introduce new lower cost products, then we expect that these competitive conditions would negatively impact our gross margin and operating results in the foreseeable future.</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increased investments in our test contactor business and announced significant growth targets for the business over the next several years, but due to weak market conditions we did not achieve our growth goals in 2019. The test contactor market is fragmented, with many entrenched regional players, and subject to intense price competition and high customer support requirements. We believe that customer support and responsiveness and an ability to consistently meet tight deadlines is critical to our success. If we are unable to reduce the cost of our test contactor products, while also meeting customer support requirements and deadlines, then we expect that these competitive conditions would negatively impact our gross margin and operating results in the foreseeable future.</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with the Xcerra acquisition, Cohu entered the automated test equipment (“ATE”) market. Our ability to increase our ATE sales will depend, in part, on our ability to obtain orders from new customers. Semiconductor and electronics manufacturers typically select a particular vendor’s product for testing new generations of a device and make substantial investments to develop related test program applications and interfaces. Once a manufacturer has selected an ATE vendor for a new generation of a device, that manufacturer is more likely to purchase systems from that vendor for that generation of the device, and, possibly, subsequent generations of that device as well. Further, Cohu has a niche position and relatively low share in the ATE market, and this market is primarily driven by two larger companies with significantly more resources to invest into the ATE market. Therefore, the opportunities to obtain orders from new customers or existing customers may be limited, which may impair our ability to grow our ATE revenue. In fact, as market conditions have weakened, we have seen a material reduction in sales within our ATE business. These developments may materially and adversely affect our current and future target markets and our ability to compete successfully in those markets.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28, 2019. Future inventory write-offs and increased inventory reserve requirements could have a material adverse impact on our results of operations and financial condition.</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ATE, MEMS,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seasonal nature of the semiconductor equipment industry places enormous demands on our employees, operations and infrastructure.</w:t>
      </w:r>
    </w:p>
    <w:p>
      <w:pPr>
        <w:spacing w:after="0" w:line="24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commonly occur, and have a significant impact on our operations, and such changes in demand (up or down) are difficult to predict and proactively plan for. We have in the past and may in the future experience difficulties, particularly in manufacturing, in training and recruiting the large number of additions to our workforce. The volatility in headcount and business levels, combined with the seasonal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Any inability to meet such requirements will have an adverse impact on our business, financial position and results of operations. For example, in the second half of 2018 and throughout 2019, we saw significantly weakened demand in automotive, mobility and consumer market segments, and overall geographic weakness in China and Taiwan. These trends adversely affected our second half 2018 results and full year 2019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and financial results depend on worldwide economic conditions and their impact on levels of business spending.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Possible import, export, tariff and other trade barriers, which could be imposed by Asia, the United States, other countries or the European Union might also have a material adverse effect on our operating results. We cannot predict the timing, duration of or effect on our business of an economic slowdown or the timing or strength of a subsequent recovery.</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trade tariffs and export restrictions, have impacted our business and may continue to have an impact on our business and financial condition.</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fiscal year 2019, 88% of our revenue was from products shipped to customer locations outside the United States. We also purchase a significant portion of components and subassemblies from suppliers outside the United States. Additionally, a significant portion of our facilities are located outside the United States, including Malaysia, Germany, China and Japan.</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United States and other countries have levied tariffs and taxes on certain goods. General trade tensions between the U.S. and China have been escalating since 2018, with U.S. tariffs on Chinese goods and retaliatory Chinese tariffs on U.S. goods. Higher duties on existing tariffs and further rounds of tariffs have been announced or repeatedly threatened by U.S. and Chinese leaders. Additionally, the U.S. has threatened to impose tariffs on goods imported from other countries, which could also impact our or certain of our customers' operations. If the U.S.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Tariffs on our customers' products could also impact their sales of such end products, resulting in lower demand for our products.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components and subassemblies, which could have a material adverse effect on our business, results of operations, or financial condition.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Furthermore, on May 16, 2019, the Bureau of Industry and Security (“BIS”) of the U.S. Department of Commerce added Huawei to the BIS’s Entity List, which imposes limitations on the supply of certain U.S. items and product support to Huawei. Although our sales to Huawei are immaterial, to ensure compliance with the Entity List restrictions, we suspended shipments of all products to Huawei, effective May 16, 2019. We then reviewed our product portfolio to determine whether our products and related support are subject to the Export Administration Regulations (“EAR”), and therefore within the scope of the Entity List restrictions. We have determined that certain products Huawei purchases from us are not subject to the EAR and consequently can be lawfully sold and shipped to Huawei. Accordingly, we have recently resumed shipping certain products to Huawei.</w:t>
      </w:r>
    </w:p>
    <w:p>
      <w:pPr>
        <w:spacing w:after="0" w:line="17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While Huawei remains on the Entity List, and in the absence of a license from the BIS, we may be unable to work with Huawei on future product development, which may have a negative effect on our ability to sell products to Huawei in the future. Entity List restrictions may also encourage Huawei to seek to obtain a greater supply of similar or substitute products from our competitors that are not subject to these restrictions, thereby decreasing our long-term competitiveness as a supplier to Huawei. More broadly, other China-based companies, unrelated to Huawei, may also seek alternative non-U.S. product sources driven by the ongoing unpredictability of U.S.-China trade relations.</w:t>
      </w:r>
    </w:p>
    <w:p>
      <w:pPr>
        <w:spacing w:after="0" w:line="1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believe that the Entity List trade restrictions enacted during second quarter 2019 had, and will continue to have, an adverse effect on our business in that most of our customers’ businesses were disrupted as semiconductor companies evaluated the trade restrictions. We are not aware of any relief from these export restrictions in the U.S.-China “phase 1” trade deal signed on January 15, 2020, and continue to be unable to predict the duration of the export restrictions imposed with respect to Huawei or the long-term effects on our business. Additionally, other companies may be added to the Entity List and/or subject to trade restrictions. Further, there will likely continue to be indirect impacts to our business which we cannot reasonably quantify, including that some of our other customers’ products which utilize our solutions may also be impacted by these and other trade restrictions that may be imposed by the U.S., China, or other countries. Restrictions on our ability (or our customers’ ability) to sell and ship products to Huawei have had, and may continue to have, an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small number of customers have been responsible for a significant portion of our net sales.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equipment industry for customers to purchase products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global Enterprise Resource Management (“ERP”) upgrade may adversely affect our business and results of operations or the effectiveness of internal controls over financial reporting.</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in final development stages of a phased global replacement of our existing ERP solution and have launched the first phase of such new ERP solution in first quarter 2020. The second phase and rollout is planned throughout 2020. The new solution is being developed as an enterprise solution in partnership with a leading provider of ERP tools. Additional investments in enterprise tools that focus on product life-cycle management, our customer experience, and supply chain management are in process to support our growing business. These implementations are extremely complex and time-consuming projects that involve substantial expenditures on software and implementation activities. If we do not effectively implement the system or if the system does not operate as intended, it could result in the loss or corruption of data, delayed order processing and shipments and increased costs. It could also adversely affect our financial reporting systems and our ability to produce financial reports and process transactions, the effectiveness of internal controls over financial reporting, and our business, financial condition, results of operations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cybersecurity breaches.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The company has been impacted by immaterial “phishing” schemes and is continuing its efforts to train employees on such risks but may still incur damages from such schemes in the future.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Further, any attack that disrupted our IT systems could impact our sales, financial results and stock price. In response to these risks, we expect to continue to devote additional resources to the security of our information technology systems.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and Bay Area, California, Boston, Massachusetts, Rosenheim and Kolbermoor, Germany, La Chaux-de-Fonds, Switzerland and Osaka, Japan areas, where the majority of our engineering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time-to-time,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 We are also subject to the theft and misappropriation of intellectual property by others, including incidents relating to former employees. We believe we are taking reasonable actions to protect and improve our security, through strengthened IT infrastructure and internal controls, but if these actions are not successful our business could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7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United States (U.S.) suppliers, including us. These advantages include, among other things, proximity to customers, lower cost structures,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changes in our tax provisions, enactment of new tax laws, or exposure to additional income tax liabilities could affect our profitability.</w:t>
      </w:r>
    </w:p>
    <w:p>
      <w:pPr>
        <w:spacing w:after="0" w:line="26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subject to income and other taxes in the U.S. and numerous foreign jurisdictions. Our tax liabilities are affected by, among other things, the amounts our affiliated entities charge each other for intercompany transactions. Our German subsidiaries income tax returns for 2012 to 2016 are currently under routine examination by tax authorities in Germany.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 As a result of the acquisition of Xcerra, a greater than 50% cumulative ownership change in Xcerra triggered a significant limitation in the utilization of their net operating loss and research credit carryforwards. Cohu’s ability to use the acquired Xcerra U.S. net operating loss and credit carryforwards is subject to annual limitations as defined in sections 382 and 383 of the Internal Revenue Code.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22, 2017, the Tax Cuts and Jobs Act (“Tax Act”) was signed into law in the United States. The changes in the Tax Act are broad and complex and we continue to examine the impact the Tax Act may have on our business and financial results. Among its many provisions, the Tax Act imposed a mandatory one-time transition tax on undistributed foreign earnings regardless of whether they are repatriated, reduced the U.S. corporate income tax rate from 35% to 21%, imposed limitations on the deductibility of interest and certain other corporate deductions, moved from a “worldwide” system of taxation that generally allows deferral of U.S. tax on foreign earnings until repatriated to a “territorial”/dividend exemption system with a minimum tax that will subject foreign earnings to U.S. tax when earned and created new taxes on certain foreign-sourced earnings and related-party payments, which are referred to as the global intangible low-taxed income tax and the base erosion and anti-abuse tax, respectively. In accordance with applicable SEC guidance (SAB 118), we recorded provisional amounts as of December 30, 2017, however, these provisional amounts were subject to change in 2018, due to, among other things, changes in estimates, interpretations and assumptions we have made, changes in Internal Revenue Service (IRS) interpretations, the issuance of new guidance, legislative actions, changes in accounting standards or related interpretations in response to the Tax Act and future actions by states within the United States that have not currently adopted the Tax Act. During 2018 we completed the accounting for the effects of the Tax Act and recorded an increase in our transition tax liability of approximately $5.1 million that was fully offset by the use of net operating loss carryforwards resulting in no net increase in tax expense. We must continue to address new regulations and interpretations of the Tax Act as they are issued.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if the materials come from, or could have come from, the Democratic Republic of the Congo or adjoining countries. These new rules and verification requirements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changes in, and uncertainty with respect to, legislation, regulation and governmental policy in the United States.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change in administration in the United States has resulted and may continue to result in significant changes in, and uncertainty with respect to, legislation, regulation and government policy. Specific legislative and regulatory proposals that could have a material impact on us include, but are not limited to, infrastructure renewal programs; and modifications to international trade policy, such as approvals by the Committee on Foreign Investment in the United States; increased duties, tariffs or other restrictions; public company reporting requirements; environmental regulation and antitrust enforcement.</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health epidemics, and geopolitical instability caused by terrorist attacks and other threats may adversely impact our operations and sales.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corporate headquarters is located in San Diego, California, our Asian sales and service headquarters is located in Singapore and the majority of our sales are made to destinations in Asia. In addition, we have Asia-based manufacturing plants in Malaysia, Philippines and Japan. These regions are known for being vulnerable to natural disasters and other risks, such as earthquakes, tsunamis, fires and floods, volcanic eruptions, and geopolitical risks, which at times have disrupted the local economies. For example, a significant earthquake or tsunami could materially affect operating results. We are not insured for most losses and business interruptions of this kind, or for geopolitical or terrorism impacts, and presently have limited redundant, multiple site capacity in the event of a disaster. In the event of such disaster, our business would materially suffer.</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could be adversely affected by the effects of a widespread outbreak of contagious disease, including the recent outbreak of respiratory illness caused by the novel coronavirus (COVID-19) first identified in Wuhan, Hubei Province, China. Any outbreak of contagious diseases, and other adverse public health developments, particularly in Asia where approximately 58% of our employees reside, could have a material and adverse effect on our business operations. These could include disruptions or restrictions on our ability to travel or to distribute our products, as well as temporary closures of our facilities or the facilities of our suppliers or customers and their contract manufacturers. Any disruption of our suppliers or customers and their contract manufacturers would likely impact our sales and operating results. In addition, a significant outbreak of contagious diseases in the human population could result in a widespread health crisis that could adversely affect the economies and financial markets of many countries, resulting in an economic downturn that could affect demand for our end customers’ products and likely impact our operating results. Our COVID-19 response measures have already disrupted business travel, customer visits and various company events. Should COVID-19 continue to spread, we would expect an adverse impact on our business, but we are unable to size or forecast the magnitude of any such impact at this time.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b w:val="1"/>
          <w:bCs w:val="1"/>
          <w:i w:val="1"/>
          <w:iCs w:val="1"/>
          <w:color w:val="auto"/>
        </w:rPr>
        <w:t>Our financial and operating results may vary and fall below analysts’ estimates, or credit rating agencies may change their ratings on Cohu, any of which may cause the price of our common stock to decline or make it difficult to obtain other financing.</w:t>
      </w: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1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volatile and unpredictable nature of the semiconductor equipment industry;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decisions to cancel orders or push out deliveries;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expenses or cost overruns in the introduction and support of products;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211"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time-to-time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addition, as a result of the Credit Facility, we maintain credit ratings with Moody’s Investors Service, Inc. (“Moody’s”) and S&amp;P Global Ratings (“S&amp;P”). The current Moody’s and S&amp;P issuer credit ratings for Cohu are B2 and B, respectively. Moody’s and S&amp;P downgraded their outlook on Cohu from B1 (to B2) and BB- (to B) on September 19, 2019 and October 16, 2019, respectively. The changes in outlook were primarily the result of Cohu's high leverage following a significant decline in operating performance year-to-date in fiscal 2019, weakness in the semiconductor industry, particularly in Cohu's mobility and automotive segments, depressed customer capital spending, and assumptions regarding Cohu’s 2019 cash consumption.</w:t>
      </w:r>
    </w:p>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further downgrade of Cohu’s credit ratings or rating outlooks may materially and adversely affect the market price of our equity and the availability, cost or interest rate of other credit or financing. This could make it significantly more costly for Cohu or its subsidiaries to borrow money or enter into new credit facilities and to raise certain other types of capital and/or complete additional financings. Any such negative credit rating actions and the reasons for such actions could materially and adversely affect our cash flows, results of operations and financial condition and our ability to pay the principal of and interest on, our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28, 2019, the price of our common stock has ranged from $27.83 to $11.37. The price of our stock may be more volatile than the stock of other companies due to, among other factors, the unpredictable, volatile and seasonal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28, 2019,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Major</w:t>
            </w:r>
          </w:p>
        </w:tc>
        <w:tc>
          <w:tcPr>
            <w:tcW w:w="100" w:type="dxa"/>
            <w:vAlign w:val="bottom"/>
          </w:tcPr>
          <w:p>
            <w:pPr>
              <w:spacing w:after="0"/>
              <w:rPr>
                <w:sz w:val="18"/>
                <w:szCs w:val="18"/>
                <w:color w:val="auto"/>
              </w:rPr>
            </w:pPr>
          </w:p>
        </w:tc>
        <w:tc>
          <w:tcPr>
            <w:tcW w:w="3640" w:type="dxa"/>
            <w:vAlign w:val="bottom"/>
          </w:tcPr>
          <w:p>
            <w:pPr>
              <w:ind w:left="1380"/>
              <w:spacing w:after="0"/>
              <w:rPr>
                <w:sz w:val="20"/>
                <w:szCs w:val="20"/>
                <w:color w:val="auto"/>
              </w:rPr>
            </w:pPr>
            <w:r>
              <w:rPr>
                <w:rFonts w:ascii="Arial" w:cs="Arial" w:eastAsia="Arial" w:hAnsi="Arial"/>
                <w:sz w:val="18"/>
                <w:szCs w:val="18"/>
                <w:b w:val="1"/>
                <w:bCs w:val="1"/>
                <w:color w:val="auto"/>
              </w:rPr>
              <w:t>Reportable</w:t>
            </w:r>
          </w:p>
        </w:tc>
        <w:tc>
          <w:tcPr>
            <w:tcW w:w="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Approx.</w:t>
            </w:r>
          </w:p>
        </w:tc>
        <w:tc>
          <w:tcPr>
            <w:tcW w:w="1320" w:type="dxa"/>
            <w:vAlign w:val="bottom"/>
          </w:tcPr>
          <w:p>
            <w:pPr>
              <w:spacing w:after="0"/>
              <w:rPr>
                <w:sz w:val="18"/>
                <w:szCs w:val="18"/>
                <w:color w:val="auto"/>
              </w:rPr>
            </w:pPr>
          </w:p>
        </w:tc>
      </w:tr>
      <w:tr>
        <w:trPr>
          <w:trHeight w:val="234"/>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Activities</w:t>
            </w:r>
          </w:p>
        </w:tc>
        <w:tc>
          <w:tcPr>
            <w:tcW w:w="100" w:type="dxa"/>
            <w:vAlign w:val="bottom"/>
          </w:tcPr>
          <w:p>
            <w:pPr>
              <w:spacing w:after="0"/>
              <w:rPr>
                <w:sz w:val="20"/>
                <w:szCs w:val="20"/>
                <w:color w:val="auto"/>
              </w:rPr>
            </w:pPr>
          </w:p>
        </w:tc>
        <w:tc>
          <w:tcPr>
            <w:tcW w:w="36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Segment</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Sq. Ft.</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Poway, California</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1, 2, 4, 5</w:t>
            </w: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Rosenheim, Germany</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216,000</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Kolbermoor, Germany</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Malacca, Malaysia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99,000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Calamba City, Laguna, Philippines</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La Chaux-de-Fonds, Switzerland</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2, 4, 5</w:t>
            </w: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34,000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Osaka, Japan</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Suzhou, China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PCB Test/Semiconductor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22,000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2, 4, 5</w:t>
            </w: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Milpitas, California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2, 4, 5</w:t>
            </w: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31,000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Norwood, Massachusetts</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2, 4, 5</w:t>
            </w: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Lincoln, Rhode Island</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22,000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Wertheim, Germany</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2, 3, 4, 5</w:t>
            </w: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PCB Test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Multiple facilities at this location that are both owned and leased.</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locations listed above, we lease other properties primarily for manufacturing, sales, service, engineering, and general administration in various locations. We are also currently in the process of a facility consolidation plan that will result in the closure and consolidation of Rosenheim, Germany into our nearby Kolbermoor, Germany facility, that is being expanded, in 2020. We believe our facilities are suitable for their respective uses and are adequate for our present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From time-to-time we are involved in various legal proceedings, examinations by various tax and customs authorities and claims that have arisen in the ordinary course of our business.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outcome of any litigation, examinations and claims is inherently uncertain. While there can be no assurance at the present time, we do not believe that the resolution of the matters described above will have a material adverse effect on our assets, financial position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At February 27, 2020, Cohu had 562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paid consecutive quarterly dividends since 1977 and, as discussed below, expect to continue doing so. Cash dividends, per share, declared in 2019 and 2018 were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Fiscal 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Fiscal 2018</w:t>
            </w:r>
          </w:p>
        </w:tc>
        <w:tc>
          <w:tcPr>
            <w:tcW w:w="100" w:type="dxa"/>
            <w:vAlign w:val="bottom"/>
          </w:tcPr>
          <w:p>
            <w:pPr>
              <w:spacing w:after="0"/>
              <w:rPr>
                <w:sz w:val="20"/>
                <w:szCs w:val="20"/>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Second Quarter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Fourth Quarter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0"/>
        </w:trPr>
        <w:tc>
          <w:tcPr>
            <w:tcW w:w="7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debt service requirements, research and development, investments and acquisitions, legal risks and stock repurchases.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did not issue any securities that were not registered under the Securities Act of 1933,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2019, we did not repurchase any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graph below compares the cumulative total stockholder return on the common stock of Cohu for the last five fiscal years with the cumulative total return on custom Peer Group Indexes and a Nasdaq Market Index over the same period (assuming the investment of $100 in Cohu’s common stock, Peer Group Index and Nasdaq Market Index on December 27, 2014, and reinvestment of all dividends). The custom Peer Group Index is comprised of the peer group companies associated with our performance stock units issued under our equity incentive plan. In 2019, the custom Peer Group Index was comprised of Advanced Energy Industries Inc., Advantest Corp, ASM Pacific Technology Ltd, Axcelis Technologies Inc., BE Semiconductor Industries NV, Brooks Automation Inc., Cabot Microelectronics Corp, Camtek Ltd, Electro Scientific Industries Inc., FormFactor Inc., Kulicke and Soffa Industries Inc., Micronics Japan Co Ltd, MKS Instruments Inc., Nanometrics Inc., Photronics Inc., Rudolph Technologies Inc., Teradyne Inc., Ultra Clean Holdings Inc., and Veeco Instruments Inc. (includes Ultratech through acquisition). This peer group is revised annually to reflect acquisitions and to include additional equivalent companies in the semiconductor equipment market to ensure a sufficiently large number of companies in the peer group composition to enable a meaningful comparison of our stock performance. As it relates to our 2017 Peer Group Index, the only change from peer group companies used in 2016 resulted from Veeco Instruments Inc.’s acquisition of Ultratech, Inc.</w:t>
      </w:r>
    </w:p>
    <w:p>
      <w:pPr>
        <w:sectPr>
          <w:pgSz w:w="11900" w:h="16838" w:orient="portrait"/>
          <w:cols w:equalWidth="0" w:num="1">
            <w:col w:w="11320"/>
          </w:cols>
          <w:pgMar w:left="320" w:top="125" w:right="259" w:bottom="1440" w:gutter="0" w:footer="0" w:header="0"/>
        </w:sectPr>
      </w:pP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151765</wp:posOffset>
            </wp:positionV>
            <wp:extent cx="5092065" cy="4037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92065"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Cohu, Inc.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NASDAQ Index</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432"/>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February 2020, we sold our fixtures and services business and the operating results of this business is presented as discontinued operations for the periods ended December 28, 2019 and December 29, 2018. Additionally, in June 2015, we sold our mobile microwave communications equipment business and the operating results of this business are also presented as discontinued operations for all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0" w:type="dxa"/>
            <w:vAlign w:val="bottom"/>
          </w:tcPr>
          <w:p>
            <w:pPr>
              <w:spacing w:after="0"/>
              <w:rPr>
                <w:sz w:val="20"/>
                <w:szCs w:val="20"/>
                <w:color w:val="auto"/>
              </w:rPr>
            </w:pPr>
            <w:r>
              <w:rPr>
                <w:rFonts w:ascii="Arial" w:cs="Arial" w:eastAsia="Arial" w:hAnsi="Arial"/>
                <w:sz w:val="18"/>
                <w:szCs w:val="18"/>
                <w:b w:val="1"/>
                <w:bCs w:val="1"/>
                <w:color w:val="auto"/>
              </w:rPr>
              <w:t>Years Ended,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Dec. 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 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Dec. 26</w:t>
            </w:r>
          </w:p>
        </w:tc>
      </w:tr>
      <w:tr>
        <w:trPr>
          <w:trHeight w:val="230"/>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 xml:space="preserve">2019 </w:t>
            </w:r>
            <w:r>
              <w:rPr>
                <w:rFonts w:ascii="Arial" w:cs="Arial" w:eastAsia="Arial" w:hAnsi="Arial"/>
                <w:sz w:val="14"/>
                <w:szCs w:val="14"/>
                <w:color w:val="auto"/>
                <w:w w:val="96"/>
              </w:rPr>
              <w:t>(1) (2)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 xml:space="preserve">2018 </w:t>
            </w:r>
            <w:r>
              <w:rPr>
                <w:rFonts w:ascii="Arial" w:cs="Arial" w:eastAsia="Arial" w:hAnsi="Arial"/>
                <w:sz w:val="14"/>
                <w:szCs w:val="14"/>
                <w:color w:val="auto"/>
                <w:w w:val="96"/>
              </w:rPr>
              <w:t>(1) (2)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 xml:space="preserve">2017 </w:t>
            </w:r>
            <w:r>
              <w:rPr>
                <w:rFonts w:ascii="Arial" w:cs="Arial" w:eastAsia="Arial" w:hAnsi="Arial"/>
                <w:sz w:val="14"/>
                <w:szCs w:val="14"/>
                <w:color w:val="auto"/>
                <w:w w:val="96"/>
              </w:rPr>
              <w:t>(2) (3)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1"/>
              <w:spacing w:after="0" w:line="230" w:lineRule="exact"/>
              <w:rPr>
                <w:sz w:val="20"/>
                <w:szCs w:val="20"/>
                <w:color w:val="auto"/>
              </w:rPr>
            </w:pPr>
            <w:r>
              <w:rPr>
                <w:rFonts w:ascii="Arial" w:cs="Arial" w:eastAsia="Arial" w:hAnsi="Arial"/>
                <w:sz w:val="16"/>
                <w:szCs w:val="16"/>
                <w:color w:val="auto"/>
              </w:rPr>
              <w:t xml:space="preserve">2016 </w:t>
            </w:r>
            <w:r>
              <w:rPr>
                <w:rFonts w:ascii="Arial" w:cs="Arial" w:eastAsia="Arial" w:hAnsi="Arial"/>
                <w:sz w:val="26"/>
                <w:szCs w:val="26"/>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583,329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451,768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352,704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282,084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269,654</w:t>
            </w: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4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(loss) from continuing operations</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(68,995)</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(32,543)</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33,121</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3,260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5,792</w:t>
            </w:r>
            <w:r>
              <w:rPr>
                <w:rFonts w:ascii="Arial" w:cs="Arial" w:eastAsia="Arial" w:hAnsi="Arial"/>
                <w:sz w:val="22"/>
                <w:szCs w:val="22"/>
                <w:color w:val="auto"/>
                <w:vertAlign w:val="superscript"/>
              </w:rPr>
              <w:t>(5)</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400" w:type="dxa"/>
            <w:vAlign w:val="bottom"/>
          </w:tcPr>
          <w:p>
            <w:pPr>
              <w:ind w:left="180"/>
              <w:spacing w:after="0" w:line="196" w:lineRule="exact"/>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(69,692)</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(32,424)</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32,843</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3,039</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250</w:t>
            </w: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4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96"/>
              </w:rPr>
              <w:t>Net income (loss) attributable to noncontrolling interest</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(243)</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400" w:type="dxa"/>
            <w:vAlign w:val="bottom"/>
          </w:tcPr>
          <w:p>
            <w:pPr>
              <w:ind w:left="180"/>
              <w:spacing w:after="0" w:line="196" w:lineRule="exact"/>
              <w:rPr>
                <w:sz w:val="20"/>
                <w:szCs w:val="20"/>
                <w:color w:val="auto"/>
              </w:rPr>
            </w:pPr>
            <w:r>
              <w:rPr>
                <w:rFonts w:ascii="Arial" w:cs="Arial" w:eastAsia="Arial" w:hAnsi="Arial"/>
                <w:sz w:val="18"/>
                <w:szCs w:val="18"/>
                <w:color w:val="auto"/>
              </w:rPr>
              <w:t>Net income (loss) attributable to Cohu</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(69,700)</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(32,181)</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32,843</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3,039</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250</w:t>
            </w: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4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(loss) from continuing operations - basic</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(1.68)</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(1.02)</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0.22</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400" w:type="dxa"/>
            <w:vAlign w:val="bottom"/>
          </w:tcPr>
          <w:p>
            <w:pPr>
              <w:ind w:left="180"/>
              <w:spacing w:after="0" w:line="196" w:lineRule="exact"/>
              <w:rPr>
                <w:sz w:val="20"/>
                <w:szCs w:val="20"/>
                <w:color w:val="auto"/>
              </w:rPr>
            </w:pPr>
            <w:r>
              <w:rPr>
                <w:rFonts w:ascii="Arial" w:cs="Arial" w:eastAsia="Arial" w:hAnsi="Arial"/>
                <w:sz w:val="18"/>
                <w:szCs w:val="18"/>
                <w:color w:val="auto"/>
              </w:rPr>
              <w:t>Income (loss) from continuing operations - diluted</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(1.68)</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(1.02)</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1.15</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0.22</w:t>
            </w: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Net income (loss) attributable to Cohu - basic</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(1.69)</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(1.01)</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1.18</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0.01</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400" w:type="dxa"/>
            <w:vAlign w:val="bottom"/>
          </w:tcPr>
          <w:p>
            <w:pPr>
              <w:ind w:left="180"/>
              <w:spacing w:after="0" w:line="196" w:lineRule="exact"/>
              <w:rPr>
                <w:sz w:val="20"/>
                <w:szCs w:val="20"/>
                <w:color w:val="auto"/>
              </w:rPr>
            </w:pPr>
            <w:r>
              <w:rPr>
                <w:rFonts w:ascii="Arial" w:cs="Arial" w:eastAsia="Arial" w:hAnsi="Arial"/>
                <w:sz w:val="18"/>
                <w:szCs w:val="18"/>
                <w:color w:val="auto"/>
              </w:rPr>
              <w:t>Net income (loss) attributable to Cohu - diluted</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(1.69)</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(1.01)</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1.14</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0.01</w:t>
            </w: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per share, paid quarterly</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0.24</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0.24</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0.24</w:t>
            </w:r>
          </w:p>
        </w:tc>
      </w:tr>
      <w:tr>
        <w:trPr>
          <w:trHeight w:val="197"/>
        </w:trPr>
        <w:tc>
          <w:tcPr>
            <w:tcW w:w="44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Consolidated Assets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1,077,710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1,134,002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420,457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345,512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345,346</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353,035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352,828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8,963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290,811</w:t>
            </w: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324,650</w:t>
            </w: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212,171</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176,460</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171,272</w:t>
            </w:r>
          </w:p>
        </w:tc>
        <w:tc>
          <w:tcPr>
            <w:tcW w:w="22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right="80" w:hanging="332"/>
        <w:spacing w:after="0" w:line="25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1, 2018, we purchased Xcerra and the results of its operations have been included in our consolidated financial statements since that date. In 2019, total operating expenses related to the acquisition of Xcerra were as follows: $16.2 million in restructuring charges comprised of $2.7 million of inventory end-of-manufacturing write-downs related to one of Xcerra’s products, employee severance costs of $12.2 million and $1.3 million of other restructuring costs. We also recorded $35.5 million for the amortization of acquisition-related intangibles and $0.4 million of merger related costs.</w:t>
      </w:r>
    </w:p>
    <w:p>
      <w:pPr>
        <w:spacing w:after="0" w:line="187" w:lineRule="exact"/>
        <w:rPr>
          <w:rFonts w:ascii="Arial" w:cs="Arial" w:eastAsia="Arial" w:hAnsi="Arial"/>
          <w:sz w:val="18"/>
          <w:szCs w:val="18"/>
          <w:color w:val="auto"/>
        </w:rPr>
      </w:pPr>
    </w:p>
    <w:p>
      <w:pPr>
        <w:ind w:left="340" w:right="240"/>
        <w:spacing w:after="0" w:line="259" w:lineRule="auto"/>
        <w:rPr>
          <w:rFonts w:ascii="Arial" w:cs="Arial" w:eastAsia="Arial" w:hAnsi="Arial"/>
          <w:sz w:val="18"/>
          <w:szCs w:val="18"/>
          <w:color w:val="auto"/>
        </w:rPr>
      </w:pPr>
      <w:r>
        <w:rPr>
          <w:rFonts w:ascii="Arial" w:cs="Arial" w:eastAsia="Arial" w:hAnsi="Arial"/>
          <w:sz w:val="18"/>
          <w:szCs w:val="18"/>
          <w:color w:val="auto"/>
        </w:rPr>
        <w:t>Total operating expenses in 2018 include charges related to the acquisition of Xcerra as follows: $37.8 million in restructuring charges comprised of $19.1 million of inventory end-of-manufacturing write-downs related to one of Xcerra’s products, employee severance costs of $17.8 million and $0.9 million of other restructuring costs. We also recorded $13.1 million for the amortization of acquisition-related intangibles and $9.8 million of merger related costs.</w:t>
      </w:r>
    </w:p>
    <w:p>
      <w:pPr>
        <w:spacing w:after="0" w:line="186"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for the years ended December 28, 2019, December 29, 2018 and December 30, 2017, include the impact from the Tax Act. See Note 8, “Income Taxes” in Part IV, Item 15(a) of this Form 10-K for additional information.</w:t>
      </w:r>
    </w:p>
    <w:p>
      <w:pPr>
        <w:spacing w:after="0" w:line="170"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January 4, 2017, we purchased Kita Manufacturing Co. LTD. (“Kita”) and the results of its operations have been included in our consolidated financial statements since that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year ended December 31, 2016 consists of 53 weeks. All other years in the table above are comprised of 52 weeks.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from continuing operations for the year ended December 26, 2015, includes a gain on the sale of facility totaling $3.2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Cohu is a leading supplier of semiconductor test and inspection handlers, micro-electromechanical system (MEMS) test modules, test contactors and thermal subsystems, semiconductor automated test equipment and bare-board printed circuit board test systems used by global semiconductor and electronics manufacturers and test subcontractors. We offer a wide range of products and services and our revenue from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PCBs and the products that incorporate them. Our consumable products are driven by an increase in the number of semiconductor devices and printed circuit boards that are tested and by the continuous introduction of new products and new technologies by our customers. As a result, our consumable products provide a more stable recurring source of revenue and generally do not have the same degree of cyclicality as our capital equipment products.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year ended December 28, 2019, our net sales increased 29.1% year-over-year to $583.3 million driven by the acquisition of Xcerra Corporation, completed on October 1, 2018. Consolidated net sales for the year ended December 28, 2019, include Xcerra’s recognized sales for all twelve months of 2019 which totaled $300.8 million. The year ended December 29, 2018, only includes Xcerra’s sales for the three months subsequent to our acquisition which totaled $94.4 million. Excluding the impact of the additional sales from Xcerra, our consolidated net sales decreased year over year as a result of softer demand for smartphones, weaker automotive semiconductor demand and ongoing softness in the China market that is in part related to trade tensions between the U.S. and China and export restrictions.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2018 we saw growth in the global semiconductor market through the second quarter when it reached its peak. Business conditions then softened during the second half of 2018 with the weakness in demand continuing throughout 2019 and customer test cell utilization remains below levels that have historically triggered the need for additional capacity. Despite the near-term weakness, we remain optimistic about the long-term prospects for our business due to the increasing ubiquity of semiconductors, the future rollout of 5G networks, the diminishing impact of parallel test, increasing semiconductor complexity, increasing quality demands from semiconductor customers, and continued proliferation of electronics in a variety of products across the automotive, mobility and industrial markets. Our orders in the fourth quarter of 2019 strengthened, driven by demand for equipment used in testing mobility semiconductor applications and automotive related devices. We remain optimistic about our future business prospects and are focused on cross-selling opportunities and supporting our customers’ deployment of 5G RF capabilities on next generation smartphones and we remain focused on growing our sales to semiconductor and electronics manufacturers and test subcontractors.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81"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23" w:lineRule="exact"/>
        <w:rPr>
          <w:rFonts w:ascii="Arial" w:cs="Arial" w:eastAsia="Arial" w:hAnsi="Arial"/>
          <w:sz w:val="18"/>
          <w:szCs w:val="18"/>
          <w:color w:val="auto"/>
        </w:rPr>
      </w:pPr>
    </w:p>
    <w:p>
      <w:pPr>
        <w:ind w:left="500" w:right="380" w:hanging="330"/>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ind w:left="500" w:right="320" w:hanging="330"/>
        <w:spacing w:after="0" w:line="323"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recognition and measurement of current and deferred income tax assets and liabilities, unrecognized tax benefits, the valuation allowance on deferred tax assets and accounting for the impact of the recent change to U.S. tax law as described herein, which impact our tax provision;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620" w:hanging="330"/>
        <w:spacing w:after="0" w:line="258"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1" w:lineRule="exact"/>
        <w:rPr>
          <w:rFonts w:ascii="Arial" w:cs="Arial" w:eastAsia="Arial" w:hAnsi="Arial"/>
          <w:sz w:val="18"/>
          <w:szCs w:val="18"/>
          <w:color w:val="auto"/>
        </w:rPr>
      </w:pPr>
    </w:p>
    <w:p>
      <w:pPr>
        <w:ind w:left="500" w:hanging="330"/>
        <w:spacing w:after="0" w:line="26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8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4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net sales are derived from the sale of products and services and are adjusted for estimated returns and allowances,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December 28, 2019 and December 29, 2018 we had $10.0 million and $19.1 million of revenue expected to be recognized in the future related to performance obligations that are unsatisfied (or partially unsatisfied), respectively. 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6"/>
          <w:szCs w:val="16"/>
          <w:i w:val="1"/>
          <w:iCs w:val="1"/>
          <w:color w:val="auto"/>
        </w:rPr>
        <w:t>Guarantees (“ASC 460”)</w:t>
      </w:r>
      <w:r>
        <w:rPr>
          <w:rFonts w:ascii="Arial" w:cs="Arial" w:eastAsia="Arial" w:hAnsi="Arial"/>
          <w:sz w:val="16"/>
          <w:szCs w:val="16"/>
          <w:color w:val="auto"/>
        </w:rPr>
        <w:t>,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On December 31, 2017, the first day of our fiscal 2018, we adopted ASU No. 2014-09, </w:t>
      </w:r>
      <w:r>
        <w:rPr>
          <w:rFonts w:ascii="Arial" w:cs="Arial" w:eastAsia="Arial" w:hAnsi="Arial"/>
          <w:sz w:val="18"/>
          <w:szCs w:val="18"/>
          <w:i w:val="1"/>
          <w:iCs w:val="1"/>
          <w:color w:val="auto"/>
        </w:rPr>
        <w:t>Revenue from Contracts with Customers (Topic 606) (ASU 2014-09)</w:t>
      </w:r>
      <w:r>
        <w:rPr>
          <w:rFonts w:ascii="Arial" w:cs="Arial" w:eastAsia="Arial" w:hAnsi="Arial"/>
          <w:sz w:val="18"/>
          <w:szCs w:val="18"/>
          <w:color w:val="auto"/>
        </w:rPr>
        <w:t>, which amends the existing accounting standards for revenue recognition. For additional information on the impact this new standard had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recognition and results of operations see recently adopted accounting pronouncements in Note 1 “Accounting Policies” in Part IV, Item 15(a) of this Form 10-K.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28, 2019, was approximately $140.3 million, with a valuation allowance of approximately $93.5 million.</w:t>
      </w:r>
    </w:p>
    <w:p>
      <w:pPr>
        <w:spacing w:after="0" w:line="16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Tax Cuts and Jobs Act (“Tax Act”) was enacted on December 22, 2017. The accounting for the tax effects of the enactment of the Tax Act was completed in 2018. See Note 8, “Income Taxes”, included in Part IV, Item 15(a) of this Form 10-K, which is incorporated herein by reference.</w:t>
      </w:r>
    </w:p>
    <w:p>
      <w:pPr>
        <w:spacing w:after="0" w:line="12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i w:val="1"/>
          <w:iCs w:val="1"/>
          <w:color w:val="auto"/>
        </w:rPr>
        <w:t xml:space="preserve">Segment Information: </w:t>
      </w:r>
      <w:r>
        <w:rPr>
          <w:rFonts w:ascii="Arial" w:cs="Arial" w:eastAsia="Arial" w:hAnsi="Arial"/>
          <w:sz w:val="16"/>
          <w:szCs w:val="16"/>
          <w:color w:val="auto"/>
        </w:rPr>
        <w:t>We applied the provisions of ASC Topic 280,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Segment Reporting</w:t>
      </w:r>
      <w:r>
        <w:rPr>
          <w:rFonts w:ascii="Arial" w:cs="Arial" w:eastAsia="Arial" w:hAnsi="Arial"/>
          <w:sz w:val="16"/>
          <w:szCs w:val="16"/>
          <w:color w:val="auto"/>
        </w:rPr>
        <w:t>, (“ASC 280”), which sets forth a management approach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After the acquisition of Xcerra on October 1, 2018, we have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&amp; Inspection and PCB Test.</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Goodwill, Purchased Intangible Assets and Other Long-lived Assets: </w:t>
      </w:r>
      <w:r>
        <w:rPr>
          <w:rFonts w:ascii="Arial" w:cs="Arial" w:eastAsia="Arial" w:hAnsi="Arial"/>
          <w:sz w:val="17"/>
          <w:szCs w:val="17"/>
          <w:color w:val="auto"/>
        </w:rPr>
        <w:t>We evaluate goodwill for impairment annually and when an event occurs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change that indicate that the carrying value may not be recoverable. We test goodwill for impairment by comparing the book value of net assets to the fair value of the reporting units. If the fair value is determined to be less than the book value, an impairment charge is recognized as the amount by which the carrying amount of goodwill exceeds the reporting unit's fair value, not to exceed the carrying amount of goodwill.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conduct our annual impairment test as of October 1st of each year, and have determined there was no impairment as of October 1, 2019, as we determined that the estimated fair values of our reporting units exceeded their carrying values on that date. Other events and changes in circumstances may also require goodwill to be tested for impairment between annual measurement dates. As of December 28, 2019,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evaluate our indefinite-lived intangible assets associated with in-process research and development by comparing the fair value of each project with its carrying value. This evaluation is completed annually and whenever indicators of impairment are present.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4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certain contingencies that arise in the ordinary course of our businesses which require us to assess the likelihood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restricted stock unit awards is calculated based on the market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For a description of accounting changes and recent accounting pronouncements, including the expected dates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estimated effects, if any, on our Consolidated Financial Statements, see Note 1, “Recent Accounting Pronouncements” in Part IV, Item 15(a)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Transactions Impacting Results of Operations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October 1, 2018 we completed the acquisition of Xcerra Corporation and the results of its operations have been included in our consolidated financial statements only since that date. Due to the timing of the acquisition our prior year results only include Xcerra for the three months ended December 29, 2018, and current year results include Xcerra for the twelve months ended December 28, 2019. Management determined that the fixtures services business, that was acquired as part of Xcerra, did not align with Cohu’s long-term strategic plan and management divested this portion of the business in February 2020. As a result, the assets of our fixtures business are considered “held for sale” and the operations of our fixtures business are considered “discontinued operations” as of both December 28, 2019 and December 29, 2018. Unless otherwise indicated, the discussion below covers the comparative results from continuing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6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6620" w:type="dxa"/>
            <w:vAlign w:val="bottom"/>
            <w:gridSpan w:val="4"/>
          </w:tcPr>
          <w:p>
            <w:pPr>
              <w:spacing w:after="0"/>
              <w:rPr>
                <w:sz w:val="20"/>
                <w:szCs w:val="20"/>
                <w:color w:val="auto"/>
              </w:rPr>
            </w:pPr>
            <w:r>
              <w:rPr>
                <w:rFonts w:ascii="Arial" w:cs="Arial" w:eastAsia="Arial" w:hAnsi="Arial"/>
                <w:sz w:val="18"/>
                <w:szCs w:val="18"/>
                <w:color w:val="auto"/>
                <w:w w:val="98"/>
              </w:rPr>
              <w:t>The following table summarizes certain operating data as a percentage of net sales: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640" w:type="dxa"/>
            <w:vAlign w:val="bottom"/>
            <w:gridSpan w:val="3"/>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4"/>
                <w:szCs w:val="24"/>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60" w:type="dxa"/>
            <w:vAlign w:val="bottom"/>
          </w:tcPr>
          <w:p>
            <w:pPr>
              <w:spacing w:after="0"/>
              <w:rPr>
                <w:sz w:val="18"/>
                <w:szCs w:val="18"/>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(60.6)</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(64.7)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r>
      <w:tr>
        <w:trPr>
          <w:trHeight w:val="20"/>
        </w:trPr>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r>
      <w:tr>
        <w:trPr>
          <w:trHeight w:val="216"/>
        </w:trPr>
        <w:tc>
          <w:tcPr>
            <w:tcW w:w="160" w:type="dxa"/>
            <w:vAlign w:val="bottom"/>
          </w:tcPr>
          <w:p>
            <w:pPr>
              <w:spacing w:after="0"/>
              <w:rPr>
                <w:sz w:val="18"/>
                <w:szCs w:val="18"/>
                <w:color w:val="auto"/>
              </w:rPr>
            </w:pPr>
          </w:p>
        </w:tc>
        <w:tc>
          <w:tcPr>
            <w:tcW w:w="646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160" w:type="dxa"/>
            <w:vAlign w:val="bottom"/>
          </w:tcPr>
          <w:p>
            <w:pPr>
              <w:spacing w:after="0"/>
              <w:rPr>
                <w:sz w:val="18"/>
                <w:szCs w:val="18"/>
                <w:color w:val="auto"/>
              </w:rPr>
            </w:pPr>
          </w:p>
        </w:tc>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160" w:type="dxa"/>
            <w:vAlign w:val="bottom"/>
          </w:tcPr>
          <w:p>
            <w:pPr>
              <w:spacing w:after="0"/>
              <w:rPr>
                <w:sz w:val="18"/>
                <w:szCs w:val="18"/>
                <w:color w:val="auto"/>
              </w:rPr>
            </w:pPr>
          </w:p>
        </w:tc>
        <w:tc>
          <w:tcPr>
            <w:tcW w:w="6460" w:type="dxa"/>
            <w:vAlign w:val="bottom"/>
            <w:gridSpan w:val="3"/>
          </w:tcPr>
          <w:p>
            <w:pPr>
              <w:ind w:left="20"/>
              <w:spacing w:after="0"/>
              <w:rPr>
                <w:sz w:val="20"/>
                <w:szCs w:val="20"/>
                <w:color w:val="auto"/>
              </w:rPr>
            </w:pPr>
            <w:r>
              <w:rPr>
                <w:rFonts w:ascii="Arial" w:cs="Arial" w:eastAsia="Arial" w:hAnsi="Arial"/>
                <w:sz w:val="18"/>
                <w:szCs w:val="18"/>
                <w:color w:val="auto"/>
              </w:rPr>
              <w:t>Amortization of purchased intangible assets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160" w:type="dxa"/>
            <w:vAlign w:val="bottom"/>
          </w:tcPr>
          <w:p>
            <w:pPr>
              <w:spacing w:after="0"/>
              <w:rPr>
                <w:sz w:val="18"/>
                <w:szCs w:val="18"/>
                <w:color w:val="auto"/>
              </w:rPr>
            </w:pP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(48.4)</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(41.8)</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0"/>
        </w:trPr>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0"/>
        </w:trPr>
        <w:tc>
          <w:tcPr>
            <w:tcW w:w="16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Please refer to “Management’s Discussion and Analysis of Financial Condition and Results of Operations” in Part II, Item 7 in our 2018 Annual Report on Form 10-K, filed with the SEC on March 14, 2019, for comparative discussion of our fiscal years ended December 29, 2018 and December 30,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Compared to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Cohu’s consolidated net sales increased 29.1% from $451.8 million in 2018 to $583.3 million in 2019. The increase in our consolidated net sales was a result of the acquisition of Xcerra which generated $300.8 million in 2019 and $94.4 million in 2018. Excluding the impact of Xcerra, our consolidated net sales decreased year over year as a result of softer demand for smartphones, weaker automotive semiconductor demand, ongoing softness in the China market that is in part related to trade tensions between the U.S. and China and export restrictions.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(exclusive of amortization of acquisition-related intangible assets described below)</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margin consists of net sales less cost of sales (excluding the impact of amortization of developed technology and backlog). Cost of sales consists primarily of the materials, assembly and test labor and overhead from operations. Our gross margin can fluctuate due to a number of factors, including, but not limited to, the mix of products sold, product support costs, increases to inventory reserves, the sale of previously reserved inventory and utilization of manufacturing capacity. Our gross margin, as a percentage of net sales, increased to 39.4% in 2019 from 35.3% in 2018. The significant components driving the improvement in our gross margin are discussed below.</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compute the majority of our excess and obsolete inventory reserve requirements using inventory usage forecasts ranging from one to three years. During 2019, we recorded net charges to cost of sales of approximately $4.1 million, for excess and obsolete inventory. Additionally, as part of the integration and restructuring activities related to Xcerra we recorded $2.7 million of inventory related charges related to the decision to end manufacturing of certain of Xcerra’s semiconductor test handler products. In 2018, net charges to cost of sales were $1.4 million, for excess and obsolete inventory and we recorded $19.1 million of inventory related charges related to the decision to end manufacturing of certain of Xcerra’s semiconductor test handler products.</w:t>
      </w:r>
    </w:p>
    <w:p>
      <w:pPr>
        <w:spacing w:after="0" w:line="16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believe our reserves for excess and obsolete inventory and lower of cost or market concerns are adequate to cover known exposures at December 28, 2019. Reductions in customer forecasts, continued modifications to products, our failure to meet specifications or other customer requirements may result in additional charges to operations that could negatively impact our gross margin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Additionally, our cost of sales was impacted by the amortization of inventory step-up related to fair value adjustments to inventory acquired from Xcerra.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2019 and 2018, we amortized $6.0 million and $14.8 million of inventory step-up,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2019 was $86.1 million, or 14.8% of net sales, increasing from $56.4 million, or</w:t>
      </w:r>
    </w:p>
    <w:p>
      <w:pPr>
        <w:spacing w:after="0" w:line="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12.5% of net sales in 2018. The increase in our R&amp;D expense in 2019 was associated with the acquisition of Xcerra, which added product development expenses totaling $45.4 million in 2019 as compared to incremental costs of $11.6 million in 2018. R&amp;D costs unrelated to Xcerra decreased due to cost control initiatives implemented as a result of current business conditions.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SG&amp;A expense consists primarily of salaries and benefit costs of employees, commission expense for independent sales representatives, product promotion and costs of professional services. SG&amp;A expense as a percentage of net sales increased to 24.5% in 2019, from 21.4% in 2018, while increasing in absolute dollars from $96.8 million in 2018 to $142.9 million in 2019. The increase in SG&amp;A expense recognized in 2019 was a result of a full year’s incremental expenses from Xcerra totaling $84.8 million. Incremental SG&amp;A expense in 2018 from Xcerra was $24.9 million. Our SG&amp;A expenses unrelated to Xcerra’s operations decreased primarily due to transaction related expenses and other items as described below.</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each of the last two years Cohu has incurred costs specifically related to business acquisitions. In 2019, acquisition costs totaled $0.4 million and were entirely comprised of professional service and other transaction related expenses associated with the acquisition of Xcerra. In 2018, acquisition costs totaled $10.5 million and were comprised of $9.8 million of professional service and other transaction related expenses associated with the acquisition of Xcerra. Additionally, during 2018 we recorded $0.7 million related to mark-to-market adjustments made to the fair value of the Kita acquisition-related contingent consideration liability.</w:t>
      </w:r>
    </w:p>
    <w:p>
      <w:pPr>
        <w:spacing w:after="0" w:line="18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2019 and 2018, we recorded $1.2 million and $0.9 million of expense, respectively, related to a reduction of an indemnification receivable related to an uncertain tax position recorded in the acquisition of Ismeca Semiconductor Holdings SA (“Ismeca”) in 2013. In connection with this reduction we also booked a corresponding amount as a credit to our income tax provision and, as a result, the impact of this reduction on net income was zero.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Amortization of purchased intangibles is the process of expensing the cost of an intangible asset acquired through a business combination over the projected life of the asset. Amortization of acquisition-related intangible assets was $39.6 million and $17.2 million for 2019 and 2018, respectively. The year over year increase in amortization expense in 2019 was driven by amortization of purchased intangible assets obtained from Xcerra.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Acquisitions” in Part IV, Item 15(a) of this Form 10-K for additional information with respect to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Subsequent to the acquisition of Xcerra on October 1, 2018, during fourth quarter 2018, we began a strategic restructuring program designed to reposition our organization and improve our cost structure as part of our targeted integration plan regarding Xcerra. We recorded restructuring charges, exclusive of the inventory related charges described above, totaling $13.5 million and $18.7 million in 2019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Note 5, “Restructuring Charges” in Part IV, Item 15(a) of this Form 10-K for additional information with respect to restructuring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Interest expense was $20.6 million in 2019 as compared to $5.0 million in 2018. The increase was a result of interest associated with the Term B Loan obtained to finance part of the purchase of Xcerra on October 1, 2018. As a result of the timing of the transaction and the related financing, 2019 includes interest expense for the full twelve months of 2019, whereas 2018 only includes interest expense for the three months after the acquisition. See Note 4, “Borrowings and Credit Agreements”, included in Part IV, Item 15(a) of this Form 10-K, which is incorporated herein by reference.</w:t>
      </w:r>
    </w:p>
    <w:p>
      <w:pPr>
        <w:spacing w:after="0" w:line="15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Interest income was $0.8 million in 2019 as compared to $1.2 million in 2018 and decreased due to lower interest rates and lower investment holdings.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Transaction Gain (Loss) and Other</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operations in foreign countries and conduct business in the local currency in these countries. In 2019 we incurred an insignificant foreign currency transaction gain for the year. In 2018, the U.S. Dollar weakened against primarily the Swiss Franc and Euro, which resulted in the recognition of $1.7 million in foreign currency transaction losses.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income tax provision (benefit) expressed as a percentage of pre-tax income or loss in 2019 and 2018 was (4.3)% and 2.0%, respectively. The income tax provision for the years ended December 28, 2019, and December 29, 2018, differs from the U.S. federal statutory rate primarily due to changes in the valuation allowance on our deferred tax assets, foreign income taxed at different rates, releases from statute expirations, impact of the Tax Act and other factors.</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 A significant negative factor in our assessment was Cohu’s three-year cumulative loss history at the end of various fiscal periods including 2019.</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2019, we were unable to conclude that it was “more likely than not” that our U.S. DTAs would be realized. We will evaluate the realizability of our DTAs at the end of each quarterly reporting period in 2020 and, should circumstances change, it is possible an additional valuation allowance will be recorded or the remaining valuation allowance, or a portion thereof, will be reversed in a future period.</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valuation allowance on our DTAs at December 28, 2019, and December 29, 2018, was approximately $93.5 million and $84.7 million, respectively. The remaining gross DTAs for which a valuation allowance was not recorded are realizable primarily through future reversals of existing taxable temporary differences and to a lesser extent future taxable income exclusive of reversing temporary differences and carryforwards.</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by our non-U.S. subsidiaries were not a source of taxable income in assessing the realization of our DTAs in the U.S.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8, “Income Taxes”, included in Part IV, Item 15(a) of this Form 10-K,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 and Net Income (Loss)</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As a result of the factors set forth above, our net loss from continuing operations was $69.0 million in 2019, compared to $32.5 million in 2018. Including the results of our discontinued operations, our net loss in 2019 and 2018 was $69.7 million and $32.4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9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1, 2018, we entered into a bank credit agreement which provides for a $350.0 million seven-year Term B Loan facility and borrowed the full amount. The Term B Loan facility matures on October 1, 2025. These proceeds were used on October 1, 2018, together with our cash and cash equivalents, to finance the acquisition of Xcerra. See Note 4 “Borrowings and Credit Agreements” included in Part IV, Item 15(a) of this Form 10-K, which is incorporated herein by reference.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December 28, 2019, our total indebtedness, net of discount and deferred financing costs, was $353.1 million, which included $339.1 million outstanding under the Term B Loan, $3.8 million outstanding under Kita’s term loans, $5.5 million outstanding under Rasco’s construction loans, $3.2 million outstanding under Kita’s lines of credit, and $1.5 million outstanding under Xcerra’s term loan.</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28, 2019 and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 2018:</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Percentage</w:t>
            </w:r>
          </w:p>
        </w:tc>
      </w:tr>
      <w:tr>
        <w:trPr>
          <w:trHeight w:val="23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6"/>
              </w:rPr>
              <w:t>Decrease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240" w:type="dxa"/>
            <w:vAlign w:val="bottom"/>
          </w:tcPr>
          <w:p>
            <w:pPr>
              <w:spacing w:after="0"/>
              <w:rPr>
                <w:sz w:val="20"/>
                <w:szCs w:val="20"/>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156,098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(8,922)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290,811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324,650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(33,839)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bl>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28, 2019, $92.7 million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 Beginning in 2018, earnings realized in foreign jurisdictions are subject to U.S. tax in accordance with the Tax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provided by operating activities consists of our net loss adjusted for non-cash expenses and changes in operating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These adjustments include depreciation expense on property, plant and equipment, share-based compensation expense, amortization of intangible assets, deferred income taxes and amortization of inventory step-up and inventory related charges related to Xcerra. Our net cash flows provided by operating activities in 2019 totaled $17.3 million compared to $34.4 million in 2018. The decrease in cash provided by operating activities in the current year was a result of weaker business conditions and our net loss, but was also impacted by changes in current assets and liabilities which included decreases in accounts receivable, income taxes payable and accounts payable. Lower business volume in the fourth quarter of 2019 and the timing of the resulting cash conversion cycle drove the $21.2 million reduction in accounts receivable. Income taxes payable decreased $10.7 million a result of tax payments made in certain foreign jurisdictions. Excluding the impact of amounts accrued for fixed assets and cloud computing, our accounts payable decreased $3.1 million as a result of decreased business conditions and the timing of cash payments made to our suppliers. Cash provided by operating activities was also impacted by increases in other current assets of $6.0 million and accrued compensation, warranty and other liabilities of $2.1 million which was driven, primarily by increases in interest payable and customer advances, offset by lower accruals for incentive compensation and warranty due to decreased sales in 2019.</w:t>
      </w:r>
    </w:p>
    <w:p>
      <w:pPr>
        <w:spacing w:after="0" w:line="179"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 purchases of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proceeds from investment maturities, business acquisitions, asset disposals and business divestitures. Our net cash used in investing activities in 2019 totaled $16.5 million. Additions to property, plant and equipment in 2019 were $18.0 million and were made to support the operating and development activities of our Semiconductor Test &amp; Inspection segment. During 2019 we generated cash totaling $1.8 million from the sale of land and fixed assets.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In fiscal 2019, our cash used in financing activities totaled $8.2 million. During 2019, we paid dividends totaling $9.8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$0.24 per common share and on February 12, 2020, we announced a cash dividend of $0.06 per share on our common stock, payable on April 9, 2020, to stockholders of record as of February 25, 2020. We intend to continue to pay quarterly dividends subject to capital availability and periodic determinations by our Board of Directors that cash dividends are in the best interests of our stockholders. During 2019, we received proceeds under a construction loan totaling $5.5 million and made debt payments totaling $3.8 million. Proceeds from the construction loan are being used to expand our facility in Kolbermoor, Germany enabling us to consolidate the German operations of our Semiconductor Test &amp; Inspection segment in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bank credit agreement which provides for a $350.0 million seven-year Term B Loan facility as described above, we have access to other credit facilities to finance our operations if needed.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our acquisition of Xcerra, we assumed a term loan related to the purchase of Xcerra’s facility in Rosenheim, Germany. The loan is payable over 10 years at an annual interest rate of 2.35%. Principal plus accrued interest is due quarterly over the duration of the term loan. At December 28, 2019, the outstanding loan balance was $1.5 million and $0.3 million of the outstanding balance is presented as current installments of long-term debt in our consolidated balance sheets. The term loan is denominated in Euros and, as a result, amounts disclosed herein will fluctuate because of changes in currency exchange rates.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acquisition of Kita on January 4, 2017, we assumed a series of revolving credit facilities with various financial institutions in Japan. The revolving credit facilities renew monthly and provide Kita with access to working capital totaling up to $8.8 million. At December 28, 2019, total borrowings outstanding under the revolving lines of credit were $3.2 million. As these credit facility agreements renew monthly, they have been included in short-term borrowings in our consolidated balance sheet. We also assumed long-term term loans from a series of Japanese financial institutions totaling $3.8 million primarily related to the expansion of Kita’s facility in Osaka, Japan. The loans are collateralized by the facility and land. The loans carry interest rates ranging from 0.05% to 0.43% and expire at various dates through 2034. At December 28, 2019, $0.4 million of the term loans have been included in current installments of long-term debt in our consolidated balance sheet. The revolving lines of credit and term loans are denominated in Japanese Yen and, as a result, amounts will fluctuate as a result of changes in currency exchange rates.</w:t>
      </w:r>
    </w:p>
    <w:p>
      <w:pPr>
        <w:spacing w:after="0" w:line="17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July 26, 2019, one of our wholly owned subsidiaries located in Germany entered into two construction loans (“Loan Facilities”) with a German financial institution providing total borrowing of €8.6 million. The Loan Facilities have 10-year and 15-year terms, which commenced on August 1, 2019, the initial draw-down date. The Loan Facilities are being utilized to finance the expansion of our facility in Kolbermoor, Germany, enabling us to combine the operations of multiple subsidiaries in one location as part of our previously announced strategic restructuring program. The Loan Facilities are secured by the land and the existing building on the site and bear interest at agreed upon rates based on separate €3.4 million and €5.2 million facility amounts.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August 1, 2019, the full €3.4 million was drawn under the first facility, which is payable over 10 years at an annual interest rate of 0.8%. Interest payments only are required to be made each quarter starting in September 2019 with principal and interest payments due each quarter starting in the month of December 2021. Principal repayments will be made over 8 years starting at the end of 2021.</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10, 2019, we drew €1.5 million under the second facility, which is payable over 15 years at an annual interest rate of 1.05%. Interest payments only are required to be made each quarter starting in December 2019 with principal and interest payments due each quarter starting in the month of May 2020. Principal repayments will be made over 15 years starting at the end of May 2020. As of December 28, 2019, €3.7 million had not been drawn under the second facility as is expected to be drawn in the first half of 2020.</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28, 2019, total outstanding borrowings under the Loan Facilities was $5.5 million with $0.3 million of the total outstanding balance being presented as current installments of long-term debt in our consolidated balance sheets based on contractual due dates. The loans are denominated in Euros and, as a result, amounts disclosed herein will fluctuate because of changes in currency exchange rates. The fair value of the debt approximates the carrying value at December 28,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In addition, our wholly owned subsidiary, Xcerra, has arrangements with various financial institutions for the issuance of letters of credit and bank guarantees. As of December 28, 2019, $1.1 million was outstanding under standby letters of credit and bank guarantees. Our wholly owned subsidiary Ismeca Semiconductor Holdings SA (“Ismeca”) has an agreement with UBS (the “Ismeca Facility”) under which they administer lines of credit on behalf of Ismeca. Total borrowings available under the Ismeca Facility are 2.0 million Swiss Francs and at December 28, 2019, no amounts were outstanding.</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summarizes our significant contractual obligations at December 28, 2019, and the effect such obligations are expected to have on our liquidity and cash flows in future periods. Amounts excluded include our liability for unrecognized tax benefits that totaled approximately $34.6 million at December 28, 2019. We are currently unable to provide a reasonably reliable estimate of the amount or period(s) the cash settlement of this liability may occur.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year-end</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2021-2022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2023-2024</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Thereafter</w:t>
            </w:r>
          </w:p>
        </w:tc>
        <w:tc>
          <w:tcPr>
            <w:tcW w:w="80" w:type="dxa"/>
            <w:vAlign w:val="bottom"/>
          </w:tcPr>
          <w:p>
            <w:pPr>
              <w:spacing w:after="0"/>
              <w:rPr>
                <w:sz w:val="19"/>
                <w:szCs w:val="19"/>
                <w:color w:val="auto"/>
              </w:rPr>
            </w:pPr>
          </w:p>
        </w:tc>
      </w:tr>
      <w:tr>
        <w:trPr>
          <w:trHeight w:val="209"/>
        </w:trPr>
        <w:tc>
          <w:tcPr>
            <w:tcW w:w="29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4"/>
                <w:szCs w:val="24"/>
                <w:color w:val="auto"/>
                <w:vertAlign w:val="superscript"/>
              </w:rPr>
              <w:t>(1)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16,314</w:t>
            </w:r>
          </w:p>
        </w:tc>
      </w:tr>
      <w:tr>
        <w:trPr>
          <w:trHeight w:val="216"/>
        </w:trPr>
        <w:tc>
          <w:tcPr>
            <w:tcW w:w="2960" w:type="dxa"/>
            <w:vAlign w:val="bottom"/>
          </w:tcPr>
          <w:p>
            <w:pPr>
              <w:spacing w:after="0" w:line="216" w:lineRule="exact"/>
              <w:rPr>
                <w:sz w:val="20"/>
                <w:szCs w:val="20"/>
                <w:color w:val="auto"/>
              </w:rPr>
            </w:pPr>
            <w:r>
              <w:rPr>
                <w:rFonts w:ascii="Arial" w:cs="Arial" w:eastAsia="Arial" w:hAnsi="Arial"/>
                <w:sz w:val="16"/>
                <w:szCs w:val="16"/>
                <w:color w:val="auto"/>
              </w:rPr>
              <w:t xml:space="preserve">Finance Leases </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2,631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2,631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7"/>
              </w:rPr>
              <w:t>Bank term loans principal and interest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462,534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22,498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44,152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350,780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3,195</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3,195</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513,361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35,707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56,729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367,094</w:t>
            </w: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an insignificant amount of short-term lease obligations.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fair value mark-up of lease obligation as a result of Xcerra acquisition.</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12, “Guarantees” in Part IV, Item 15(a) of this Form 10-K.</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time-to-time, we enter into commitments with our vendors and outsourcing partners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Off-Balance Sheet Arrangements. </w:t>
      </w:r>
      <w:r>
        <w:rPr>
          <w:rFonts w:ascii="Arial" w:cs="Arial" w:eastAsia="Arial" w:hAnsi="Arial"/>
          <w:sz w:val="16"/>
          <w:szCs w:val="16"/>
          <w:color w:val="auto"/>
        </w:rPr>
        <w:t>During the ordinary course of business, we provide standby letters of credit instruments to certain parties as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2019, $1.1 million was outstanding under standby letters of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December 28, 2019, our investment portfolio included short-term, fixed-income investment securities with a fair value of approximately $0.9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28, 2019, we had no investments with loss positions.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long-term debt is carried at amortized cost and fluctuations in interest rates do not impact our consolidated financial statements. However, the fair value of our debt will generally fluctuate with movements of interest rates, increasing in periods of declining rates of interest and declining in periods of increasing rates of interest. As of December 28, 2019, we have approximately $343.0 million of long-term debt due under a credit facility that is subject to quarterly interest payments that are based on either a base rate plus a margin of up to 2.0% per annum, or the London Interbank Offered Rate (LIBOR) plus a margin of up to 3.0% per annum. The selection of the interest rate formula is at our discretion. The interest rate otherwise payable under the credit facility will be subject to increase by 2.0% per annum during the continuance of a payment default and may be subject to increase by 2.0% per annum with respect to the overdue principal amount of any loans outstanding and overdue interest payments and other overdue fees and amounts. At December 28, 2019, the interest rate in effect on these borrowings was 5.20%.</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July 2017, the UK’s Financial Conduct Authority, which regulates the LIBOR, announced that it intends to phase out LIBOR by the end of 2021. After 2021, it is unclear whether banks will continue to provide LIBOR submissions to the administrator of LIBOR, and no consensus currently exists as to what benchmark rate or rates may become accepted alternatives to LIBOR. In the United States, efforts to identify a set of alternative U.S. dollar reference interest rates include proposals by the Alternative Reference Rates Committee that has been convened by the Federal Reserve Board and the Federal Reserve Bank of New York. We cannot currently predict the effect of the discontinuation of, or other changes to, LIBOR or any establishment of alternative reference rates in the United States, the European Union or elsewhere in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Our Term B Loan facility constitutes our most significant exposure to this transition and there is no guarantee that a shift from LIBOR to a new reference rate will not result in increases to our borrowing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income. As a result of fluctuations in certain foreign currency exchange rates in relation to the U.S. Dollar as of December 28, 2019 compared to December 29, 2018, our stockholders’ equity decreased by $7.5 million as a result of the foreign currency translation.</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Based upon the current levels of net foreign assets, a hypothetical 10% devaluation of the U.S. dollar as compared to these currencies as of December 28, 2019 would result in an approximate $41.3 million positive translation adjustment recorded in other comprehensive income within stockholders’ equity. Conversely, a hypothetical 10% appreciation of the U.S. dollar as compared to these currencies as of December 28, 2019 would result in an approximate $41.3 million negative translation adjustment recorded in other comprehensive income within stockholders’ equity.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28, 2019, the end of the period covered by this annual report.</w:t>
      </w:r>
    </w:p>
    <w:p>
      <w:pPr>
        <w:spacing w:after="0" w:line="18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was no change in our internal control over financial reporting (as defined in Rules 13a-15(f) and 15d-15(f) under the Exchange Act) during the three months ended December 28, 2019, that has materially affected, or is reasonably likely to materially affect, our internal control over financial reporting.</w:t>
      </w:r>
    </w:p>
    <w:p>
      <w:pPr>
        <w:spacing w:after="0" w:line="17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Management’s Annual Report on Internal Control Over Financial Reporting - </w:t>
      </w:r>
      <w:r>
        <w:rPr>
          <w:rFonts w:ascii="Arial" w:cs="Arial" w:eastAsia="Arial" w:hAnsi="Arial"/>
          <w:sz w:val="16"/>
          <w:szCs w:val="16"/>
          <w:color w:val="auto"/>
        </w:rPr>
        <w:t>Our management is responsible for establishing and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Based on our evaluation under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our management concluded that our internal control over financial reporting was effective as of December 28, 2019.</w:t>
      </w:r>
    </w:p>
    <w:p>
      <w:pPr>
        <w:spacing w:after="0" w:line="16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28, 2019, as stated in their report which is included herein.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Cohu, Inc.’s internal control over financial reporting as of December 28, 2019, based on criteria established in Internal Control— Integrated Framework issued by the Committee of Sponsoring Organizations of the Treadway Commission (2013 framework) (the COSO criteria). In our opinion, Cohu, Inc. (the Company) maintained, in all material respects, effective internal control over financial reporting as of December 28, 2019, based on the COSO criteria.</w:t>
      </w:r>
    </w:p>
    <w:p>
      <w:pPr>
        <w:spacing w:after="0" w:line="18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28, 2019 and December 29, 2018, and the related consolidated statements of operations, comprehensive income (loss), stockholders’ equity, and cash flows for each of the three years in the period ended December 28, 2019, and the related notes and the financial statement schedule listed in the Index at Item 15(a) and our report dated March 10, 2020,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10,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the Company’s definitive proxy statement, which will be filed with the Securities and Exchange Commission (SEC) within 120 days after the close of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ind w:left="660" w:firstLine="324"/>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41:</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Form 10-K</w:t>
            </w:r>
          </w:p>
        </w:tc>
      </w:tr>
      <w:tr>
        <w:trPr>
          <w:trHeight w:val="190"/>
        </w:trPr>
        <w:tc>
          <w:tcPr>
            <w:tcW w:w="640" w:type="dxa"/>
            <w:vAlign w:val="bottom"/>
          </w:tcPr>
          <w:p>
            <w:pPr>
              <w:spacing w:after="0"/>
              <w:rPr>
                <w:sz w:val="16"/>
                <w:szCs w:val="16"/>
                <w:color w:val="auto"/>
              </w:rPr>
            </w:pPr>
          </w:p>
        </w:tc>
        <w:tc>
          <w:tcPr>
            <w:tcW w:w="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Description</w:t>
            </w:r>
          </w:p>
        </w:tc>
        <w:tc>
          <w:tcPr>
            <w:tcW w:w="8260" w:type="dxa"/>
            <w:vAlign w:val="bottom"/>
            <w:gridSpan w:val="9"/>
          </w:tcPr>
          <w:p>
            <w:pPr>
              <w:spacing w:after="0"/>
              <w:rPr>
                <w:sz w:val="16"/>
                <w:szCs w:val="16"/>
                <w:color w:val="auto"/>
              </w:rPr>
            </w:pPr>
          </w:p>
        </w:tc>
        <w:tc>
          <w:tcPr>
            <w:tcW w:w="10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Page Number</w:t>
            </w:r>
          </w:p>
        </w:tc>
      </w:tr>
      <w:tr>
        <w:trPr>
          <w:trHeight w:val="412"/>
        </w:trPr>
        <w:tc>
          <w:tcPr>
            <w:tcW w:w="64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Balance Sheets at December 28, 2019 and December 29, 2018</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0"/>
        </w:trPr>
        <w:tc>
          <w:tcPr>
            <w:tcW w:w="6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6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Operations for each of the three years in the period ended December 28, 2019</w:t>
              </w:r>
            </w:hyperlink>
          </w:p>
        </w:tc>
        <w:tc>
          <w:tcPr>
            <w:tcW w:w="148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412"/>
        </w:trPr>
        <w:tc>
          <w:tcPr>
            <w:tcW w:w="64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Consolidated Statements of Comprehensive Income (Loss) for each of the three years in the period ended December 28, 2019</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412"/>
        </w:trPr>
        <w:tc>
          <w:tcPr>
            <w:tcW w:w="640" w:type="dxa"/>
            <w:vAlign w:val="bottom"/>
          </w:tcPr>
          <w:p>
            <w:pPr>
              <w:spacing w:after="0"/>
              <w:rPr>
                <w:sz w:val="24"/>
                <w:szCs w:val="24"/>
                <w:color w:val="auto"/>
              </w:rPr>
            </w:pPr>
          </w:p>
        </w:tc>
        <w:tc>
          <w:tcPr>
            <w:tcW w:w="8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Consolidated Statements of Stockholders’ Equity for each of the three years in the period ended December 28, 2019</w:t>
              </w:r>
            </w:hyperlink>
          </w:p>
        </w:tc>
        <w:tc>
          <w:tcPr>
            <w:tcW w:w="6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640" w:type="dxa"/>
            <w:vAlign w:val="bottom"/>
          </w:tcPr>
          <w:p>
            <w:pPr>
              <w:spacing w:after="0"/>
              <w:rPr>
                <w:sz w:val="24"/>
                <w:szCs w:val="24"/>
                <w:color w:val="auto"/>
              </w:rPr>
            </w:pPr>
          </w:p>
        </w:tc>
        <w:tc>
          <w:tcPr>
            <w:tcW w:w="76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Cash Flows for each of the three years in the period ended December 28, 2019</w:t>
              </w:r>
            </w:hyperlink>
          </w:p>
        </w:tc>
        <w:tc>
          <w:tcPr>
            <w:tcW w:w="142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12"/>
        </w:trPr>
        <w:tc>
          <w:tcPr>
            <w:tcW w:w="64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Notes to Consolidated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0"/>
        </w:trPr>
        <w:tc>
          <w:tcPr>
            <w:tcW w:w="6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Report of Independent Registered Public Accounting Firm</w:t>
              </w:r>
            </w:hyperlink>
          </w:p>
        </w:tc>
        <w:tc>
          <w:tcPr>
            <w:tcW w:w="4880" w:type="dxa"/>
            <w:vAlign w:val="bottom"/>
            <w:gridSpan w:val="6"/>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480"/>
        </w:trPr>
        <w:tc>
          <w:tcPr>
            <w:tcW w:w="9740" w:type="dxa"/>
            <w:vAlign w:val="bottom"/>
            <w:gridSpan w:val="11"/>
          </w:tcPr>
          <w:p>
            <w:pPr>
              <w:spacing w:after="0"/>
              <w:rPr>
                <w:sz w:val="20"/>
                <w:szCs w:val="20"/>
                <w:color w:val="auto"/>
              </w:rPr>
            </w:pPr>
            <w:r>
              <w:rPr>
                <w:rFonts w:ascii="Arial" w:cs="Arial" w:eastAsia="Arial" w:hAnsi="Arial"/>
                <w:sz w:val="18"/>
                <w:szCs w:val="18"/>
                <w:color w:val="auto"/>
              </w:rPr>
              <w:t>(2)  Financial Statement Schedule</w:t>
            </w:r>
          </w:p>
        </w:tc>
        <w:tc>
          <w:tcPr>
            <w:tcW w:w="1000" w:type="dxa"/>
            <w:vAlign w:val="bottom"/>
          </w:tcPr>
          <w:p>
            <w:pPr>
              <w:spacing w:after="0"/>
              <w:rPr>
                <w:sz w:val="24"/>
                <w:szCs w:val="24"/>
                <w:color w:val="auto"/>
              </w:rPr>
            </w:pPr>
          </w:p>
        </w:tc>
      </w:tr>
      <w:tr>
        <w:trPr>
          <w:trHeight w:val="445"/>
        </w:trPr>
        <w:tc>
          <w:tcPr>
            <w:tcW w:w="64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Schedule II – Valuation and Qualifying Accounts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83</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40" w:firstLine="324"/>
        <w:spacing w:after="0" w:line="263" w:lineRule="auto"/>
        <w:rPr>
          <w:sz w:val="20"/>
          <w:szCs w:val="20"/>
          <w:color w:val="auto"/>
        </w:rPr>
      </w:pPr>
      <w:r>
        <w:rPr>
          <w:rFonts w:ascii="Arial" w:cs="Arial" w:eastAsia="Arial" w:hAnsi="Arial"/>
          <w:sz w:val="18"/>
          <w:szCs w:val="18"/>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(in thousands, except par value)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December 29,</w:t>
            </w:r>
          </w:p>
        </w:tc>
      </w:tr>
      <w:tr>
        <w:trPr>
          <w:trHeight w:val="230"/>
        </w:trPr>
        <w:tc>
          <w:tcPr>
            <w:tcW w:w="7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164,460</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149,276</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139,314</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26,206</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1,682</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 (Note 13)</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18"/>
                <w:szCs w:val="18"/>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485,239</w:t>
            </w:r>
          </w:p>
        </w:tc>
      </w:t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74,332</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238,669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242,127</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318,961</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13,264</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Noncurrent assets of discontinued operations (Note 13)</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r>
      <w:tr>
        <w:trPr>
          <w:trHeight w:val="249"/>
        </w:trPr>
        <w:tc>
          <w:tcPr>
            <w:tcW w:w="78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1,077,710</w:t>
            </w:r>
          </w:p>
        </w:tc>
        <w:tc>
          <w:tcPr>
            <w:tcW w:w="1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1,134,002</w:t>
            </w:r>
          </w:p>
        </w:tc>
      </w:tr>
      <w:tr>
        <w:trPr>
          <w:trHeight w:val="197"/>
        </w:trPr>
        <w:tc>
          <w:tcPr>
            <w:tcW w:w="78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3,115</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3,672</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48,117</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29,402</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warranty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7,769</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Deferred profit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6,896</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11,055</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50,045</w:t>
            </w:r>
          </w:p>
        </w:tc>
      </w:tr>
      <w:tr>
        <w:trPr>
          <w:trHeight w:val="216"/>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13)</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160,589</w:t>
            </w:r>
          </w:p>
        </w:tc>
      </w:tr>
      <w:tr>
        <w:trPr>
          <w:trHeight w:val="216"/>
        </w:trPr>
        <w:tc>
          <w:tcPr>
            <w:tcW w:w="7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346,041</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38,942</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Accrued retirement benefits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19,740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Noncurrent deferred gain on sale of facility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8,776</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9,711</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4,259</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 (Note 13)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Preferred stock, $1 par value; 1,000 shares authorized, none issued</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7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$1 par value; 60,000 shares authorized, 41,395 shares issued and outstanding in 2019</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40,763 shares in 2018</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40,763</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419,690</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111,670</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(34,030)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(25,880)</w:t>
            </w:r>
          </w:p>
        </w:tc>
      </w:tr>
      <w:tr>
        <w:trPr>
          <w:trHeight w:val="210"/>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Cohu 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546,243</w:t>
            </w: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r>
      <w:tr>
        <w:trPr>
          <w:trHeight w:val="210"/>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545,944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1,077,710</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1,134,002</w:t>
            </w:r>
          </w:p>
        </w:tc>
      </w:tr>
      <w:tr>
        <w:trPr>
          <w:trHeight w:val="20"/>
        </w:trPr>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54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Years ended</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400"/>
              <w:spacing w:after="0" w:line="195" w:lineRule="exact"/>
              <w:rPr>
                <w:sz w:val="20"/>
                <w:szCs w:val="20"/>
                <w:color w:val="auto"/>
              </w:rPr>
            </w:pPr>
            <w:r>
              <w:rPr>
                <w:rFonts w:ascii="Arial" w:cs="Arial" w:eastAsia="Arial" w:hAnsi="Arial"/>
                <w:sz w:val="18"/>
                <w:szCs w:val="18"/>
                <w:color w:val="auto"/>
                <w:w w:val="95"/>
              </w:rPr>
              <w:t>December 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w w:val="95"/>
              </w:rPr>
              <w:t>December 29,</w:t>
            </w:r>
          </w:p>
        </w:tc>
        <w:tc>
          <w:tcPr>
            <w:tcW w:w="180" w:type="dxa"/>
            <w:vAlign w:val="bottom"/>
          </w:tcPr>
          <w:p>
            <w:pPr>
              <w:spacing w:after="0"/>
              <w:rPr>
                <w:sz w:val="16"/>
                <w:szCs w:val="16"/>
                <w:color w:val="auto"/>
              </w:rPr>
            </w:pPr>
          </w:p>
        </w:tc>
        <w:tc>
          <w:tcPr>
            <w:tcW w:w="140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7"/>
              </w:rPr>
              <w:t>December 30,</w:t>
            </w:r>
          </w:p>
        </w:tc>
        <w:tc>
          <w:tcPr>
            <w:tcW w:w="120" w:type="dxa"/>
            <w:vAlign w:val="bottom"/>
          </w:tcPr>
          <w:p>
            <w:pPr>
              <w:spacing w:after="0"/>
              <w:rPr>
                <w:sz w:val="16"/>
                <w:szCs w:val="16"/>
                <w:color w:val="auto"/>
              </w:rPr>
            </w:pPr>
          </w:p>
        </w:tc>
      </w:tr>
      <w:tr>
        <w:trPr>
          <w:trHeight w:val="230"/>
        </w:trPr>
        <w:tc>
          <w:tcPr>
            <w:tcW w:w="6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583,329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451,768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352,704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Cost and expenses: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292,460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209,297</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86,147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56,434</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40,737</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96,754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60,737</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39,590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17,197</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4,208</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(Note 5)</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481,549</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314,979</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(29,781)</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37,725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(4,977)</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1,187</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transaction gain (loss) and other</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(2,977)</w:t>
            </w:r>
          </w:p>
        </w:tc>
      </w:tr>
      <w:tr>
        <w:trPr>
          <w:trHeight w:val="20"/>
        </w:trPr>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(72,077)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(31,912)</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35,365</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2,244</w:t>
            </w:r>
          </w:p>
        </w:tc>
      </w:tr>
      <w:tr>
        <w:trPr>
          <w:trHeight w:val="20"/>
        </w:trPr>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(68,995)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(32,543)</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33,121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0"/>
        </w:trPr>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(69,692)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(32,424)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32,843</w:t>
            </w:r>
          </w:p>
        </w:tc>
      </w:tr>
      <w:tr>
        <w:trPr>
          <w:trHeight w:val="20"/>
        </w:trPr>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(69,700)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(32,181)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32,843</w:t>
            </w:r>
          </w:p>
        </w:tc>
      </w:tr>
      <w:tr>
        <w:trPr>
          <w:trHeight w:val="20"/>
        </w:trPr>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Income (loss) per share:</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w w:val="99"/>
              </w:rPr>
              <w:t>Income (loss) from continuing operations before non-controlling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197"/>
        </w:trPr>
        <w:tc>
          <w:tcPr>
            <w:tcW w:w="60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w w:val="99"/>
              </w:rPr>
              <w:t>Income (loss) from continuing operations before non-controlling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r>
      <w:tr>
        <w:trPr>
          <w:trHeight w:val="197"/>
        </w:trPr>
        <w:tc>
          <w:tcPr>
            <w:tcW w:w="60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41,159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31,776</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27,836</w:t>
            </w:r>
          </w:p>
        </w:tc>
      </w:tr>
      <w:tr>
        <w:trPr>
          <w:trHeight w:val="20"/>
        </w:trPr>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60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31,776</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28,916</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80" w:right="620" w:hanging="295"/>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amortization of $30,126, $13,586, and $2,689 for the years ended December 28, 2019, December 29, 2018, and December 30,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Years ended</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w w:val="93"/>
              </w:rPr>
              <w:t>December 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8"/>
              </w:rPr>
              <w:t>December 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3"/>
              </w:rPr>
              <w:t>December 30,</w:t>
            </w:r>
          </w:p>
        </w:tc>
        <w:tc>
          <w:tcPr>
            <w:tcW w:w="12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(69,692)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32,843</w:t>
            </w: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Cohu</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32,843</w:t>
            </w:r>
          </w:p>
        </w:tc>
      </w:tr>
      <w:tr>
        <w:trPr>
          <w:trHeight w:val="197"/>
        </w:trPr>
        <w:tc>
          <w:tcPr>
            <w:tcW w:w="62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11,345</w:t>
            </w: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Adjustments related to postretirement benefits</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(1,248)</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unrealized gain/loss on investments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6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(8,093)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10,095</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attributable to noncontrolling interest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Other comprehensive income (loss) attributable to Cohu</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10,095</w:t>
            </w: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(77,842)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(40,517)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42,938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8"/>
                <w:szCs w:val="18"/>
                <w:color w:val="auto"/>
              </w:rPr>
              <w:t>Comprehensive income (loss) attributable to Cohu</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(77,846)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(40,269)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42,938</w:t>
            </w: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Arial" w:cs="Arial" w:eastAsia="Arial" w:hAnsi="Arial"/>
                <w:sz w:val="18"/>
                <w:szCs w:val="18"/>
                <w:color w:val="auto"/>
                <w:w w:val="90"/>
              </w:rPr>
              <w:t>Common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right="270"/>
              <w:spacing w:after="0"/>
              <w:rPr>
                <w:sz w:val="20"/>
                <w:szCs w:val="20"/>
                <w:color w:val="auto"/>
              </w:rPr>
            </w:pPr>
            <w:r>
              <w:rPr>
                <w:rFonts w:ascii="Arial" w:cs="Arial" w:eastAsia="Arial" w:hAnsi="Arial"/>
                <w:sz w:val="18"/>
                <w:szCs w:val="18"/>
                <w:color w:val="auto"/>
                <w:w w:val="87"/>
              </w:rPr>
              <w:t>other</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Arial" w:cs="Arial" w:eastAsia="Arial" w:hAnsi="Arial"/>
                <w:sz w:val="18"/>
                <w:szCs w:val="18"/>
                <w:color w:val="auto"/>
                <w:w w:val="90"/>
              </w:rPr>
              <w:t>stock</w:t>
            </w:r>
          </w:p>
        </w:tc>
        <w:tc>
          <w:tcPr>
            <w:tcW w:w="24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Paid-in</w:t>
            </w:r>
          </w:p>
        </w:tc>
        <w:tc>
          <w:tcPr>
            <w:tcW w:w="22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w w:val="91"/>
              </w:rPr>
              <w:t>Retained</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Noncontrolling</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$1 par value</w:t>
            </w:r>
          </w:p>
        </w:tc>
        <w:tc>
          <w:tcPr>
            <w:tcW w:w="2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w w:val="92"/>
              </w:rPr>
              <w:t>earnings</w:t>
            </w:r>
          </w:p>
        </w:tc>
        <w:tc>
          <w:tcPr>
            <w:tcW w:w="300" w:type="dxa"/>
            <w:vAlign w:val="bottom"/>
          </w:tcPr>
          <w:p>
            <w:pPr>
              <w:spacing w:after="0"/>
              <w:rPr>
                <w:sz w:val="20"/>
                <w:szCs w:val="20"/>
                <w:color w:val="auto"/>
              </w:rPr>
            </w:pPr>
          </w:p>
        </w:tc>
        <w:tc>
          <w:tcPr>
            <w:tcW w:w="1000" w:type="dxa"/>
            <w:vAlign w:val="bottom"/>
          </w:tcPr>
          <w:p>
            <w:pPr>
              <w:jc w:val="center"/>
              <w:ind w:right="270"/>
              <w:spacing w:after="0"/>
              <w:rPr>
                <w:sz w:val="20"/>
                <w:szCs w:val="20"/>
                <w:color w:val="auto"/>
              </w:rPr>
            </w:pPr>
            <w:r>
              <w:rPr>
                <w:rFonts w:ascii="Arial" w:cs="Arial" w:eastAsia="Arial" w:hAnsi="Arial"/>
                <w:sz w:val="18"/>
                <w:szCs w:val="18"/>
                <w:color w:val="auto"/>
                <w:w w:val="87"/>
              </w:rPr>
              <w:t>loss</w:t>
            </w:r>
          </w:p>
        </w:tc>
        <w:tc>
          <w:tcPr>
            <w:tcW w:w="2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26,842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111,950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124,559</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(27,882)</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235,469</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32,843</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32,843</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cumulative translation adjustment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11,345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100" w:type="dxa"/>
            <w:vAlign w:val="bottom"/>
            <w:shd w:val="clear" w:color="auto" w:fill="CCEEFF"/>
          </w:tcPr>
          <w:p>
            <w:pPr>
              <w:spacing w:after="0"/>
              <w:rPr>
                <w:sz w:val="18"/>
                <w:szCs w:val="18"/>
                <w:color w:val="auto"/>
              </w:rPr>
            </w:pPr>
          </w:p>
        </w:tc>
      </w:tr>
      <w:tr>
        <w:trPr>
          <w:trHeight w:val="202"/>
        </w:trPr>
        <w:tc>
          <w:tcPr>
            <w:tcW w:w="3860" w:type="dxa"/>
            <w:vAlign w:val="bottom"/>
          </w:tcPr>
          <w:p>
            <w:pPr>
              <w:ind w:left="180"/>
              <w:spacing w:after="0" w:line="201" w:lineRule="exact"/>
              <w:rPr>
                <w:sz w:val="20"/>
                <w:szCs w:val="20"/>
                <w:color w:val="auto"/>
              </w:rPr>
            </w:pPr>
            <w:r>
              <w:rPr>
                <w:rFonts w:ascii="Arial" w:cs="Arial" w:eastAsia="Arial" w:hAnsi="Arial"/>
                <w:sz w:val="18"/>
                <w:szCs w:val="18"/>
                <w:color w:val="auto"/>
                <w:w w:val="98"/>
              </w:rPr>
              <w:t>Adjustments related to postretirement benefits,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60" w:type="dxa"/>
            <w:vAlign w:val="bottom"/>
          </w:tcPr>
          <w:p>
            <w:pPr>
              <w:ind w:left="34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(1,248)</w:t>
            </w: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(1,248)</w:t>
            </w:r>
          </w:p>
        </w:tc>
      </w:tr>
      <w:tr>
        <w:trPr>
          <w:trHeight w:val="202"/>
        </w:trPr>
        <w:tc>
          <w:tcPr>
            <w:tcW w:w="3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Changes in unrealized gains and losses on</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net of tax</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Cash dividends - $0.24 per share</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(6,676)</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(6,676)</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11,617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12,781</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Shares issued under ESPP</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Shares issued for restricted stock units vested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Repurchase and retirement of stock</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(3,456)</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(3,667)</w:t>
            </w:r>
          </w:p>
        </w:tc>
      </w:tr>
      <w:tr>
        <w:trPr>
          <w:trHeight w:val="216"/>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7,007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8"/>
                <w:szCs w:val="18"/>
                <w:color w:val="auto"/>
              </w:rPr>
              <w:t>Balance at December 30, 2017</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28,489</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127,663</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150,726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(17,787)</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289,091</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December 30, 2017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Cumulative effect of accounting change </w:t>
            </w:r>
            <w:r>
              <w:rPr>
                <w:rFonts w:ascii="Arial" w:cs="Arial" w:eastAsia="Arial" w:hAnsi="Arial"/>
                <w:sz w:val="25"/>
                <w:szCs w:val="25"/>
                <w:color w:val="auto"/>
                <w:vertAlign w:val="superscript"/>
              </w:rPr>
              <w:t>(a)</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1,057</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(32,424)</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Changes in cumulative translation adjustment</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(8,905)</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(8,905)</w:t>
            </w:r>
          </w:p>
        </w:tc>
      </w:tr>
      <w:tr>
        <w:trPr>
          <w:trHeight w:val="202"/>
        </w:trPr>
        <w:tc>
          <w:tcPr>
            <w:tcW w:w="3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Adjustments related to postretirement benefits,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r>
      <w:tr>
        <w:trPr>
          <w:trHeight w:val="202"/>
        </w:trPr>
        <w:tc>
          <w:tcPr>
            <w:tcW w:w="3860" w:type="dxa"/>
            <w:vAlign w:val="bottom"/>
          </w:tcPr>
          <w:p>
            <w:pPr>
              <w:ind w:left="180"/>
              <w:spacing w:after="0" w:line="201" w:lineRule="exact"/>
              <w:rPr>
                <w:sz w:val="20"/>
                <w:szCs w:val="20"/>
                <w:color w:val="auto"/>
              </w:rPr>
            </w:pPr>
            <w:r>
              <w:rPr>
                <w:rFonts w:ascii="Arial" w:cs="Arial" w:eastAsia="Arial" w:hAnsi="Arial"/>
                <w:sz w:val="18"/>
                <w:szCs w:val="18"/>
                <w:color w:val="auto"/>
              </w:rPr>
              <w:t>Changes in unrealized gains and losses 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60" w:type="dxa"/>
            <w:vAlign w:val="bottom"/>
          </w:tcPr>
          <w:p>
            <w:pPr>
              <w:ind w:left="340"/>
              <w:spacing w:after="0"/>
              <w:rPr>
                <w:sz w:val="20"/>
                <w:szCs w:val="20"/>
                <w:color w:val="auto"/>
              </w:rPr>
            </w:pPr>
            <w:r>
              <w:rPr>
                <w:rFonts w:ascii="Arial" w:cs="Arial" w:eastAsia="Arial" w:hAnsi="Arial"/>
                <w:sz w:val="18"/>
                <w:szCs w:val="18"/>
                <w:color w:val="auto"/>
              </w:rPr>
              <w:t>investments, net of tax</w:t>
            </w:r>
          </w:p>
        </w:tc>
        <w:tc>
          <w:tcPr>
            <w:tcW w:w="1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 $0.24 per share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(7,689)</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under ESPP</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9"/>
              </w:rPr>
              <w:t>Shares issued for restricted stock units vested</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and retirement of stock</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(11,600)</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18,280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18,280</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Shares issued for acquisition of Xcerra</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11,776</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283,642</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295,418</w:t>
            </w:r>
          </w:p>
        </w:tc>
        <w:tc>
          <w:tcPr>
            <w:tcW w:w="100" w:type="dxa"/>
            <w:vAlign w:val="bottom"/>
          </w:tcPr>
          <w:p>
            <w:pPr>
              <w:spacing w:after="0"/>
              <w:rPr>
                <w:sz w:val="18"/>
                <w:szCs w:val="18"/>
                <w:color w:val="auto"/>
              </w:rPr>
            </w:pP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2018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40,763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419,690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111,670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545,944</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Cumulative effect of accounting change </w:t>
            </w:r>
            <w:r>
              <w:rPr>
                <w:rFonts w:ascii="Arial" w:cs="Arial" w:eastAsia="Arial" w:hAnsi="Arial"/>
                <w:sz w:val="25"/>
                <w:szCs w:val="25"/>
                <w:color w:val="auto"/>
                <w:vertAlign w:val="superscript"/>
              </w:rPr>
              <w:t>(b)</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10,352</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10,352</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(69,692)</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Changes in cumulative translation adjustment</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(7,526)</w:t>
            </w:r>
          </w:p>
        </w:tc>
      </w:tr>
      <w:tr>
        <w:trPr>
          <w:trHeight w:val="202"/>
        </w:trPr>
        <w:tc>
          <w:tcPr>
            <w:tcW w:w="3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Adjustments related to postretirement benefits,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Cash dividends - $0.24 per share</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(9,866)</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(9,866)</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Shares issued under ESPP</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2,159</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Shares issued for restricted stock units vested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Repurchase and retirement of stock</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14,148</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14,148</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 of interest in consolidated entity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0"/>
        </w:trPr>
        <w:tc>
          <w:tcPr>
            <w:tcW w:w="3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28,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41,395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433,190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42,517</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(34,030)</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483,072</w:t>
            </w:r>
          </w:p>
        </w:tc>
        <w:tc>
          <w:tcPr>
            <w:tcW w:w="100" w:type="dxa"/>
            <w:vAlign w:val="bottom"/>
            <w:tcBorders>
              <w:top w:val="single" w:sz="8" w:color="CCEEFF"/>
            </w:tcBorders>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Cumulative effect of accounting change relates to our adoption of ASU 2014-09.</w:t>
      </w:r>
    </w:p>
    <w:p>
      <w:pPr>
        <w:spacing w:after="0" w:line="23" w:lineRule="exact"/>
        <w:rPr>
          <w:rFonts w:ascii="Arial" w:cs="Arial" w:eastAsia="Arial" w:hAnsi="Arial"/>
          <w:sz w:val="18"/>
          <w:szCs w:val="18"/>
          <w:color w:val="auto"/>
        </w:rPr>
      </w:pPr>
    </w:p>
    <w:p>
      <w:pPr>
        <w:ind w:left="340" w:right="220" w:hanging="332"/>
        <w:spacing w:after="0" w:line="26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Cumulative effect of accounting change relates to our adoption of ASU 2016-02. Please refer to Note 1 of the Consolidated Financial Statements for further detail on the adoption of this accounting standard.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Years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December 28,</w:t>
            </w: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December 30,</w:t>
            </w:r>
          </w:p>
        </w:tc>
      </w:tr>
      <w:tr>
        <w:trPr>
          <w:trHeight w:val="230"/>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Net income (loss) attributable to Cohu</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(69,700)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(32,181)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32,843</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from noncontrolling interest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200" w:type="dxa"/>
            <w:vAlign w:val="bottom"/>
          </w:tcPr>
          <w:p>
            <w:pPr>
              <w:ind w:left="180"/>
              <w:spacing w:after="0" w:line="201" w:lineRule="exact"/>
              <w:rPr>
                <w:sz w:val="20"/>
                <w:szCs w:val="20"/>
                <w:color w:val="auto"/>
              </w:rPr>
            </w:pPr>
            <w:r>
              <w:rPr>
                <w:rFonts w:ascii="Arial" w:cs="Arial" w:eastAsia="Arial" w:hAnsi="Arial"/>
                <w:sz w:val="18"/>
                <w:szCs w:val="18"/>
                <w:color w:val="auto"/>
                <w:w w:val="98"/>
              </w:rPr>
              <w:t>Adjustments to reconcile net income (loss) to net cash provided by operating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00" w:type="dxa"/>
            <w:vAlign w:val="bottom"/>
          </w:tcPr>
          <w:p>
            <w:pPr>
              <w:ind w:left="34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impairment and disposal of segments held for sale (Note 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Interest capitalized associated with cloud computing implementation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divestiture of consolidated entity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58,871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26,047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9,195</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 including restructuring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Amortization of inventory step-up and inventory related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8,347</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Accrued retiree benefits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(3,791)</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Adjustment to contingent consideration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(Gain) loss on disposal of fixed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accrued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r>
      <w:tr>
        <w:trPr>
          <w:trHeight w:val="202"/>
        </w:trPr>
        <w:tc>
          <w:tcPr>
            <w:tcW w:w="6200" w:type="dxa"/>
            <w:vAlign w:val="bottom"/>
          </w:tcPr>
          <w:p>
            <w:pPr>
              <w:ind w:left="340"/>
              <w:spacing w:after="0" w:line="201" w:lineRule="exact"/>
              <w:rPr>
                <w:sz w:val="20"/>
                <w:szCs w:val="20"/>
                <w:color w:val="auto"/>
              </w:rPr>
            </w:pPr>
            <w:r>
              <w:rPr>
                <w:rFonts w:ascii="Arial" w:cs="Arial" w:eastAsia="Arial" w:hAnsi="Arial"/>
                <w:sz w:val="18"/>
                <w:szCs w:val="18"/>
                <w:color w:val="auto"/>
                <w:w w:val="91"/>
              </w:rPr>
              <w:t>Changes in current assets and liabilities, excluding effects from acquisitions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divestitures: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21,150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(3,259)</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(12,196)</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compensation, warranty and other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4,157</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profit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(5,996)</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w:t>
            </w: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7,159</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Current and long-term operating lease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(6,083)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0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17,269</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34,437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39,750</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investing activities, excluding effects from acquisitions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(6,093)</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from sale of land, facility and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(38,700)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(37,010)</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purchase of Xcerra, net of cash received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(339,115)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Sales and maturities of 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59,469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47,671</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purchase of Kita, net of cash received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(11,716)</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20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(16,548)</w:t>
            </w:r>
          </w:p>
        </w:tc>
        <w:tc>
          <w:tcPr>
            <w:tcW w:w="1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(322,308)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(7,044)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(9,827)</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(6,949)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(6,577)</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construction loan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(3,817)</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(1,631)</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Issuance (repurchases) of common stock, net including awards settled in cash</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Proceeds from Term B Loan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348,250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322,105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3,390</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164,921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134,286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96,045</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155,930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134,286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held by discontinued operations (Note 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 from continuing operations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155,194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134,286</w:t>
            </w:r>
          </w:p>
        </w:tc>
      </w:tr>
      <w:tr>
        <w:trPr>
          <w:trHeight w:val="196"/>
        </w:trPr>
        <w:tc>
          <w:tcPr>
            <w:tcW w:w="62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 income taxes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7,094</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14,846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4,977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declared but not yet paid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Property, plant and equipment purchases included in accounts payable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599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capitalized as capital assets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340" w:right="280"/>
        <w:spacing w:after="0" w:line="303"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“us” and the “Company”), through our wholly owned subsidiaries, is a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semiconductor test equipment and services. Our Consolidated Financial Statements include the accounts of Cohu and our wholly owned subsidiaries and variable interest entities (“VIEs”) for which we are the primary beneficiary. All intercompany balances and transactions have been eliminated in consolidation. We evaluate the need to consolidate affiliates based on standards set forth in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w:t>
      </w:r>
    </w:p>
    <w:p>
      <w:pPr>
        <w:spacing w:after="0" w:line="155" w:lineRule="exact"/>
        <w:rPr>
          <w:sz w:val="20"/>
          <w:szCs w:val="20"/>
          <w:color w:val="auto"/>
        </w:rPr>
      </w:pPr>
    </w:p>
    <w:p>
      <w:pPr>
        <w:ind w:left="340" w:right="100"/>
        <w:spacing w:after="0" w:line="286" w:lineRule="auto"/>
        <w:rPr>
          <w:sz w:val="20"/>
          <w:szCs w:val="20"/>
          <w:color w:val="auto"/>
        </w:rPr>
      </w:pPr>
      <w:r>
        <w:rPr>
          <w:rFonts w:ascii="Arial" w:cs="Arial" w:eastAsia="Arial" w:hAnsi="Arial"/>
          <w:sz w:val="17"/>
          <w:szCs w:val="17"/>
          <w:color w:val="auto"/>
        </w:rPr>
        <w:t>On December 28, 2019, we divested our entire 20% interest in ALBS Solutions Sdn Bhd (“ALBS”), our only consolidated VIE. As a result of the divestment, we determined that we no longer had a controlling interest in ALBS and we no longer consolidate ALBS as of that date. Divestment of our ownership interest resulted in a gain of $0.1 million which is included in restructuring charges for the year ended December 28, 2019.</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consolidated transactions and balances have been eliminated in consolidation.</w:t>
      </w:r>
    </w:p>
    <w:p>
      <w:pPr>
        <w:spacing w:after="0" w:line="225" w:lineRule="exact"/>
        <w:rPr>
          <w:sz w:val="20"/>
          <w:szCs w:val="20"/>
          <w:color w:val="auto"/>
        </w:rPr>
      </w:pPr>
    </w:p>
    <w:p>
      <w:pPr>
        <w:ind w:left="340" w:right="220"/>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84" w:lineRule="exact"/>
        <w:rPr>
          <w:sz w:val="20"/>
          <w:szCs w:val="20"/>
          <w:color w:val="auto"/>
        </w:rPr>
      </w:pPr>
    </w:p>
    <w:p>
      <w:pPr>
        <w:ind w:left="340" w:right="180"/>
        <w:spacing w:after="0" w:line="342" w:lineRule="auto"/>
        <w:rPr>
          <w:sz w:val="20"/>
          <w:szCs w:val="20"/>
          <w:color w:val="auto"/>
        </w:rPr>
      </w:pPr>
      <w:r>
        <w:rPr>
          <w:rFonts w:ascii="Arial" w:cs="Arial" w:eastAsia="Arial" w:hAnsi="Arial"/>
          <w:sz w:val="16"/>
          <w:szCs w:val="16"/>
          <w:color w:val="auto"/>
        </w:rPr>
        <w:t>Our fiscal years are based on a 52- or 53-week period ending on the last Saturday in December. Our current fiscal year, which ended on December 28, 2019, consisted of 52 weeks. Our fiscal years ended on December 29, 2018, and December 30, 2017, each consisted of 52 weeks.</w:t>
      </w:r>
    </w:p>
    <w:p>
      <w:pPr>
        <w:spacing w:after="0" w:line="120" w:lineRule="exact"/>
        <w:rPr>
          <w:sz w:val="20"/>
          <w:szCs w:val="20"/>
          <w:color w:val="auto"/>
        </w:rPr>
      </w:pPr>
    </w:p>
    <w:p>
      <w:pPr>
        <w:ind w:left="340" w:right="140"/>
        <w:spacing w:after="0" w:line="282" w:lineRule="auto"/>
        <w:rPr>
          <w:sz w:val="20"/>
          <w:szCs w:val="20"/>
          <w:color w:val="auto"/>
        </w:rPr>
      </w:pPr>
      <w:r>
        <w:rPr>
          <w:rFonts w:ascii="Arial" w:cs="Arial" w:eastAsia="Arial" w:hAnsi="Arial"/>
          <w:sz w:val="18"/>
          <w:szCs w:val="18"/>
          <w:b w:val="1"/>
          <w:bCs w:val="1"/>
          <w:color w:val="auto"/>
        </w:rPr>
        <w:t xml:space="preserve">Principles of Consolidation for Variable Interest Entities </w:t>
      </w:r>
      <w:r>
        <w:rPr>
          <w:rFonts w:ascii="Arial" w:cs="Arial" w:eastAsia="Arial" w:hAnsi="Arial"/>
          <w:sz w:val="18"/>
          <w:szCs w:val="18"/>
          <w:color w:val="auto"/>
        </w:rPr>
        <w:t>– Prior to the divestment of our ownership interest in ALBS we followed ASC Topic 810-10-15 guidance with respect to accounting for VIEs and as of December 28, 2019, we consolidated one VIE, ALBS.</w:t>
      </w:r>
    </w:p>
    <w:p>
      <w:pPr>
        <w:spacing w:after="0" w:line="162" w:lineRule="exact"/>
        <w:rPr>
          <w:sz w:val="20"/>
          <w:szCs w:val="20"/>
          <w:color w:val="auto"/>
        </w:rPr>
      </w:pPr>
    </w:p>
    <w:p>
      <w:pPr>
        <w:ind w:left="340" w:right="120"/>
        <w:spacing w:after="0" w:line="281"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Management determined that the fixtures services business, that was acquired as part of Xcerra, did not align with Cohu’s</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strategic plan and divested this portion of the business in February 2020. As a result, the assets of our fixtures business are considered “held for sale” and the operations of our fixtures business are considered “discontinued operations” as of December 28, 2019. See Note 13, “Discontinued Operations” for additional information. Unless otherwise indicated, all amounts herein relate to continuing operations.</w:t>
      </w:r>
    </w:p>
    <w:p>
      <w:pPr>
        <w:spacing w:after="0" w:line="165" w:lineRule="exact"/>
        <w:rPr>
          <w:sz w:val="20"/>
          <w:szCs w:val="20"/>
          <w:color w:val="auto"/>
        </w:rPr>
      </w:pPr>
    </w:p>
    <w:p>
      <w:pPr>
        <w:ind w:left="340" w:right="100"/>
        <w:spacing w:after="0" w:line="292" w:lineRule="auto"/>
        <w:rPr>
          <w:sz w:val="20"/>
          <w:szCs w:val="20"/>
          <w:color w:val="auto"/>
        </w:rPr>
      </w:pPr>
      <w:r>
        <w:rPr>
          <w:rFonts w:ascii="Arial" w:cs="Arial" w:eastAsia="Arial" w:hAnsi="Arial"/>
          <w:sz w:val="16"/>
          <w:szCs w:val="16"/>
          <w:b w:val="1"/>
          <w:bCs w:val="1"/>
          <w:color w:val="auto"/>
        </w:rPr>
        <w:t xml:space="preserve">Income (Loss) Per Share </w:t>
      </w:r>
      <w:r>
        <w:rPr>
          <w:rFonts w:ascii="Arial" w:cs="Arial" w:eastAsia="Arial" w:hAnsi="Arial"/>
          <w:sz w:val="16"/>
          <w:szCs w:val="16"/>
          <w:color w:val="auto"/>
        </w:rPr>
        <w:t>– Basic income (loss) per common share is computed by dividing net income (loss) by the weighted-average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years ended December 28, 2019, December 29, 2018 and December 30, 2017, approximately 422,000, 146,000 and 77,000 shares, respectively, of our common stock were excluded from the computation.</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w w:val="94"/>
              </w:rPr>
              <w:t>The following table reconciles the denominators used in computing basic and diluted income (loss) per share: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2019</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2018</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09"/>
        </w:trPr>
        <w:tc>
          <w:tcPr>
            <w:tcW w:w="3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41,159</w:t>
            </w:r>
          </w:p>
        </w:tc>
        <w:tc>
          <w:tcPr>
            <w:tcW w:w="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31,776</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27,836</w:t>
            </w:r>
          </w:p>
        </w:tc>
      </w:tr>
      <w:tr>
        <w:trPr>
          <w:trHeight w:val="216"/>
        </w:trPr>
        <w:tc>
          <w:tcPr>
            <w:tcW w:w="3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r>
      <w:tr>
        <w:trPr>
          <w:trHeight w:val="20"/>
        </w:trPr>
        <w:tc>
          <w:tcPr>
            <w:tcW w:w="3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0" w:type="dxa"/>
            <w:vAlign w:val="bottom"/>
          </w:tcPr>
          <w:p>
            <w:pPr>
              <w:spacing w:after="0"/>
              <w:rPr>
                <w:sz w:val="19"/>
                <w:szCs w:val="19"/>
                <w:color w:val="auto"/>
              </w:rPr>
            </w:pPr>
          </w:p>
        </w:tc>
        <w:tc>
          <w:tcPr>
            <w:tcW w:w="5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31,776</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28,916</w:t>
            </w:r>
          </w:p>
        </w:tc>
      </w:tr>
      <w:tr>
        <w:trPr>
          <w:trHeight w:val="20"/>
        </w:trPr>
        <w:tc>
          <w:tcPr>
            <w:tcW w:w="3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72" w:lineRule="exact"/>
        <w:rPr>
          <w:sz w:val="20"/>
          <w:szCs w:val="20"/>
          <w:color w:val="auto"/>
        </w:rPr>
      </w:pPr>
    </w:p>
    <w:p>
      <w:pPr>
        <w:ind w:left="340" w:right="120"/>
        <w:spacing w:after="0" w:line="312"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The carrying amounts of our financial instruments, including cash and cash equivalents,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payable and accrued expenses, approximate fair value due to the short maturities of these financial instruments.</w:t>
      </w:r>
    </w:p>
    <w:p>
      <w:pPr>
        <w:spacing w:after="0" w:line="140" w:lineRule="exact"/>
        <w:rPr>
          <w:sz w:val="20"/>
          <w:szCs w:val="20"/>
          <w:color w:val="auto"/>
        </w:rPr>
      </w:pPr>
    </w:p>
    <w:p>
      <w:pPr>
        <w:ind w:left="340" w:right="420"/>
        <w:spacing w:after="0" w:line="26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investments and trade accounts receivable. We invest in a variety of financial instruments and, by policy, limit the amount of credit exposure with any one issuer.</w:t>
      </w:r>
    </w:p>
    <w:p>
      <w:pPr>
        <w:spacing w:after="0" w:line="180" w:lineRule="exact"/>
        <w:rPr>
          <w:sz w:val="20"/>
          <w:szCs w:val="20"/>
          <w:color w:val="auto"/>
        </w:rPr>
      </w:pPr>
    </w:p>
    <w:p>
      <w:pPr>
        <w:ind w:left="340" w:right="120"/>
        <w:spacing w:after="0" w:line="257" w:lineRule="auto"/>
        <w:rPr>
          <w:sz w:val="20"/>
          <w:szCs w:val="20"/>
          <w:color w:val="auto"/>
        </w:rPr>
      </w:pPr>
      <w:r>
        <w:rPr>
          <w:rFonts w:ascii="Arial" w:cs="Arial" w:eastAsia="Arial" w:hAnsi="Arial"/>
          <w:sz w:val="18"/>
          <w:szCs w:val="18"/>
          <w:color w:val="auto"/>
        </w:rPr>
        <w:t>Trade accounts receivable are presented net of allowance for doubtful accounts, which were insignificant at December 28, 2019 and December 29, 2018. Our customers primarily include semiconductor manufacturers and semiconductor test subcontractors located throughout many areas of the world. While we believe that our allowance for doubtful accounts is adequate and represents our best estimate of potential loss exposure at December 28, 2019, we will continue to monitor customer liquidity and other economic conditions, which may result in changes to our estimates regarding collectability.</w:t>
      </w:r>
    </w:p>
    <w:p>
      <w:pPr>
        <w:spacing w:after="0" w:line="184"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 Inventories are stated at the lower of cost, determined on a first-in, first-out basis, or net realizable value. Cost includes labor,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totaled $4.8 million in 2019. Included in this amount is $0.7 million of inventory charges related to the decision to end manufacturing of certain of Xcerra’s semiconductor test handler products. Charges to cost of sales for excess and obsolete inventories totaled $10.8 million in 2018. Included in this amount is $9.4 million of inventory charges related to the decision to end manufacturing of certain of Xcerra’s semiconductor test handler products. In 2017 we recorded charges of $1.1 million.</w:t>
      </w:r>
    </w:p>
    <w:p>
      <w:pPr>
        <w:sectPr>
          <w:pgSz w:w="11900" w:h="16838" w:orient="portrait"/>
          <w:cols w:equalWidth="0" w:num="1">
            <w:col w:w="11220"/>
          </w:cols>
          <w:pgMar w:left="320" w:top="125" w:right="359" w:bottom="1440" w:gutter="0" w:footer="0" w:header="0"/>
        </w:sectPr>
      </w:pP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Inventories by category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122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41223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Finished goods</w:t>
      </w:r>
    </w:p>
    <w:p>
      <w:pPr>
        <w:spacing w:after="0" w:line="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December 28,</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December 29,</w:t>
            </w:r>
          </w:p>
        </w:tc>
      </w:tr>
      <w:tr>
        <w:trPr>
          <w:trHeight w:val="230"/>
        </w:trPr>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r>
      <w:tr>
        <w:trPr>
          <w:trHeight w:val="195"/>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69,665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60,112</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46,591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57,953</w:t>
            </w:r>
          </w:p>
        </w:tc>
      </w:tr>
      <w:tr>
        <w:trPr>
          <w:trHeight w:val="230"/>
        </w:trPr>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14,450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21,249</w:t>
            </w:r>
          </w:p>
        </w:tc>
      </w:tr>
      <w:tr>
        <w:trPr>
          <w:trHeight w:val="210"/>
        </w:trPr>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130,706</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139,314</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720" w:space="720"/>
            <w:col w:w="3780"/>
          </w:cols>
          <w:pgMar w:left="320" w:top="125" w:right="359" w:bottom="1440" w:gutter="0" w:footer="0" w:header="0"/>
          <w:type w:val="continuous"/>
        </w:sectPr>
      </w:pPr>
    </w:p>
    <w:p>
      <w:pPr>
        <w:ind w:left="340" w:right="260"/>
        <w:spacing w:after="0" w:line="282" w:lineRule="auto"/>
        <w:rPr>
          <w:sz w:val="20"/>
          <w:szCs w:val="20"/>
          <w:color w:val="auto"/>
        </w:rPr>
      </w:pPr>
      <w:r>
        <w:rPr>
          <w:rFonts w:ascii="Arial" w:cs="Arial" w:eastAsia="Arial" w:hAnsi="Arial"/>
          <w:sz w:val="18"/>
          <w:szCs w:val="18"/>
          <w:b w:val="1"/>
          <w:bCs w:val="1"/>
          <w:color w:val="auto"/>
        </w:rPr>
        <w:t>Assets Held for Sale –</w:t>
      </w:r>
      <w:r>
        <w:rPr>
          <w:rFonts w:ascii="Arial" w:cs="Arial" w:eastAsia="Arial" w:hAnsi="Arial"/>
          <w:sz w:val="18"/>
          <w:szCs w:val="18"/>
          <w:color w:val="auto"/>
        </w:rPr>
        <w:t>We expect to complete the sale of our facility located in Penang, Malaysia in the first half of 2020 and, as a result, it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as held for sale at December 28, 2019.</w:t>
      </w:r>
    </w:p>
    <w:p>
      <w:pPr>
        <w:spacing w:after="0" w:line="162" w:lineRule="exact"/>
        <w:rPr>
          <w:sz w:val="20"/>
          <w:szCs w:val="20"/>
          <w:color w:val="auto"/>
        </w:rPr>
      </w:pPr>
    </w:p>
    <w:p>
      <w:pPr>
        <w:ind w:left="340" w:right="60"/>
        <w:spacing w:after="0" w:line="314"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 Depreciation and amortization of property, plant and equipment, both owned and under financing lease, is</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calculated principally on the straight-line method based on estimated useful lives of thirty to forty years for buildings, five to fifteen years for building improvements, three to ten years for machinery, equipment and software and the lease life for financing leases. Land is not depreciated.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 xml:space="preserve">Property, plant and equipment, at cost,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December 28,</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December 29,</w:t>
            </w:r>
          </w:p>
        </w:tc>
      </w:tr>
      <w:tr>
        <w:trPr>
          <w:trHeight w:val="230"/>
        </w:trPr>
        <w:tc>
          <w:tcPr>
            <w:tcW w:w="3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320" w:type="dxa"/>
            <w:vAlign w:val="bottom"/>
          </w:tcPr>
          <w:p>
            <w:pPr>
              <w:spacing w:after="0"/>
              <w:rPr>
                <w:sz w:val="18"/>
                <w:szCs w:val="18"/>
                <w:color w:val="auto"/>
              </w:rPr>
            </w:pPr>
          </w:p>
        </w:tc>
        <w:tc>
          <w:tcPr>
            <w:tcW w:w="67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Land and land improvements </w:t>
            </w:r>
            <w:r>
              <w:rPr>
                <w:rFonts w:ascii="Arial" w:cs="Arial" w:eastAsia="Arial" w:hAnsi="Arial"/>
                <w:sz w:val="24"/>
                <w:szCs w:val="24"/>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11,905</w:t>
            </w:r>
          </w:p>
        </w:tc>
      </w:tr>
      <w:tr>
        <w:trPr>
          <w:trHeight w:val="216"/>
        </w:trPr>
        <w:tc>
          <w:tcPr>
            <w:tcW w:w="3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Buildings and building improvements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37,265</w:t>
            </w:r>
          </w:p>
        </w:tc>
      </w:tr>
      <w:tr>
        <w:trPr>
          <w:trHeight w:val="216"/>
        </w:trPr>
        <w:tc>
          <w:tcPr>
            <w:tcW w:w="3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114,139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113,961</w:t>
            </w:r>
          </w:p>
        </w:tc>
      </w:tr>
      <w:tr>
        <w:trPr>
          <w:trHeight w:val="216"/>
        </w:trPr>
        <w:tc>
          <w:tcPr>
            <w:tcW w:w="3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(43,227)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(39,629)</w:t>
            </w:r>
          </w:p>
        </w:tc>
      </w:tr>
      <w:tr>
        <w:trPr>
          <w:trHeight w:val="209"/>
        </w:trPr>
        <w:tc>
          <w:tcPr>
            <w:tcW w:w="320" w:type="dxa"/>
            <w:vAlign w:val="bottom"/>
          </w:tcPr>
          <w:p>
            <w:pPr>
              <w:spacing w:after="0"/>
              <w:rPr>
                <w:sz w:val="18"/>
                <w:szCs w:val="18"/>
                <w:color w:val="auto"/>
              </w:rPr>
            </w:pPr>
          </w:p>
        </w:tc>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70,912</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74,332</w:t>
            </w:r>
          </w:p>
        </w:tc>
        <w:tc>
          <w:tcPr>
            <w:tcW w:w="100" w:type="dxa"/>
            <w:vAlign w:val="bottom"/>
            <w:tcBorders>
              <w:top w:val="single" w:sz="8" w:color="CCEEFF"/>
            </w:tcBorders>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assets under financing leases acquired with Xcerra totaling $2.6 million and $2.7 million as of December 28, 2019 and December 29, 2018, respectively.</w:t>
      </w:r>
    </w:p>
    <w:p>
      <w:pPr>
        <w:spacing w:after="0" w:line="170"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On December 9, 2019, we committed to exercise our bargain purchase option to acquire our leased facility located in Rosenheim, Germany, currently subject to a financing lease, for €1.1 million no later than June 30, 2020.</w:t>
      </w:r>
    </w:p>
    <w:p>
      <w:pPr>
        <w:spacing w:after="0" w:line="170"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Depreciation expense was $19.3 million in 2019, $8.8 million in 2018 and $5.0 million in 2017. The increase in depreciation expense in 2019 was driven by depreciation recorded on assets acquired from Xcerra.</w:t>
      </w:r>
    </w:p>
    <w:p>
      <w:pPr>
        <w:spacing w:after="0" w:line="166" w:lineRule="exact"/>
        <w:rPr>
          <w:sz w:val="20"/>
          <w:szCs w:val="20"/>
          <w:color w:val="auto"/>
        </w:rPr>
      </w:pPr>
    </w:p>
    <w:p>
      <w:pPr>
        <w:ind w:left="340" w:right="100"/>
        <w:spacing w:after="0" w:line="258" w:lineRule="auto"/>
        <w:rPr>
          <w:sz w:val="20"/>
          <w:szCs w:val="20"/>
          <w:color w:val="auto"/>
        </w:rPr>
      </w:pPr>
      <w:r>
        <w:rPr>
          <w:rFonts w:ascii="Arial" w:cs="Arial" w:eastAsia="Arial" w:hAnsi="Arial"/>
          <w:sz w:val="18"/>
          <w:szCs w:val="18"/>
          <w:b w:val="1"/>
          <w:bCs w:val="1"/>
          <w:color w:val="auto"/>
        </w:rPr>
        <w:t xml:space="preserve">Cloud Computing Implementation Costs </w:t>
      </w:r>
      <w:r>
        <w:rPr>
          <w:rFonts w:ascii="Arial" w:cs="Arial" w:eastAsia="Arial" w:hAnsi="Arial"/>
          <w:sz w:val="18"/>
          <w:szCs w:val="18"/>
          <w:color w:val="auto"/>
        </w:rPr>
        <w:t>– We have capitalized certain costs associated with the implementation of our new cloud-based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Resource Planning (“ERP”) system in accordance with ASU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Capitalized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only external direct costs of materials and services consumed in developing of the system and interest costs incurred, when material, while developing the system.</w:t>
      </w:r>
    </w:p>
    <w:p>
      <w:pPr>
        <w:spacing w:after="0" w:line="187"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Total unamortized capitalized cloud computing implementation costs totaled $10.3 million at December 28, 2019 and were insignificant at December 29, 2018.</w:t>
      </w:r>
    </w:p>
    <w:p>
      <w:pPr>
        <w:spacing w:after="0" w:line="170" w:lineRule="exact"/>
        <w:rPr>
          <w:sz w:val="20"/>
          <w:szCs w:val="20"/>
          <w:color w:val="auto"/>
        </w:rPr>
      </w:pPr>
    </w:p>
    <w:p>
      <w:pPr>
        <w:ind w:left="340" w:right="220"/>
        <w:spacing w:after="0" w:line="308" w:lineRule="auto"/>
        <w:rPr>
          <w:sz w:val="20"/>
          <w:szCs w:val="20"/>
          <w:color w:val="auto"/>
        </w:rPr>
      </w:pPr>
      <w:r>
        <w:rPr>
          <w:rFonts w:ascii="Arial" w:cs="Arial" w:eastAsia="Arial" w:hAnsi="Arial"/>
          <w:sz w:val="17"/>
          <w:szCs w:val="17"/>
          <w:color w:val="auto"/>
        </w:rPr>
        <w:t>We expect to begin amortizing these costs when the ERP system is placed into service in 2020, and will amortize the implementation costs using the straight-line method over seven years. Capitalized amounts are recorded within other assets in our consolidated balance sheets.</w:t>
      </w:r>
    </w:p>
    <w:p>
      <w:pPr>
        <w:spacing w:after="0" w:line="142" w:lineRule="exact"/>
        <w:rPr>
          <w:sz w:val="20"/>
          <w:szCs w:val="20"/>
          <w:color w:val="auto"/>
        </w:rPr>
      </w:pPr>
    </w:p>
    <w:p>
      <w:pPr>
        <w:ind w:left="340" w:right="100"/>
        <w:spacing w:after="0" w:line="271"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 We applied the provisions of ASC Topic 280,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Subsequent to the acquisition of Xcerra on October 1, 2018, we have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and Inspection Equipment (“Semiconductor Test &amp; Inspection”) and PCB Test Equipment (“PCB Test”).</w:t>
      </w:r>
    </w:p>
    <w:p>
      <w:pPr>
        <w:spacing w:after="0" w:line="173"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b w:val="1"/>
          <w:bCs w:val="1"/>
          <w:color w:val="auto"/>
        </w:rPr>
        <w:t xml:space="preserve">Goodwill, Purchased Intangible Assets and Other Long-lived Assets </w:t>
      </w:r>
      <w:r>
        <w:rPr>
          <w:rFonts w:ascii="Arial" w:cs="Arial" w:eastAsia="Arial" w:hAnsi="Arial"/>
          <w:sz w:val="17"/>
          <w:szCs w:val="17"/>
          <w:color w:val="auto"/>
        </w:rPr>
        <w:t>– We evaluate goodwill for impairment annually and when an event occurs or</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change that indicate that the carrying value may not be recoverable. We test goodwill for impairment by comparing the book value of net assets to the fair value of the reporting units. If the fair value is determined to be less than the book value, an impairment charge is recognized as the amount by which the carrying amount of goodwill exceeds the reporting unit's fair value, not to exceed the carrying amount of goodwill.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76"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We conduct our annual impairment test as of October 1st of each year, and have determined there was no impairment as of October 1, 2019, as we determined that the estimated fair values of our reporting units exceeded their carrying values on that date. Other events and changes in circumstances may also require goodwill to be tested for impairment between annual measurement dates. As of December 28, 2019,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92"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ectPr>
          <w:pgSz w:w="11900" w:h="16838" w:orient="portrait"/>
          <w:cols w:equalWidth="0" w:num="1">
            <w:col w:w="11240"/>
          </w:cols>
          <w:pgMar w:left="320" w:top="125" w:right="339" w:bottom="723"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23"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340" w:right="20"/>
        <w:spacing w:after="0" w:line="298"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 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54" w:lineRule="exact"/>
        <w:rPr>
          <w:sz w:val="20"/>
          <w:szCs w:val="20"/>
          <w:color w:val="auto"/>
        </w:rPr>
      </w:pPr>
    </w:p>
    <w:p>
      <w:pPr>
        <w:ind w:left="340" w:right="100"/>
        <w:spacing w:after="0" w:line="29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We assess our income tax positions and record tax benefits for all years subject to examination based upon management’s evaluation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64"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The U.S. Tax Cuts and Jobs Act (“Tax Act”) was enacted on December 22, 2017. The accounting for the tax effects of the enactment of the Tax Act was completed in 2018.</w:t>
      </w:r>
    </w:p>
    <w:p>
      <w:pPr>
        <w:spacing w:after="0" w:line="166" w:lineRule="exact"/>
        <w:rPr>
          <w:sz w:val="20"/>
          <w:szCs w:val="20"/>
          <w:color w:val="auto"/>
        </w:rPr>
      </w:pPr>
    </w:p>
    <w:p>
      <w:pPr>
        <w:ind w:left="340"/>
        <w:spacing w:after="0" w:line="347"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 We assess the probability of adverse judgments in connection with current and threatened litigation. We would accrue</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 of an adverse judgment if, in our estimation, the adverse outcome is probable, and we can reasonably estimate the ultimate cost.</w:t>
      </w:r>
    </w:p>
    <w:p>
      <w:pPr>
        <w:spacing w:after="0" w:line="116" w:lineRule="exact"/>
        <w:rPr>
          <w:sz w:val="20"/>
          <w:szCs w:val="20"/>
          <w:color w:val="auto"/>
        </w:rPr>
      </w:pPr>
    </w:p>
    <w:p>
      <w:pPr>
        <w:ind w:left="340" w:right="120"/>
        <w:spacing w:after="0" w:line="256" w:lineRule="auto"/>
        <w:rPr>
          <w:sz w:val="20"/>
          <w:szCs w:val="20"/>
          <w:color w:val="auto"/>
        </w:rPr>
      </w:pPr>
      <w:r>
        <w:rPr>
          <w:rFonts w:ascii="Arial" w:cs="Arial" w:eastAsia="Arial" w:hAnsi="Arial"/>
          <w:sz w:val="18"/>
          <w:szCs w:val="18"/>
          <w:b w:val="1"/>
          <w:bCs w:val="1"/>
          <w:color w:val="auto"/>
        </w:rPr>
        <w:t xml:space="preserve">Adoption of New Revenue Accounting Standard </w:t>
      </w:r>
      <w:r>
        <w:rPr>
          <w:rFonts w:ascii="Arial" w:cs="Arial" w:eastAsia="Arial" w:hAnsi="Arial"/>
          <w:sz w:val="18"/>
          <w:szCs w:val="18"/>
          <w:color w:val="auto"/>
        </w:rPr>
        <w:t>– We adopted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the first day of our 2018 fiscal year. We elected to implement the new standard using the modified retrospective method of adoption which only applies to those contracts which were not completed as of December 31, 2017. Revenue for the years ended December 28, 2019 and December 29, 2018, have been accounted for using ASC 606 and the prior year ended December 30, 2017, has not been adjusted. Upon adoption of ASC 606, we recorded a cumulative-effect adjustment to retained earnings of $1.1 million on December 31, 2017, which represents the impact of ASC 606 on our deferred revenue.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adoption of ASC 606 had no impact to cash used in net operating, investing or financing activities in our consolidated statements of cash flows.</w:t>
      </w:r>
    </w:p>
    <w:p>
      <w:pPr>
        <w:spacing w:after="0" w:line="248"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Under ASC 606 our revenue will continue to be recognized at a point in time when the performance obligation has been satisfied and transfer of control has occurred, typically, this occurs upon shipment of products to our customers. In certain instances, when customer payment terms provide that a minority portion of the equipment purchase price be paid only upon customer acceptance, recognition of revenue may occur sooner under ASC 606.</w:t>
      </w:r>
    </w:p>
    <w:p>
      <w:pPr>
        <w:spacing w:after="0" w:line="183" w:lineRule="exact"/>
        <w:rPr>
          <w:sz w:val="20"/>
          <w:szCs w:val="20"/>
          <w:color w:val="auto"/>
        </w:rPr>
      </w:pPr>
    </w:p>
    <w:p>
      <w:pPr>
        <w:ind w:left="340" w:right="80"/>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net sales are derived from the sale of products and services and are adjusted for estimated returns and allowances,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w:t>
      </w:r>
    </w:p>
    <w:p>
      <w:pPr>
        <w:spacing w:after="0" w:line="184"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1"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Unsatisfied performance obligations primarily represent contracts for products with future delivery dates. At December 28, 2019 and December 29, 2018, we had $10.0 million and $19.1 million of revenue expected to be recognized in the future related to performance obligations that are unsatisfied (or partially unsatisfied), respectively.</w:t>
      </w:r>
    </w:p>
    <w:p>
      <w:pPr>
        <w:spacing w:after="0" w:line="184"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8"/>
          <w:szCs w:val="18"/>
          <w:i w:val="1"/>
          <w:iCs w:val="1"/>
          <w:color w:val="auto"/>
        </w:rPr>
        <w:t>Guarantees (“ASC 460”)</w:t>
      </w:r>
      <w:r>
        <w:rPr>
          <w:rFonts w:ascii="Arial" w:cs="Arial" w:eastAsia="Arial" w:hAnsi="Arial"/>
          <w:sz w:val="18"/>
          <w:szCs w:val="18"/>
          <w:color w:val="auto"/>
        </w:rPr>
        <w:t>, and not as a separate performance obligation.</w:t>
      </w:r>
    </w:p>
    <w:p>
      <w:pPr>
        <w:spacing w:after="0" w:line="184"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9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Our contracts are typically less than one year in duration and we have elected to use the practical expedient available in ASC 606 to expense cost to obtain contracts as they are incurred because they would be amortized over less than one year.</w:t>
      </w:r>
    </w:p>
    <w:p>
      <w:pPr>
        <w:spacing w:after="0" w:line="170" w:lineRule="exact"/>
        <w:rPr>
          <w:sz w:val="20"/>
          <w:szCs w:val="20"/>
          <w:color w:val="auto"/>
        </w:rPr>
      </w:pPr>
    </w:p>
    <w:p>
      <w:pPr>
        <w:ind w:left="340" w:right="160"/>
        <w:spacing w:after="0" w:line="311" w:lineRule="auto"/>
        <w:rPr>
          <w:sz w:val="20"/>
          <w:szCs w:val="20"/>
          <w:color w:val="auto"/>
        </w:rPr>
      </w:pPr>
      <w:r>
        <w:rPr>
          <w:rFonts w:ascii="Arial" w:cs="Arial" w:eastAsia="Arial" w:hAnsi="Arial"/>
          <w:sz w:val="16"/>
          <w:szCs w:val="16"/>
          <w:color w:val="auto"/>
        </w:rPr>
        <w:t>Accounts receivable represents our unconditional right to receive consideration from our customers.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consolidated balance sheet in any of the periods presented.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shipments where sales are not recognized, gross profit is generally recorded as deferred profit in our consolidated balance sheet representing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difference between the receivable recorded and the inventory shipped. In certain instances where customer payments are received prior to product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shipment, the customer’s payments are recorded as customer advances. At December 28, 2019, we had deferred revenue totaling approximately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$16.1 million, current deferred profit of $7.6 million and deferred profit expected to be recognized after one year included in noncurrent other accrued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liabilities of $7.2 million. At December 29, 2018, we had deferred revenue totaling approximately $10.8 million, current deferred profit of $6.9 million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deferred profit expected to be recognized after one year included in noncurrent other accrued liabilities of $2.0 million. Our balances at December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29, 2018, include a $1.1 million beginning retained earnings adjustment as a result of our adoption of ASC 606 on the first day of fiscal 2018.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periodic change is primarily a result of increases and decreases in deferrals of revenue associated with product shipments made to our customers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accordance with our revenue recognition policy.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Net sales by type and segment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540"/>
        <w:spacing w:after="0" w:line="254" w:lineRule="auto"/>
        <w:rPr>
          <w:sz w:val="20"/>
          <w:szCs w:val="20"/>
          <w:color w:val="auto"/>
        </w:rPr>
      </w:pPr>
      <w:r>
        <w:rPr>
          <w:rFonts w:ascii="Arial" w:cs="Arial" w:eastAsia="Arial" w:hAnsi="Arial"/>
          <w:sz w:val="18"/>
          <w:szCs w:val="18"/>
          <w:color w:val="auto"/>
        </w:rPr>
        <w:t>Disaggregated Net Sales Systems-Semiconductor Test &amp; Inspection Non-systems-Semiconductor Test &amp; Inspection Systems-PCB Test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Non-systems-PCB Test</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Twelve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December 28,</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60"/>
              <w:spacing w:after="0" w:line="195" w:lineRule="exact"/>
              <w:rPr>
                <w:sz w:val="20"/>
                <w:szCs w:val="20"/>
                <w:color w:val="auto"/>
              </w:rPr>
            </w:pPr>
            <w:r>
              <w:rPr>
                <w:rFonts w:ascii="Arial" w:cs="Arial" w:eastAsia="Arial" w:hAnsi="Arial"/>
                <w:sz w:val="18"/>
                <w:szCs w:val="18"/>
                <w:color w:val="auto"/>
                <w:w w:val="93"/>
              </w:rPr>
              <w:t>December 29,</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93"/>
              </w:rPr>
              <w:t>December 30,</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299,473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249,514</w:t>
            </w:r>
          </w:p>
        </w:tc>
        <w:tc>
          <w:tcPr>
            <w:tcW w:w="2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197,454</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241,405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193,737</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155,250</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25,928</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6,565</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16,523</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583,329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451,768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352,704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-719455</wp:posOffset>
            </wp:positionV>
            <wp:extent cx="677227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-445135</wp:posOffset>
            </wp:positionV>
            <wp:extent cx="67722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-162560</wp:posOffset>
            </wp:positionV>
            <wp:extent cx="677227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125" w:right="3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225" w:lineRule="exact"/>
        <w:rPr>
          <w:sz w:val="20"/>
          <w:szCs w:val="20"/>
          <w:color w:val="auto"/>
        </w:rPr>
      </w:pPr>
    </w:p>
    <w:p>
      <w:pPr>
        <w:ind w:left="340" w:right="20"/>
        <w:spacing w:after="0" w:line="292" w:lineRule="auto"/>
        <w:rPr>
          <w:sz w:val="20"/>
          <w:szCs w:val="20"/>
          <w:color w:val="auto"/>
        </w:rPr>
      </w:pPr>
      <w:r>
        <w:rPr>
          <w:rFonts w:ascii="Arial" w:cs="Arial" w:eastAsia="Arial" w:hAnsi="Arial"/>
          <w:sz w:val="16"/>
          <w:szCs w:val="16"/>
          <w:b w:val="1"/>
          <w:bCs w:val="1"/>
          <w:color w:val="auto"/>
        </w:rPr>
        <w:t xml:space="preserve">Restructuring Costs </w:t>
      </w:r>
      <w:r>
        <w:rPr>
          <w:rFonts w:ascii="Arial" w:cs="Arial" w:eastAsia="Arial" w:hAnsi="Arial"/>
          <w:sz w:val="16"/>
          <w:szCs w:val="16"/>
          <w:color w:val="auto"/>
        </w:rPr>
        <w:t>– We record restructuring activities including costs for one-time termination benefits in accordance with ASC Topic 420 (“ASC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These costs are recognized when management has committed to a restructuring plan and the severance costs are probable and estimable.</w:t>
      </w:r>
    </w:p>
    <w:p>
      <w:pPr>
        <w:spacing w:after="0" w:line="161" w:lineRule="exact"/>
        <w:rPr>
          <w:sz w:val="20"/>
          <w:szCs w:val="20"/>
          <w:color w:val="auto"/>
        </w:rPr>
      </w:pPr>
    </w:p>
    <w:p>
      <w:pPr>
        <w:ind w:left="340" w:right="20"/>
        <w:spacing w:after="0" w:line="303" w:lineRule="auto"/>
        <w:rPr>
          <w:sz w:val="20"/>
          <w:szCs w:val="20"/>
          <w:color w:val="auto"/>
        </w:rPr>
      </w:pPr>
      <w:r>
        <w:rPr>
          <w:rFonts w:ascii="Arial" w:cs="Arial" w:eastAsia="Arial" w:hAnsi="Arial"/>
          <w:sz w:val="16"/>
          <w:szCs w:val="16"/>
          <w:b w:val="1"/>
          <w:bCs w:val="1"/>
          <w:color w:val="auto"/>
        </w:rPr>
        <w:t xml:space="preserve">Debt Issuance Costs </w:t>
      </w:r>
      <w:r>
        <w:rPr>
          <w:rFonts w:ascii="Arial" w:cs="Arial" w:eastAsia="Arial" w:hAnsi="Arial"/>
          <w:sz w:val="16"/>
          <w:szCs w:val="16"/>
          <w:color w:val="auto"/>
        </w:rPr>
        <w:t>– We capitalize costs related to the issuance of debt. Debt issuance costs directly related to our Term B Loan are presented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$1.1 million and insignificant for the years ended December 28, 2019 and December 29, 2018, respectively.</w:t>
      </w:r>
    </w:p>
    <w:p>
      <w:pPr>
        <w:spacing w:after="0" w:line="151" w:lineRule="exact"/>
        <w:rPr>
          <w:sz w:val="20"/>
          <w:szCs w:val="20"/>
          <w:color w:val="auto"/>
        </w:rPr>
      </w:pPr>
    </w:p>
    <w:p>
      <w:pPr>
        <w:ind w:left="340" w:right="220"/>
        <w:spacing w:after="0" w:line="298"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requires a number of complex and subjective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54" w:lineRule="exact"/>
        <w:rPr>
          <w:sz w:val="20"/>
          <w:szCs w:val="20"/>
          <w:color w:val="auto"/>
        </w:rPr>
      </w:pPr>
    </w:p>
    <w:p>
      <w:pPr>
        <w:ind w:left="340"/>
        <w:spacing w:after="0" w:line="292" w:lineRule="auto"/>
        <w:rPr>
          <w:sz w:val="20"/>
          <w:szCs w:val="20"/>
          <w:color w:val="auto"/>
        </w:rPr>
      </w:pPr>
      <w:r>
        <w:rPr>
          <w:rFonts w:ascii="Arial" w:cs="Arial" w:eastAsia="Arial" w:hAnsi="Arial"/>
          <w:sz w:val="16"/>
          <w:szCs w:val="16"/>
          <w:b w:val="1"/>
          <w:bCs w:val="1"/>
          <w:color w:val="auto"/>
        </w:rPr>
        <w:t xml:space="preserve">Foreign Remeasurement and Currency Translation </w:t>
      </w:r>
      <w:r>
        <w:rPr>
          <w:rFonts w:ascii="Arial" w:cs="Arial" w:eastAsia="Arial" w:hAnsi="Arial"/>
          <w:sz w:val="16"/>
          <w:szCs w:val="16"/>
          <w:color w:val="auto"/>
        </w:rPr>
        <w:t>– Assets and liabilities of our wholly owned foreign subsidiaries that use the U.S. Dollar as</w:t>
      </w:r>
      <w:r>
        <w:rPr>
          <w:rFonts w:ascii="Arial" w:cs="Arial" w:eastAsia="Arial" w:hAnsi="Arial"/>
          <w:sz w:val="16"/>
          <w:szCs w:val="16"/>
          <w:b w:val="1"/>
          <w:bCs w:val="1"/>
          <w:color w:val="auto"/>
        </w:rPr>
        <w:t xml:space="preserve"> </w:t>
      </w:r>
      <w:r>
        <w:rPr>
          <w:rFonts w:ascii="Arial" w:cs="Arial" w:eastAsia="Arial" w:hAnsi="Arial"/>
          <w:sz w:val="16"/>
          <w:szCs w:val="16"/>
          <w:color w:val="auto"/>
        </w:rPr>
        <w:t>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 ended December 28, 2019, foreign exchange gains included in our consolidated statement of operations were insignificant. During the year ended December 29, 2018, we recognized foreign exchange gains totaling $1.7 million. During the year ended December 30, 2017, we recognized foreign exchange losses totaling $3.0 million.</w:t>
      </w:r>
    </w:p>
    <w:p>
      <w:pPr>
        <w:spacing w:after="0" w:line="165"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340" w:right="120"/>
        <w:spacing w:after="0" w:line="254" w:lineRule="auto"/>
        <w:rPr>
          <w:sz w:val="20"/>
          <w:szCs w:val="20"/>
          <w:color w:val="auto"/>
        </w:rPr>
      </w:pPr>
      <w:r>
        <w:rPr>
          <w:rFonts w:ascii="Arial" w:cs="Arial" w:eastAsia="Arial" w:hAnsi="Arial"/>
          <w:sz w:val="18"/>
          <w:szCs w:val="18"/>
          <w:b w:val="1"/>
          <w:bCs w:val="1"/>
          <w:color w:val="auto"/>
        </w:rPr>
        <w:t xml:space="preserve">Accumulated Other Comprehensive Loss </w:t>
      </w:r>
      <w:r>
        <w:rPr>
          <w:rFonts w:ascii="Arial" w:cs="Arial" w:eastAsia="Arial" w:hAnsi="Arial"/>
          <w:sz w:val="18"/>
          <w:szCs w:val="18"/>
          <w:color w:val="auto"/>
        </w:rPr>
        <w:t>– Our accumulated other comprehensive loss totaled approximately $34.0 million at December 28,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$25.9 million at December 29, 2018, and was attributed to, net of income taxes where applicable: foreign currency adjustments resulting from the translation of certain accounts into U.S. Dollars, unrealized losses and gains on investments and adjustments to accumulated postretirement benefit obligations. The U.S. Dollar strengthened relative to certain foreign currencies in countries where we have operations as of December 28, 2019, compared to December 29, 2018 and consequently, our accumulated other comprehensive loss increased by $7.5 million. Similarly, in the previous year, the U.S. Dollar strengthened relative to certain foreign currencies in countries where we have operations and, as a result, our accumulated other comprehensive loss increased by $8.9 million. Additional information related to accumulated other comprehensive loss, on an after-tax basis is included in Note 14.</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340" w:right="140"/>
        <w:spacing w:after="0" w:line="303"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We adopted ASU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as of December 30, 2018, using the optional</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 method which allowed us to record existing leases at adoption and recognize a cumulative-effect adjustment to the opening balance of retained earnings in the period of adoption rather than in the earliest period presented. We elected the package of practical expedients permitted under the transition guidance within the new standard, which among other things, allows us to carryforward the historical lease classification.</w:t>
      </w:r>
    </w:p>
    <w:p>
      <w:pPr>
        <w:spacing w:after="0" w:line="155" w:lineRule="exact"/>
        <w:rPr>
          <w:sz w:val="20"/>
          <w:szCs w:val="20"/>
          <w:color w:val="auto"/>
        </w:rPr>
      </w:pPr>
    </w:p>
    <w:p>
      <w:pPr>
        <w:ind w:left="340" w:right="160"/>
        <w:spacing w:after="0" w:line="296" w:lineRule="auto"/>
        <w:rPr>
          <w:sz w:val="20"/>
          <w:szCs w:val="20"/>
          <w:color w:val="auto"/>
        </w:rPr>
      </w:pPr>
      <w:r>
        <w:rPr>
          <w:rFonts w:ascii="Arial" w:cs="Arial" w:eastAsia="Arial" w:hAnsi="Arial"/>
          <w:sz w:val="16"/>
          <w:szCs w:val="16"/>
          <w:color w:val="auto"/>
        </w:rPr>
        <w:t>We made an accounting policy election to not record right of use ("ROU") assets and lease liabilities for leases with an initial term of 12 months or less. We recognized those lease payments in our consolidated statements of operations on a straight-line basis over the lease term. We also made an accounting policy election to use the practical expedient allowed in the standard to not separate lease and non-lease components when calculating the ROU asset and lease liability. Related to adoption of the new standard, we have implemented internal controls and a lease accounting technology system to track the ROU asset and lease liability balances and prepare the related footnote disclosures.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Adoption of the new standard resulted in the recording of additional net lease assets and lease liabilities of approximately $30.7 million and</w:t>
      </w:r>
    </w:p>
    <w:p>
      <w:pPr>
        <w:spacing w:after="0" w:line="35" w:lineRule="exact"/>
        <w:rPr>
          <w:sz w:val="20"/>
          <w:szCs w:val="20"/>
          <w:color w:val="auto"/>
        </w:rPr>
      </w:pPr>
    </w:p>
    <w:p>
      <w:pPr>
        <w:ind w:left="340" w:right="60"/>
        <w:spacing w:after="0" w:line="271" w:lineRule="auto"/>
        <w:rPr>
          <w:sz w:val="20"/>
          <w:szCs w:val="20"/>
          <w:color w:val="auto"/>
        </w:rPr>
      </w:pPr>
      <w:r>
        <w:rPr>
          <w:rFonts w:ascii="Arial" w:cs="Arial" w:eastAsia="Arial" w:hAnsi="Arial"/>
          <w:sz w:val="17"/>
          <w:szCs w:val="17"/>
          <w:color w:val="auto"/>
        </w:rPr>
        <w:t>$29.9 million, respectively, as of December 30, 2018. We had previously recorded a sale and operating leaseback transaction in accordance with Topic 840 and as a result of the adoption of the new standard, recognized $10.2 million of deferred gain as an adjustment to retained earnings. In addition, we had previously recognized assets and liabilities related to a build-to-suit designation under Topic 840 and as a result of the adoption of the new standard, derecognized assets and liabilities of $0.5 million and $0.6 million, respectively, with the difference recorded as an adjustment to retained earnings. The standard did not materially impact our consolidated net earnings and had no impact on cash flows.</w:t>
      </w:r>
    </w:p>
    <w:p>
      <w:pPr>
        <w:spacing w:after="0" w:line="178"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b w:val="1"/>
          <w:bCs w:val="1"/>
          <w:i w:val="1"/>
          <w:iCs w:val="1"/>
          <w:color w:val="auto"/>
        </w:rPr>
        <w:t xml:space="preserve">Recently Issued Accounting Pronouncements </w:t>
      </w:r>
      <w:r>
        <w:rPr>
          <w:rFonts w:ascii="Arial" w:cs="Arial" w:eastAsia="Arial" w:hAnsi="Arial"/>
          <w:sz w:val="17"/>
          <w:szCs w:val="17"/>
          <w:color w:val="auto"/>
        </w:rPr>
        <w:t>– In June 2016, the FASB issued ASU 2016-13,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Financial Instruments-Credit Losses (Topic 326):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ASU 2016-13 was subsequently amended by ASU 2019-04,</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2019-05,</w:t>
      </w:r>
      <w:r>
        <w:rPr>
          <w:rFonts w:ascii="Arial" w:cs="Arial" w:eastAsia="Arial" w:hAnsi="Arial"/>
          <w:sz w:val="17"/>
          <w:szCs w:val="17"/>
          <w:i w:val="1"/>
          <w:iCs w:val="1"/>
          <w:color w:val="auto"/>
        </w:rPr>
        <w:t xml:space="preserve"> Financial Instruments-Credit Losses (Topic 326): Targeted Transition Relief</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2019-10,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Derivatives and Hedging (Topic 815), and Leases (Topic 842): Effective Dates and ASU 2019-11,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ASU 2016-13, as amended, affects trade receivables, financial assets and certain other instruments that are not measured at fair value through net income. This ASU will replace the currently required incurred loss approach with an expected loss model for instruments measured at amortized cost and is effective for financial statements issued for fiscal years beginning after December 15, 2019, including interim periods within those fiscal years. We do not expect the adoption of this guidance will have a material impact on our consolidated financial statements.</w:t>
      </w:r>
    </w:p>
    <w:p>
      <w:pPr>
        <w:spacing w:after="0" w:line="181" w:lineRule="exact"/>
        <w:rPr>
          <w:sz w:val="20"/>
          <w:szCs w:val="20"/>
          <w:color w:val="auto"/>
        </w:rPr>
      </w:pPr>
    </w:p>
    <w:p>
      <w:pPr>
        <w:ind w:left="340" w:right="20"/>
        <w:spacing w:after="0" w:line="296"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Disclosure Framework - Changes to the Disclosure Requirements for Defined Benefit Plans,</w:t>
      </w:r>
      <w:r>
        <w:rPr>
          <w:rFonts w:ascii="Arial" w:cs="Arial" w:eastAsia="Arial" w:hAnsi="Arial"/>
          <w:sz w:val="16"/>
          <w:szCs w:val="16"/>
          <w:color w:val="auto"/>
        </w:rPr>
        <w:t xml:space="preserve"> which improves defined benefit disclosure requirements by removing disclosures that are not cost beneficial, clarifying disclosures’ specific requirements and adding relevant disclosure requirements. This ASU is effective for fiscal years ending after December 15, 2020 and early adoption is permitted. The amendments in this ASU are required to be applied on a retrospective basis to all periods presented. We are currently assessing and have not yet determined the impact that the adoption of ASU 2018-14 will have on the disclosures to our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ind w:left="340"/>
        <w:spacing w:after="0" w:line="289"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 - Changes to the Disclosure Requirements for Fair Value Measurement</w:t>
      </w:r>
      <w:r>
        <w:rPr>
          <w:rFonts w:ascii="Arial" w:cs="Arial" w:eastAsia="Arial" w:hAnsi="Arial"/>
          <w:sz w:val="16"/>
          <w:szCs w:val="16"/>
          <w:color w:val="auto"/>
        </w:rPr>
        <w:t>, which improves fair value disclosure requirements by removing disclosures that are not cost beneficial, clarifying disclosures’ specific requirements and adding relevant disclosure requirements. This ASU is effective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and an entity can choose to early adopt any removed or modified disclosures upon issuance of this ASU and delay adoption of the additional disclosures until their effective date. We are currently assessing and have not yet determined the impact that the adoption of ASU 2018-13 will have on our consolidated financial statements.</w:t>
      </w:r>
    </w:p>
    <w:p>
      <w:pPr>
        <w:spacing w:after="0" w:line="166" w:lineRule="exact"/>
        <w:rPr>
          <w:sz w:val="20"/>
          <w:szCs w:val="20"/>
          <w:color w:val="auto"/>
        </w:rPr>
      </w:pPr>
    </w:p>
    <w:p>
      <w:pPr>
        <w:ind w:left="340" w:right="20"/>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simplifies the accounting for income taxes, eliminates certain exceptions within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clarifies certain aspects of the current guidance to promote consistency among reporting entities. ASU 2019-12 is effective for fiscal years beginning after December 15, 2020. Most amendments within the standard are required to be applied on a prospective basis, while certain amendments must be applied on a retrospective or modified retrospective basis. We are currently assessing and have not yet determined the impact that the adoption of ASU 2019-12 will have on our consolidated financial statements.</w:t>
      </w:r>
    </w:p>
    <w:p>
      <w:pPr>
        <w:spacing w:after="0" w:line="400"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Pursuant to the Agreement and Plan of Merger (the “Merger Agreement”) dated as of May 7, 2018, among Cohu, Inc., a Delaware corporation (“Cohu”), Xcerra Corporation, a Massachusetts corporation (“Xcerra”), and Xavier Acquisition Corporation, a Delaware corporation and a wholly owned subsidiary of Cohu (“Merger Sub”), Merger Sub merged with and into Xcerra (the “Merger”), with Xcerra surviving such merger as a wholly owned subsidiary of Cohu. The Merger was effective on October 1, 2018 (“the Effective Time”). At the Effective Time, each share of Xcerra Common Stock issued and outstanding immediately prior to the Effective Time (other than dissenting shares and shares held by Cohu, Merger Sub, Xcerra or any direct or indirect wholly owned subsidiary of Cohu or Xcerra), were converted into the right to receive, in the aggregate for all shares of Xcerra Common Stock, consideration, which totaled approximately $794.4 million as of the Effective Time.</w:t>
      </w:r>
    </w:p>
    <w:p>
      <w:pPr>
        <w:spacing w:after="0" w:line="177"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Xcerra is comprised of four businesses in the semiconductor and electronics manufacturing test markets: atg-Luther &amp; Maelzer, Everett Charles Technologies, LTX-Credence and Multitest. The combination of these businesses creates a company with a broad spectrum of semiconductor and PCB test expertise that drives innovative new products and services, and the ability to deliver to customers fully integrated semiconductor test cell solutions. Xcerra addresses the broad, divergent requirements of the mobility, industrial, automotive and consumer end markets, offering a comprehensive portfolio of solutions and technologies, and a global network of strategically deployed applications and support resources. The acquisition of Xcerra was a strategic transaction to expand our total available market, extend our market leadership and broaden our product offerings.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Cohu financed the Merger, including all related fees and expenses, with the following:</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$160.5 million cash from our combined balance sheets;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incurrence of $350.0 million from the Credit Facility, as described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11,776,149 shares of Cohu common stock; and</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529,995 assumed RSUs to Xcerra employees, of which $0.8 million of the fair value of the assumed RSUs was attributed to pre-merger services.</w:t>
      </w:r>
    </w:p>
    <w:p>
      <w:pPr>
        <w:spacing w:after="0" w:line="170" w:lineRule="exact"/>
        <w:rPr>
          <w:sz w:val="20"/>
          <w:szCs w:val="20"/>
          <w:color w:val="auto"/>
        </w:rPr>
      </w:pPr>
    </w:p>
    <w:p>
      <w:pPr>
        <w:ind w:left="340" w:right="20"/>
        <w:spacing w:after="0" w:line="286" w:lineRule="auto"/>
        <w:rPr>
          <w:sz w:val="20"/>
          <w:szCs w:val="20"/>
          <w:color w:val="auto"/>
        </w:rPr>
      </w:pPr>
      <w:r>
        <w:rPr>
          <w:rFonts w:ascii="Arial" w:cs="Arial" w:eastAsia="Arial" w:hAnsi="Arial"/>
          <w:sz w:val="16"/>
          <w:szCs w:val="16"/>
          <w:color w:val="auto"/>
        </w:rPr>
        <w:t>On October 1, 2018, Cohu entered into a Credit Agreement with Cohu, as borrower, certain of its subsidiaries as guarantor subsidiaries, the financial institutions party thereto from time to time as lenders, and Deutsche Bank AG New York Branch, as administrative agent and collateral agent, providing for a $350.0 million Credit Facility (the “Credit Facility”), and borrowed the full amount. Loans under the Credit Facility amortize in equal quarterly installments equal to 0.25% of the original principal amount thereof, with the balance payable at maturity. Subject to certain exceptions and thresholds, the Credit Facility will also require mandatory prepayments in connection with (i) excess cash flow, (ii) non-ordinary course asset sales and other dispositions and (iii) the issuance of certain debt obligations, among other things. Cohu has the right to prepay loans under the Credit Agreement in whole or in part at any time, without premium or penalty. Amounts repaid in respect of loans under the Credit Facility may not be reborrowed. All outstanding principal and interest in respect of the Credit Facility must be repaid on or before October 1, 2025. The loans under the Term Loan Facility bear interest, at Cohu’s option, at a floating annual rate equal to LIBOR plus a margin of 3.00%. The lender may accelerate the payment terms of the Credit Agreement upon the occurrence of certain events of default set forth therein, which include: the failure of Cohu to make timely payments of amounts due under the Credit Agreement, the failure of the Cohu to adhere to the representations and covenants set forth in the Credit Agreement or to provide required notices, upon the event that related collateral agreements become ineffective, upon the event that certain legal judgments are entered against Cohu, the insolvency of Cohu, or upon the change of control of Cohu.</w:t>
      </w:r>
    </w:p>
    <w:p>
      <w:pPr>
        <w:sectPr>
          <w:pgSz w:w="11900" w:h="16838" w:orient="portrait"/>
          <w:cols w:equalWidth="0" w:num="1">
            <w:col w:w="11220"/>
          </w:cols>
          <w:pgMar w:left="320" w:top="125" w:right="359" w:bottom="1440" w:gutter="0" w:footer="0" w:header="0"/>
        </w:sectPr>
      </w:pP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jc w:val="both"/>
        <w:ind w:left="340" w:right="100"/>
        <w:spacing w:after="0" w:line="311" w:lineRule="auto"/>
        <w:rPr>
          <w:sz w:val="20"/>
          <w:szCs w:val="20"/>
          <w:color w:val="auto"/>
        </w:rPr>
      </w:pPr>
      <w:r>
        <w:rPr>
          <w:rFonts w:ascii="Arial" w:cs="Arial" w:eastAsia="Arial" w:hAnsi="Arial"/>
          <w:sz w:val="16"/>
          <w:szCs w:val="16"/>
          <w:color w:val="auto"/>
        </w:rPr>
        <w:t>Immediately prior to the Effective Time, each Xcerra RSU that was vested was cancelled and the holder received cash and share consideration for the outstanding shares. Each unvested RSU held by employees of Xcerra were assumed by Cohu and converted into an RSU representing the number of whole shares of Cohu common stock based on a conversion formula resulting in the number of assumed RSUs described above.</w:t>
      </w:r>
    </w:p>
    <w:p>
      <w:pPr>
        <w:spacing w:after="0" w:line="14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 xml:space="preserve">The acquisition method of accounting is based 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and uses the fair value concepts defined in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The purchase price allocation described herein contains adjustments made during the post-acquisition measurement period, which were made as a result of obtaining new facts and circumstances related to certain assets acquired and liabilities assumed as of the date of acquisition. The net impact of the measurement period adjustments was offset against goodwill.</w:t>
      </w:r>
    </w:p>
    <w:p>
      <w:pPr>
        <w:spacing w:after="0" w:line="171" w:lineRule="exact"/>
        <w:rPr>
          <w:sz w:val="20"/>
          <w:szCs w:val="20"/>
          <w:color w:val="auto"/>
        </w:rPr>
      </w:pPr>
    </w:p>
    <w:p>
      <w:pPr>
        <w:ind w:left="340" w:right="40"/>
        <w:spacing w:after="0" w:line="301" w:lineRule="auto"/>
        <w:rPr>
          <w:sz w:val="20"/>
          <w:szCs w:val="20"/>
          <w:color w:val="auto"/>
        </w:rPr>
      </w:pPr>
      <w:r>
        <w:rPr>
          <w:rFonts w:ascii="Arial" w:cs="Arial" w:eastAsia="Arial" w:hAnsi="Arial"/>
          <w:sz w:val="16"/>
          <w:szCs w:val="16"/>
          <w:color w:val="auto"/>
        </w:rPr>
        <w:t>The acquisition was nontaxable to Cohu and certain of the assets acquired, including goodwill and intangibles, will not be deductible for tax purposes. The acquired assets and liabilities of Xcerra were recorded at their respective fair values including an amount for goodwill which represents the purchase price paid in excess of the fair value of net tangible and intangible assets acquired, and is attributable primarily to expected synergies, economies of scale and the assembled workforce of Xcerra. Goodwill has been allocated to our THG, STG, ISG and PTG operating segments.</w:t>
      </w:r>
    </w:p>
    <w:p>
      <w:pPr>
        <w:spacing w:after="0" w:line="157" w:lineRule="exact"/>
        <w:rPr>
          <w:sz w:val="20"/>
          <w:szCs w:val="20"/>
          <w:color w:val="auto"/>
        </w:rPr>
      </w:pPr>
    </w:p>
    <w:p>
      <w:pPr>
        <w:ind w:left="340" w:right="20"/>
        <w:spacing w:after="0" w:line="301" w:lineRule="auto"/>
        <w:rPr>
          <w:sz w:val="20"/>
          <w:szCs w:val="20"/>
          <w:color w:val="auto"/>
        </w:rPr>
      </w:pPr>
      <w:r>
        <w:rPr>
          <w:rFonts w:ascii="Arial" w:cs="Arial" w:eastAsia="Arial" w:hAnsi="Arial"/>
          <w:sz w:val="16"/>
          <w:szCs w:val="16"/>
          <w:color w:val="auto"/>
        </w:rPr>
        <w:t>ASC 805 requires, among other things, that most assets acquired, and liabilities assumed be recognized at their fair values as of the acquisition date. In addition, ASC 805 requires that the consideration transferred be measured at the date the merger is completed at the then-current market price. The market price of the shares of Cohu Common Stock at the Effective Time was $25.10 which was based upon the closing price of shares of Cohu Common Stock on the NASDAQ Global Select Market on Friday, September 28, 2018, the last day of trading prior to the Effective Time.</w:t>
      </w:r>
    </w:p>
    <w:p>
      <w:pPr>
        <w:spacing w:after="0" w:line="157" w:lineRule="exact"/>
        <w:rPr>
          <w:sz w:val="20"/>
          <w:szCs w:val="20"/>
          <w:color w:val="auto"/>
        </w:rPr>
      </w:pPr>
    </w:p>
    <w:p>
      <w:pPr>
        <w:ind w:left="340"/>
        <w:spacing w:after="0" w:line="289" w:lineRule="auto"/>
        <w:rPr>
          <w:sz w:val="20"/>
          <w:szCs w:val="20"/>
          <w:color w:val="auto"/>
        </w:rPr>
      </w:pPr>
      <w:r>
        <w:rPr>
          <w:rFonts w:ascii="Arial" w:cs="Arial" w:eastAsia="Arial" w:hAnsi="Arial"/>
          <w:sz w:val="16"/>
          <w:szCs w:val="16"/>
          <w:color w:val="auto"/>
        </w:rPr>
        <w:t>ASC 820 defines the term “fair value” and sets forth the valuation requirements for any asset or liability measured at fair value, expands related disclosure requirements and specifies a hierarchy of valuation techniques based on the nature of the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an asset assume the highest and best use by these market participants. As a result of these standards, Cohu may be required to record the fair value of assets which are not intended to be used or sold and/or to value assets at fair values that do not reflect Cohu’s intended use of those assets.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66"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Under ASC 805, acquisition-related transaction costs (e.g., advisory, legal, investment banking and other professional fees) are not included as a component of consideration transferred but are accounted for as expenses in the periods in which such costs are incurred. Total Merger-related transaction costs, that exclude other costs related to employee termination and restructuring, incurred by Cohu were $0.4 million and $9.8 million in the years ended December 28, 2019 and December 29, 2018, respectively. Severance and other separation payments made to certain executive officers of Xcerra related to change-in-control with double trigger provisions in their existing employment agreements totaled $6.9 million in the year ended December 29, 2018.</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The table below summarizes the assets acquired and liabilities assumed as of the acquisition date, October 1, 2018, with purchase price allocation adjustments made subsequent to the preliminary purchase price allocation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Fair Value at</w:t>
            </w:r>
          </w:p>
        </w:tc>
        <w:tc>
          <w:tcPr>
            <w:tcW w:w="1960" w:type="dxa"/>
            <w:vAlign w:val="bottom"/>
            <w:gridSpan w:val="3"/>
          </w:tcPr>
          <w:p>
            <w:pPr>
              <w:jc w:val="center"/>
              <w:ind w:right="370"/>
              <w:spacing w:after="0"/>
              <w:rPr>
                <w:sz w:val="20"/>
                <w:szCs w:val="20"/>
                <w:color w:val="auto"/>
              </w:rPr>
            </w:pPr>
            <w:r>
              <w:rPr>
                <w:rFonts w:ascii="Arial" w:cs="Arial" w:eastAsia="Arial" w:hAnsi="Arial"/>
                <w:sz w:val="18"/>
                <w:szCs w:val="18"/>
                <w:color w:val="auto"/>
                <w:w w:val="89"/>
              </w:rPr>
              <w:t>Measurement</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Adjusted</w:t>
            </w: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center"/>
              <w:ind w:right="350"/>
              <w:spacing w:after="0"/>
              <w:rPr>
                <w:sz w:val="20"/>
                <w:szCs w:val="20"/>
                <w:color w:val="auto"/>
              </w:rPr>
            </w:pPr>
            <w:r>
              <w:rPr>
                <w:rFonts w:ascii="Arial" w:cs="Arial" w:eastAsia="Arial" w:hAnsi="Arial"/>
                <w:sz w:val="18"/>
                <w:szCs w:val="18"/>
                <w:color w:val="auto"/>
                <w:w w:val="92"/>
              </w:rPr>
              <w:t>Period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Acquisition Date</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Adjustments*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received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375,990</w:t>
            </w:r>
          </w:p>
        </w:tc>
        <w:tc>
          <w:tcPr>
            <w:tcW w:w="2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375,990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40,729</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40,729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321,160</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321,160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179,263</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180,397</w:t>
            </w:r>
          </w:p>
        </w:tc>
      </w:tr>
      <w:tr>
        <w:trPr>
          <w:trHeight w:val="20"/>
        </w:trPr>
        <w:tc>
          <w:tcPr>
            <w:tcW w:w="5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6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919,251</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919,327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(124,821)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(124,897)</w:t>
            </w:r>
          </w:p>
        </w:tc>
      </w:tr>
      <w:tr>
        <w:trPr>
          <w:trHeight w:val="20"/>
        </w:trPr>
        <w:tc>
          <w:tcPr>
            <w:tcW w:w="5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6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794,430</w:t>
            </w:r>
          </w:p>
        </w:tc>
        <w:tc>
          <w:tcPr>
            <w:tcW w:w="20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794,430</w:t>
            </w:r>
          </w:p>
        </w:tc>
      </w:tr>
      <w:tr>
        <w:trPr>
          <w:trHeight w:val="20"/>
        </w:trPr>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34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Measurement period adjustments made as a result of obtaining new facts and circumstances related to certain assets acquired and liabilities assumed as of the date of acquisition. The net impact of the measurement period adjustments were offset against goodwill.</w:t>
      </w:r>
    </w:p>
    <w:p>
      <w:pPr>
        <w:spacing w:after="0" w:line="146"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We recorded a $19.6 million step-up of inventory to its fair value as of the acquisition date based on the valuation which has been fully amortized to cost of sales as of December 28,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allocation of the intangible assets subject to amortization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r>
      <w:tr>
        <w:trPr>
          <w:trHeight w:val="216"/>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r>
      <w:tr>
        <w:trPr>
          <w:trHeight w:val="216"/>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Estimated</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Useful Life</w:t>
            </w:r>
          </w:p>
        </w:tc>
      </w:tr>
      <w:tr>
        <w:trPr>
          <w:trHeight w:val="230"/>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194,600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65,890</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36,360</w:t>
            </w:r>
          </w:p>
        </w:tc>
        <w:tc>
          <w:tcPr>
            <w:tcW w:w="1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indefinite</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Product backlog</w:t>
            </w:r>
          </w:p>
        </w:tc>
        <w:tc>
          <w:tcPr>
            <w:tcW w:w="2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6,410</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16,800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Favorable leases</w:t>
            </w:r>
          </w:p>
        </w:tc>
        <w:tc>
          <w:tcPr>
            <w:tcW w:w="2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1,100</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321,160</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0"/>
        <w:spacing w:after="0" w:line="263" w:lineRule="auto"/>
        <w:rPr>
          <w:sz w:val="20"/>
          <w:szCs w:val="20"/>
          <w:color w:val="auto"/>
        </w:rPr>
      </w:pPr>
      <w:r>
        <w:rPr>
          <w:rFonts w:ascii="Arial" w:cs="Arial" w:eastAsia="Arial" w:hAnsi="Arial"/>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84" w:lineRule="exact"/>
        <w:rPr>
          <w:sz w:val="20"/>
          <w:szCs w:val="20"/>
          <w:color w:val="auto"/>
        </w:rPr>
      </w:pPr>
    </w:p>
    <w:p>
      <w:pPr>
        <w:ind w:left="340" w:right="100"/>
        <w:spacing w:after="0" w:line="254" w:lineRule="auto"/>
        <w:rPr>
          <w:sz w:val="20"/>
          <w:szCs w:val="20"/>
          <w:color w:val="auto"/>
        </w:rPr>
      </w:pPr>
      <w:r>
        <w:rPr>
          <w:rFonts w:ascii="Arial" w:cs="Arial" w:eastAsia="Arial" w:hAnsi="Arial"/>
          <w:sz w:val="18"/>
          <w:szCs w:val="18"/>
          <w:color w:val="auto"/>
        </w:rPr>
        <w:t>The value assigned to developed technology was determined by using the multi-period excess earnings method under the income approach. Developed technology, which comprises products that have reached technological feasibility, includes the products in Xcerra’s product line. The revenue estimates used to value the developed technology were based on estimates of relevant market sizes and growth factors, expected trends in technology and the nature and expected timing of new product introductions by Xcerra and competitors. The estimated cash flows were based on revenues for the developed technology net of operating expenses and net of contributory asset charges.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2"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8"/>
          <w:szCs w:val="18"/>
          <w:color w:val="auto"/>
        </w:rPr>
        <w:t>The value assigned to customer relationships was determined by using the with and without method under the income approach, which analyzes the difference in discounted cash flows generated with the customer relationships in place compared to the discounted cash flows generated without the customer relationships in place.</w:t>
      </w:r>
    </w:p>
    <w:p>
      <w:pPr>
        <w:spacing w:after="0" w:line="184" w:lineRule="exact"/>
        <w:rPr>
          <w:sz w:val="20"/>
          <w:szCs w:val="20"/>
          <w:color w:val="auto"/>
        </w:rPr>
      </w:pPr>
    </w:p>
    <w:p>
      <w:pPr>
        <w:ind w:left="340" w:right="240"/>
        <w:spacing w:after="0" w:line="257" w:lineRule="auto"/>
        <w:rPr>
          <w:sz w:val="20"/>
          <w:szCs w:val="20"/>
          <w:color w:val="auto"/>
        </w:rPr>
      </w:pPr>
      <w:r>
        <w:rPr>
          <w:rFonts w:ascii="Arial" w:cs="Arial" w:eastAsia="Arial" w:hAnsi="Arial"/>
          <w:sz w:val="18"/>
          <w:szCs w:val="18"/>
          <w:color w:val="auto"/>
        </w:rPr>
        <w:t>In-process research and development (“IPR&amp;D”) represents the estimated fair value assigned to research and development projects acquired in a business combination that have not been completed at the date of acquisition and which have no alternative future use. IPR&amp;D is initially accounted for as an indefinite-lived intangible asset. Once a project reaches technological feasibility amounts capitalized related to the project are reclassified to developed technology and the intangible asset begins to be amortized over its estimated useful life. For the IPR&amp;D, additional research and development will be required to assess technological feasibility.</w:t>
      </w:r>
    </w:p>
    <w:p>
      <w:pPr>
        <w:spacing w:after="0" w:line="188" w:lineRule="exact"/>
        <w:rPr>
          <w:sz w:val="20"/>
          <w:szCs w:val="20"/>
          <w:color w:val="auto"/>
        </w:rPr>
      </w:pPr>
    </w:p>
    <w:p>
      <w:pPr>
        <w:ind w:left="340" w:right="640"/>
        <w:spacing w:after="0" w:line="277" w:lineRule="auto"/>
        <w:rPr>
          <w:sz w:val="20"/>
          <w:szCs w:val="20"/>
          <w:color w:val="auto"/>
        </w:rPr>
      </w:pPr>
      <w:r>
        <w:rPr>
          <w:rFonts w:ascii="Arial" w:cs="Arial" w:eastAsia="Arial" w:hAnsi="Arial"/>
          <w:sz w:val="18"/>
          <w:szCs w:val="18"/>
          <w:color w:val="auto"/>
        </w:rPr>
        <w:t>The value assigned to backlog acquired was estimated based upon the contractual nature of the backlog as of October 1, 2018, using the income approach to discount back to present value the cash flows attributable to the backlog.</w:t>
      </w:r>
    </w:p>
    <w:p>
      <w:pPr>
        <w:spacing w:after="0" w:line="170" w:lineRule="exact"/>
        <w:rPr>
          <w:sz w:val="20"/>
          <w:szCs w:val="20"/>
          <w:color w:val="auto"/>
        </w:rPr>
      </w:pPr>
    </w:p>
    <w:p>
      <w:pPr>
        <w:jc w:val="both"/>
        <w:ind w:left="340" w:right="100"/>
        <w:spacing w:after="0" w:line="342" w:lineRule="auto"/>
        <w:rPr>
          <w:sz w:val="20"/>
          <w:szCs w:val="20"/>
          <w:color w:val="auto"/>
        </w:rPr>
      </w:pPr>
      <w:r>
        <w:rPr>
          <w:rFonts w:ascii="Arial" w:cs="Arial" w:eastAsia="Arial" w:hAnsi="Arial"/>
          <w:sz w:val="16"/>
          <w:szCs w:val="16"/>
          <w:color w:val="auto"/>
        </w:rPr>
        <w:t>The value assigned to trademarks and trade names was estimated using the relief-from-royalty method of the income approach. This approach is based on the assumption that in lieu of ownership, a company would be willing to pay a royalty in order to exploit the related benefits of this intangible asset.</w:t>
      </w:r>
    </w:p>
    <w:p>
      <w:pPr>
        <w:spacing w:after="0" w:line="124"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 xml:space="preserve">In our estimate of the fair value of Xcerra’s net assets, Cohu identified leases that appear to be at both favorable and unfavorable rates compared to current market rates. As a result, Cohu has recorded both favorable and unfavorable lease assets, which are being amortized to rent expense over the terms of the related lease. As of December 29, 2018, favorable leases were reclassified from intangible assets, net to operating lease right of use assets as a result of our adoption of ASU 2016-2,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ectPr>
          <w:pgSz w:w="11900" w:h="16838" w:orient="portrait"/>
          <w:cols w:equalWidth="0" w:num="1">
            <w:col w:w="11320"/>
          </w:cols>
          <w:pgMar w:left="320" w:top="125" w:right="259" w:bottom="0" w:gutter="0" w:footer="0" w:header="0"/>
        </w:sectPr>
      </w:pP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value of our goodwill during the years ended December 28, 2019, and December 29, 2018,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Arial" w:cs="Arial" w:eastAsia="Arial" w:hAnsi="Arial"/>
                <w:sz w:val="18"/>
                <w:szCs w:val="18"/>
                <w:color w:val="auto"/>
                <w:w w:val="99"/>
              </w:rPr>
              <w:t>Semiconductor Test &amp;</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Inspection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PCB Test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 Goodwill</w:t>
            </w:r>
          </w:p>
        </w:tc>
        <w:tc>
          <w:tcPr>
            <w:tcW w:w="120" w:type="dxa"/>
            <w:vAlign w:val="bottom"/>
          </w:tcPr>
          <w:p>
            <w:pPr>
              <w:spacing w:after="0"/>
              <w:rPr>
                <w:sz w:val="20"/>
                <w:szCs w:val="20"/>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30, 2017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65,613</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65,613</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21,602</w:t>
            </w: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179,263</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Impact of currency exchange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(2,749)</w:t>
            </w:r>
          </w:p>
        </w:tc>
      </w:tr>
      <w:tr>
        <w:trPr>
          <w:trHeight w:val="210"/>
        </w:trPr>
        <w:tc>
          <w:tcPr>
            <w:tcW w:w="5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December 29, 2018</w:t>
            </w: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220,808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242,127</w:t>
            </w:r>
          </w:p>
        </w:tc>
        <w:tc>
          <w:tcPr>
            <w:tcW w:w="12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w:t>
            </w:r>
          </w:p>
        </w:tc>
      </w:tr>
      <w:tr>
        <w:trPr>
          <w:trHeight w:val="216"/>
        </w:trPr>
        <w:tc>
          <w:tcPr>
            <w:tcW w:w="512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Impairments </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Impact of currency exchange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(3,877)</w:t>
            </w:r>
          </w:p>
        </w:tc>
      </w:tr>
      <w:tr>
        <w:trPr>
          <w:trHeight w:val="20"/>
        </w:trPr>
        <w:tc>
          <w:tcPr>
            <w:tcW w:w="5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Balance December 28, 2019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218,775</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19,894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238,669</w:t>
            </w:r>
          </w:p>
        </w:tc>
      </w:tr>
      <w:tr>
        <w:trPr>
          <w:trHeight w:val="20"/>
        </w:trPr>
        <w:tc>
          <w:tcPr>
            <w:tcW w:w="5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Impairment of goodwill associated with our FSG segment that is presented as discontinued operations. This amount was not pushed down in the consolidated financial statements and was included within the balance of our Semiconductor Test &amp; Inspection segment.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Purchased intangible assets, subject to amortization,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December 28, 2019</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29, 2018</w:t>
            </w:r>
          </w:p>
        </w:tc>
      </w:tr>
      <w:tr>
        <w:trPr>
          <w:trHeight w:val="195"/>
        </w:trPr>
        <w:tc>
          <w:tcPr>
            <w:tcW w:w="2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2"/>
              </w:rPr>
              <w:t>Gross Carrying</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Accumulated</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Useful Life</w:t>
            </w:r>
          </w:p>
        </w:tc>
        <w:tc>
          <w:tcPr>
            <w:tcW w:w="10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Gross Carrying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Accumulated</w:t>
            </w:r>
          </w:p>
        </w:tc>
      </w:tr>
      <w:tr>
        <w:trPr>
          <w:trHeight w:val="230"/>
        </w:trPr>
        <w:tc>
          <w:tcPr>
            <w:tcW w:w="2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5"/>
              </w:rPr>
              <w:t>Amortization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Amortization</w:t>
            </w:r>
          </w:p>
        </w:tc>
        <w:tc>
          <w:tcPr>
            <w:tcW w:w="100" w:type="dxa"/>
            <w:vAlign w:val="bottom"/>
          </w:tcPr>
          <w:p>
            <w:pPr>
              <w:spacing w:after="0"/>
              <w:rPr>
                <w:sz w:val="20"/>
                <w:szCs w:val="20"/>
                <w:color w:val="auto"/>
              </w:rPr>
            </w:pP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227,619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49,805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214,266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21,197</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14,824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7,378</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Backlog</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6,328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4,696</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Covenant not-to-compete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0"/>
        </w:trPr>
        <w:tc>
          <w:tcPr>
            <w:tcW w:w="2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329,132</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74,945</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317,857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35,203</w:t>
            </w:r>
          </w:p>
        </w:tc>
      </w:tr>
      <w:tr>
        <w:trPr>
          <w:trHeight w:val="20"/>
        </w:trPr>
        <w:tc>
          <w:tcPr>
            <w:tcW w:w="2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Favorable leases were reclassified to operating lease right of use assets on December 30, 2018 as a result of our adoption of ASU 2016-2.</w:t>
      </w:r>
    </w:p>
    <w:p>
      <w:pPr>
        <w:spacing w:after="0" w:line="264"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The table above excludes $20.8 million and $36.3 million of in-process technology in 2019 and 2018, respectively, which has an indefinite life and is subject to impairment or future amortization as developed technology when the projects are completed. During the current year $15.3 million of in-process technology was completed and transferred to developed technology and began being amortized. Changes in the carrying values of purchased intangible assets presented above are a result of the impact of fluctuation in currency exchange rates.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Amortization expense related to purchased intangible assets was approximately $39.6 million in 2019, $17.2 million in 2018 and $4.2 million in 2017. The increases in amortization expense is the result of amortization of purchased intangible assets acquired from Xcerra. As of December 28, 2019, we expect amortization expense in future periods to be as follows: 2020 - $38.4 million; 2021 - $34.8 million; 2022 - $34.8 million; 2023 - $34.8 million 2024 - $34.8 million; and thereafter $76.8 million.</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and Credit Agreements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our borrowings as of December 28, 2019 and December 29, 2018:</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9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8"/>
                <w:szCs w:val="18"/>
                <w:color w:val="auto"/>
              </w:rPr>
              <w:t>Fiscal year ended</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December 28, 2019</w:t>
            </w:r>
          </w:p>
        </w:tc>
        <w:tc>
          <w:tcPr>
            <w:tcW w:w="182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5"/>
                <w:szCs w:val="15"/>
                <w:color w:val="auto"/>
              </w:rPr>
              <w:t xml:space="preserve">December 29, 2018 </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Bank Term Loan under Credit Agreement</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346,500</w:t>
            </w:r>
          </w:p>
        </w:tc>
        <w:tc>
          <w:tcPr>
            <w:tcW w:w="92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349,125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Bank Term Loans-Kita</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3,830</w:t>
            </w:r>
          </w:p>
        </w:tc>
        <w:tc>
          <w:tcPr>
            <w:tcW w:w="9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Bank Term Loan-Xcerra</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1,475</w:t>
            </w:r>
          </w:p>
        </w:tc>
        <w:tc>
          <w:tcPr>
            <w:tcW w:w="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Construction Loan-Rasco</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5,476</w:t>
            </w:r>
          </w:p>
        </w:tc>
        <w:tc>
          <w:tcPr>
            <w:tcW w:w="9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3,195</w:t>
            </w:r>
          </w:p>
        </w:tc>
        <w:tc>
          <w:tcPr>
            <w:tcW w:w="9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360,476</w:t>
            </w:r>
          </w:p>
        </w:tc>
        <w:tc>
          <w:tcPr>
            <w:tcW w:w="9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358,655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financing fees and discount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(6,517)</w:t>
            </w:r>
          </w:p>
        </w:tc>
        <w:tc>
          <w:tcPr>
            <w:tcW w:w="9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debt</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346,518</w:t>
            </w:r>
          </w:p>
        </w:tc>
        <w:tc>
          <w:tcPr>
            <w:tcW w:w="92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343,428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1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financing lease obligations, which are included in long-term and short-term debt in our consolidated balance sheet, as they were not material at December 29,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debt principal payments, excluding financing lease obligations, for the next five years and thereafter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4,636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333,696</w:t>
            </w:r>
          </w:p>
        </w:tc>
        <w:tc>
          <w:tcPr>
            <w:tcW w:w="100" w:type="dxa"/>
            <w:vAlign w:val="bottom"/>
          </w:tcPr>
          <w:p>
            <w:pPr>
              <w:spacing w:after="0"/>
              <w:rPr>
                <w:sz w:val="18"/>
                <w:szCs w:val="18"/>
                <w:color w:val="auto"/>
              </w:rPr>
            </w:pPr>
          </w:p>
        </w:tc>
      </w:tr>
      <w:tr>
        <w:trPr>
          <w:trHeight w:val="249"/>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25" w:lineRule="exact"/>
        <w:rPr>
          <w:sz w:val="20"/>
          <w:szCs w:val="20"/>
          <w:color w:val="auto"/>
        </w:rPr>
      </w:pPr>
    </w:p>
    <w:p>
      <w:pPr>
        <w:ind w:left="340" w:right="120"/>
        <w:spacing w:after="0" w:line="289" w:lineRule="auto"/>
        <w:rPr>
          <w:sz w:val="20"/>
          <w:szCs w:val="20"/>
          <w:color w:val="auto"/>
        </w:rPr>
      </w:pPr>
      <w:r>
        <w:rPr>
          <w:rFonts w:ascii="Arial" w:cs="Arial" w:eastAsia="Arial" w:hAnsi="Arial"/>
          <w:sz w:val="16"/>
          <w:szCs w:val="16"/>
          <w:color w:val="auto"/>
        </w:rPr>
        <w:t>On October 1, 2018, we entered into a Credit Agreement providing for a $350.0 million Credit Facility and borrowed the full amount. Loans under the Credit Facility amortize in equal quarterly installments equal to 0.25% of the original principal amount, with the balance payable at maturity. All outstanding principal and interest in respect of the Credit Facility must be repaid on or before October 1, 2025. The loans under the Term Loan Facility bear interest, at Cohu’s option, at a floating annual rate equal to LIBOR plus a margin of 3.00%. At December 28, 2019, the outstanding loan balance, net of discount and deferred financing costs, was $339.1 million and $2.3 million of the outstanding balance is presented as current installments of long-term debt in our consolidated balance sheets. The outstanding loan balance as of December 28, 2019 includes $0.9 million of principal that was paid subsequent to year-end on December 31, 2019. As of December 28, 2019, the fair value of the debt was $344.8 million. The measurement of the fair value of debt is based on the average of the bid and ask trading quotes as of December 28, 2019 and is considered a Level 2 fair value measurement. See Note 2, “Business Acquisitions” for additional information on the Credit Facility.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25" w:lineRule="exact"/>
        <w:rPr>
          <w:sz w:val="20"/>
          <w:szCs w:val="20"/>
          <w:color w:val="auto"/>
        </w:rPr>
      </w:pPr>
    </w:p>
    <w:p>
      <w:pPr>
        <w:ind w:left="340" w:right="380"/>
        <w:spacing w:after="0" w:line="257" w:lineRule="auto"/>
        <w:rPr>
          <w:sz w:val="20"/>
          <w:szCs w:val="20"/>
          <w:color w:val="auto"/>
        </w:rPr>
      </w:pPr>
      <w:r>
        <w:rPr>
          <w:rFonts w:ascii="Arial" w:cs="Arial" w:eastAsia="Arial" w:hAnsi="Arial"/>
          <w:sz w:val="18"/>
          <w:szCs w:val="18"/>
          <w:color w:val="auto"/>
        </w:rPr>
        <w:t>As a result of our acquisition of Kita, we assumed term loans from a series of Japanese financial institutions primarily related to the expansion of Kita’s facility in Osaka, Japan. The loans are collateralized by the facility and land, carry interest rates ranging from 0.05% to 0.43%, and expire at various dates through 2034. At December 28, 2019, the outstanding loan balance was $3.8 million and $0.4 million of the outstanding balance is presented as current installments of long-term debt in our consolidated balance sheets. The fair value of the debt approximates the carrying value at December 28, 2019.</w:t>
      </w:r>
    </w:p>
    <w:p>
      <w:pPr>
        <w:spacing w:after="0" w:line="188"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color w:val="auto"/>
        </w:rPr>
        <w:t>The term loans are denominated in Japanese Yen and, as a result, amounts disclosed herein will fluctuate because of changes in currency exchange rates.</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Xcerra Term Loan</w:t>
      </w:r>
    </w:p>
    <w:p>
      <w:pPr>
        <w:spacing w:after="0" w:line="225" w:lineRule="exact"/>
        <w:rPr>
          <w:sz w:val="20"/>
          <w:szCs w:val="20"/>
          <w:color w:val="auto"/>
        </w:rPr>
      </w:pPr>
    </w:p>
    <w:p>
      <w:pPr>
        <w:ind w:left="340" w:right="160"/>
        <w:spacing w:after="0" w:line="301" w:lineRule="auto"/>
        <w:rPr>
          <w:sz w:val="20"/>
          <w:szCs w:val="20"/>
          <w:color w:val="auto"/>
        </w:rPr>
      </w:pPr>
      <w:r>
        <w:rPr>
          <w:rFonts w:ascii="Arial" w:cs="Arial" w:eastAsia="Arial" w:hAnsi="Arial"/>
          <w:sz w:val="16"/>
          <w:szCs w:val="16"/>
          <w:color w:val="auto"/>
        </w:rPr>
        <w:t>As a result of our acquisition of Xcerra, we assumed a term loan related to the purchase of Xcerra’s facility in Rosenheim, Germany. The loan is payable over 10 years at an annual interest rate of 2.35%. Principal plus accrued interest is due quarterly over the duration of the term loan. At December 28, 2019, the outstanding loan balance was $1.5 million and $0.3 million of the outstanding balance is presented as current installments of long-term debt in our consolidated balance sheets. The fair value of the debt approximates the carrying value at December 28, 2019.</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term loan is denominated in Euros and, as a result, amounts disclosed herein will fluctuate because of changes in currency exchange rates.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Construction Loans</w:t>
      </w:r>
    </w:p>
    <w:p>
      <w:pPr>
        <w:spacing w:after="0" w:line="225"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color w:val="auto"/>
        </w:rPr>
        <w:t>On July 26, 2019, one of our wholly owned subsidiaries located in Germany entered into two construction loans (“Loan Facilities”) with a German financial institution providing total borrowing of €8.6 million. The Loan Facilities have 10-year and 15-year terms, which commenced on August 1, 2019, the initial draw-down date. The Loan Facilities are being utilized to finance the expansion of our facility in Kolbermoor, Germany, enabling us to combine the operations of multiple subsidiaries in one location as part of our previously announced strategic restructuring program. The Loan Facilities are secured by the land and the existing building on the site and bear interest at agreed upon rates based on separate €3.4 million and €5.2 million facility amounts.</w:t>
      </w:r>
    </w:p>
    <w:p>
      <w:pPr>
        <w:spacing w:after="0" w:line="192" w:lineRule="exact"/>
        <w:rPr>
          <w:sz w:val="20"/>
          <w:szCs w:val="20"/>
          <w:color w:val="auto"/>
        </w:rPr>
      </w:pPr>
    </w:p>
    <w:p>
      <w:pPr>
        <w:jc w:val="both"/>
        <w:ind w:left="340" w:right="220"/>
        <w:spacing w:after="0" w:line="263" w:lineRule="auto"/>
        <w:rPr>
          <w:sz w:val="20"/>
          <w:szCs w:val="20"/>
          <w:color w:val="auto"/>
        </w:rPr>
      </w:pPr>
      <w:r>
        <w:rPr>
          <w:rFonts w:ascii="Arial" w:cs="Arial" w:eastAsia="Arial" w:hAnsi="Arial"/>
          <w:sz w:val="18"/>
          <w:szCs w:val="18"/>
          <w:color w:val="auto"/>
        </w:rPr>
        <w:t>On August 1, 2019, the full €3.4 million was drawn under the first facility, which is payable over 10 years at an annual interest rate of 0.8%. Interest payments only are required to be made each quarter starting in September 2019 with principal and interest payments due each quarter starting in the month of December 2021. Principal repayments will be made over 8 years starting at the end of 2021.</w:t>
      </w:r>
    </w:p>
    <w:p>
      <w:pPr>
        <w:spacing w:after="0" w:line="184"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On December 10, 2019, we drew €1.5 million under the second facility, which is payable over 15 years at an annual interest rate of 1.05%. Interest payments only are required to be made each quarter starting in December 2019 with principal and interest payments due each quarter starting in the month of May 2020. Principal repayments will be made over 15 years starting at the end of May 2020. As of December 28, 2019, €3.7 million had not been drawn under the second facility as is expected to be drawn in the first half of 2020.</w:t>
      </w:r>
    </w:p>
    <w:p>
      <w:pPr>
        <w:spacing w:after="0" w:line="18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At December 28, 2019, total outstanding borrowings under the Loan Facilities was $5.5 million with $0.3 million of the total outstanding balance being presented as current installments of long-term debt in our consolidated balance sheets based on contractual due dates. The loans are denominated in Euros and, as a result, amounts disclosed herein will fluctuate because of changes in currency exchange rates. The fair value of the debt approximates the carrying value at December 28,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25"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$8.8 million. At December 28, 2019, total borrowings outstanding under the revolving lines of credit were $3.2 million. As these credit facility agreements renew monthly, they have been included in short-term borrowings in our consolidated balance sheet.</w:t>
      </w:r>
    </w:p>
    <w:p>
      <w:pPr>
        <w:spacing w:after="0" w:line="18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pacing w:after="0" w:line="170"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Our wholly owned Ismeca subsidiary has one available line of credit which provides it with borrowings of up to a total of 2.0 million Swiss Francs. At December 28, 2019, and December 29, 2018, no amounts were outstanding under this line of credit.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ind w:left="340" w:right="80"/>
        <w:spacing w:after="0" w:line="288" w:lineRule="auto"/>
        <w:rPr>
          <w:sz w:val="20"/>
          <w:szCs w:val="20"/>
          <w:color w:val="auto"/>
        </w:rPr>
      </w:pPr>
      <w:r>
        <w:rPr>
          <w:rFonts w:ascii="Arial" w:cs="Arial" w:eastAsia="Arial" w:hAnsi="Arial"/>
          <w:sz w:val="16"/>
          <w:szCs w:val="16"/>
          <w:color w:val="auto"/>
        </w:rPr>
        <w:t>Subsequent to the acquisition of Xcerra on October 1st, during the fourth quarter of 2018, we began a strategic restructuring program designed to reposition our organization and improve our cost structure as part of our targeted integration plan regarding the recently acquired Xcerra (“Integration Program”). See Note 2, “Business Acquisitions, Goodwill and Purchased Intangible Assets” for additional information regarding the acquisition of Xcerra. As part of the Integration Program we consolidated our global handler and contactor manufacturing operations and closed our manufacturing operations in Penang, Malaysia and Fontana, California in 2019. Relating to the facility consolidation actions, we notified certain impacted employees of a reduction in force program. In the second quarter of 2019, we entered into a social plan (“Plan”) with the German labor organization representing certain of the employees of our wholly owned subsidiary, Multitest elektronische Systeme GmbH, as part of our Integration Program. The Plan will reduce headcount, enable us to consolidate the facilities of our multiple operations located near Rosenheim, Germany, as well as transition certain manufacturing to other lower cost regions. The facility consolidation and reduction in force programs are being implemented as part of a comprehensive review of our operations and are intended to streamline and reduce our operating cost structure and capitalize on acquisition synergies.</w:t>
      </w:r>
    </w:p>
    <w:p>
      <w:pPr>
        <w:spacing w:after="0" w:line="168"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 xml:space="preserve">As a result of the activities described above, we recognized total pretax charges of $16.2 million and $37.8 million for the years ended December 28, 2019 and December 29, 2018, respectively, that are within the scope of ASC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(“ASC 420”). Severance and other separation payments made to certain executive officers of Xcerra related to change-in-control with double trigger provisions in their existing employment agreements totaled $6.9 million in the year ended December 29, 2018. Additionally, in the year ended December 29, 2018, we incurred $8.2 million of compensation costs related to the acceleration of RSUs held by certain executive officers and the Board of Directors of Xcerra because of the change in control. This non-cash expense is included in restructuring in our consolidated statements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costs of the Integration Program were, and are expected to be, incurred by our Semiconductor Test &amp; Inspection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Charges related to the Integration Program for the years ended December 28, 2019 and December 29, 2018, were as follows </w:t>
      </w:r>
      <w:r>
        <w:rPr>
          <w:rFonts w:ascii="Arial" w:cs="Arial" w:eastAsia="Arial" w:hAnsi="Arial"/>
          <w:sz w:val="17"/>
          <w:szCs w:val="17"/>
          <w:i w:val="1"/>
          <w:iCs w:val="1"/>
          <w:color w:val="auto"/>
        </w:rPr>
        <w:t>(in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Employee severance costs</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Inventory related charges</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Other restructuring costs</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Twelve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00" w:type="dxa"/>
            <w:vAlign w:val="bottom"/>
            <w:tcBorders>
              <w:top w:val="single" w:sz="8" w:color="auto"/>
            </w:tcBorders>
            <w:gridSpan w:val="5"/>
          </w:tcPr>
          <w:p>
            <w:pPr>
              <w:ind w:left="60"/>
              <w:spacing w:after="0"/>
              <w:rPr>
                <w:sz w:val="20"/>
                <w:szCs w:val="20"/>
                <w:color w:val="auto"/>
              </w:rPr>
            </w:pPr>
            <w:r>
              <w:rPr>
                <w:rFonts w:ascii="Arial" w:cs="Arial" w:eastAsia="Arial" w:hAnsi="Arial"/>
                <w:sz w:val="18"/>
                <w:szCs w:val="18"/>
                <w:color w:val="auto"/>
              </w:rPr>
              <w:t>December 28, 2019</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29, 2018</w:t>
            </w:r>
          </w:p>
        </w:tc>
        <w:tc>
          <w:tcPr>
            <w:tcW w:w="20" w:type="dxa"/>
            <w:vAlign w:val="bottom"/>
          </w:tcPr>
          <w:p>
            <w:pPr>
              <w:spacing w:after="0"/>
              <w:rPr>
                <w:sz w:val="18"/>
                <w:szCs w:val="18"/>
                <w:color w:val="auto"/>
              </w:rPr>
            </w:pPr>
          </w:p>
        </w:tc>
      </w:tr>
      <w:tr>
        <w:trPr>
          <w:trHeight w:val="195"/>
        </w:trPr>
        <w:tc>
          <w:tcPr>
            <w:tcW w:w="56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12,170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17,791</w:t>
            </w:r>
          </w:p>
        </w:tc>
        <w:tc>
          <w:tcPr>
            <w:tcW w:w="2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19,053</w:t>
            </w:r>
          </w:p>
        </w:tc>
      </w:tr>
      <w:tr>
        <w:trPr>
          <w:trHeight w:val="230"/>
        </w:trPr>
        <w:tc>
          <w:tcPr>
            <w:tcW w:w="5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r>
      <w:tr>
        <w:trPr>
          <w:trHeight w:val="210"/>
        </w:trPr>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16,213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20" w:type="dxa"/>
            <w:vAlign w:val="bottom"/>
          </w:tcPr>
          <w:p>
            <w:pPr>
              <w:spacing w:after="0"/>
              <w:rPr>
                <w:sz w:val="18"/>
                <w:szCs w:val="18"/>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-582295</wp:posOffset>
            </wp:positionV>
            <wp:extent cx="606044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-307975</wp:posOffset>
            </wp:positionV>
            <wp:extent cx="606044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80"/>
          </w:cols>
          <w:pgMar w:left="320" w:top="125" w:right="339" w:bottom="1440" w:gutter="0" w:footer="0" w:header="0"/>
          <w:type w:val="continuous"/>
        </w:sectPr>
      </w:pPr>
    </w:p>
    <w:p>
      <w:pPr>
        <w:spacing w:after="0" w:line="2"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Costs associated with restructuring activities are presented in our consolidated statements of operations as restructuring charges, except for certain costs associated with inventory charges related to the decision to end manufacturing of certain of Xcerra’s semiconductor test handler products, which are classified within cost of sales. Other restructuring costs include expenses for professional fees associated with employee severance and impairments of fixed assets.</w:t>
      </w:r>
    </w:p>
    <w:p>
      <w:pPr>
        <w:spacing w:after="0" w:line="187"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 xml:space="preserve">The following table summarizes the activity within the restructuring related accounts for the Integration Program during the years ended December 28, 2019 and December 29,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Employee</w:t>
            </w:r>
          </w:p>
        </w:tc>
        <w:tc>
          <w:tcPr>
            <w:tcW w:w="2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 Exit</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Severance</w:t>
            </w:r>
          </w:p>
        </w:tc>
        <w:tc>
          <w:tcPr>
            <w:tcW w:w="22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Costs</w:t>
            </w: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30, 2017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ind w:left="160"/>
              <w:spacing w:after="0"/>
              <w:rPr>
                <w:sz w:val="20"/>
                <w:szCs w:val="20"/>
                <w:color w:val="auto"/>
              </w:rPr>
            </w:pPr>
            <w:r>
              <w:rPr>
                <w:rFonts w:ascii="Arial" w:cs="Arial" w:eastAsia="Arial" w:hAnsi="Arial"/>
                <w:sz w:val="18"/>
                <w:szCs w:val="18"/>
                <w:color w:val="auto"/>
              </w:rPr>
              <w:t>Costs accrued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17,791</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18,704</w:t>
            </w: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paid or charged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(13,750)</w:t>
            </w: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(14,663)</w:t>
            </w:r>
          </w:p>
        </w:tc>
      </w:tr>
      <w:tr>
        <w:trPr>
          <w:trHeight w:val="216"/>
        </w:trPr>
        <w:tc>
          <w:tcPr>
            <w:tcW w:w="338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2018</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w:t>
            </w:r>
          </w:p>
        </w:tc>
      </w:tr>
      <w:tr>
        <w:trPr>
          <w:trHeight w:val="216"/>
        </w:trPr>
        <w:tc>
          <w:tcPr>
            <w:tcW w:w="3380" w:type="dxa"/>
            <w:vAlign w:val="bottom"/>
          </w:tcPr>
          <w:p>
            <w:pPr>
              <w:ind w:left="160"/>
              <w:spacing w:after="0"/>
              <w:rPr>
                <w:sz w:val="20"/>
                <w:szCs w:val="20"/>
                <w:color w:val="auto"/>
              </w:rPr>
            </w:pPr>
            <w:r>
              <w:rPr>
                <w:rFonts w:ascii="Arial" w:cs="Arial" w:eastAsia="Arial" w:hAnsi="Arial"/>
                <w:sz w:val="18"/>
                <w:szCs w:val="18"/>
                <w:color w:val="auto"/>
              </w:rPr>
              <w:t>Costs accrued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12,170</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1,314</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13,484</w:t>
            </w: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paid or charged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(14,909)</w:t>
            </w: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(16,223)</w:t>
            </w:r>
          </w:p>
        </w:tc>
      </w:tr>
      <w:tr>
        <w:trPr>
          <w:trHeight w:val="216"/>
        </w:trPr>
        <w:tc>
          <w:tcPr>
            <w:tcW w:w="338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0"/>
        </w:trPr>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28, 2019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00"/>
        <w:spacing w:after="0" w:line="311" w:lineRule="auto"/>
        <w:rPr>
          <w:sz w:val="20"/>
          <w:szCs w:val="20"/>
          <w:color w:val="auto"/>
        </w:rPr>
      </w:pPr>
      <w:r>
        <w:rPr>
          <w:rFonts w:ascii="Arial" w:cs="Arial" w:eastAsia="Arial" w:hAnsi="Arial"/>
          <w:sz w:val="16"/>
          <w:szCs w:val="16"/>
          <w:color w:val="auto"/>
        </w:rPr>
        <w:t>At December 28, 2019, our total accrual for restructuring related items is reflected within current liabilities in our consolidated balance sheets as these amounts are expected to be paid out in 2020. The estimated costs associated with the employee severance and facility consolidation actions will be paid predominantly in cash. All amounts accrued related to inventory will remain in our consolidated balance sheet until it is scrapped.</w:t>
      </w:r>
    </w:p>
    <w:p>
      <w:pPr>
        <w:sectPr>
          <w:pgSz w:w="11900" w:h="16838" w:orient="portrait"/>
          <w:cols w:equalWidth="0" w:num="1">
            <w:col w:w="11240"/>
          </w:cols>
          <w:pgMar w:left="320" w:top="125" w:right="339" w:bottom="1440" w:gutter="0" w:footer="0" w:header="0"/>
          <w:type w:val="continuous"/>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5" w:lineRule="exact"/>
        <w:rPr>
          <w:sz w:val="20"/>
          <w:szCs w:val="20"/>
          <w:color w:val="auto"/>
        </w:rPr>
      </w:pPr>
    </w:p>
    <w:p>
      <w:pPr>
        <w:ind w:left="340" w:right="160"/>
        <w:spacing w:after="0" w:line="274" w:lineRule="auto"/>
        <w:rPr>
          <w:sz w:val="20"/>
          <w:szCs w:val="20"/>
          <w:color w:val="auto"/>
        </w:rPr>
      </w:pPr>
      <w:r>
        <w:rPr>
          <w:rFonts w:ascii="Arial" w:cs="Arial" w:eastAsia="Arial" w:hAnsi="Arial"/>
          <w:sz w:val="17"/>
          <w:szCs w:val="17"/>
          <w:b w:val="1"/>
          <w:bCs w:val="1"/>
          <w:color w:val="auto"/>
        </w:rPr>
        <w:t xml:space="preserve">Defined Contribution Retirement Plans </w:t>
      </w:r>
      <w:r>
        <w:rPr>
          <w:rFonts w:ascii="Arial" w:cs="Arial" w:eastAsia="Arial" w:hAnsi="Arial"/>
          <w:sz w:val="17"/>
          <w:szCs w:val="17"/>
          <w:color w:val="auto"/>
        </w:rPr>
        <w:t>– Cohu and Xcerra each maintain defined contribution 401(k) retirement savings plans covering all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salaried and hourly U.S. employees. Participation is voluntary and participants’ contributions are based on their eligible compensation. Participants in the Cohu plan receive matching contributions of 50% up to 8% of salary contributed and participants in the Xcerra plan receive matching contributions of 50% up to 6% of salary contributed, both subject to various statutory limits. In 2019 we made matching contributions to the plan of $2.0 million. In 2018 we made contributions to the plan of $1.1 million, which includes matching contributions to the Xcerra 401(k) plan from October 1 through December 29, 2018. In 2017 we made contributions to the plan of $0.6 million.</w:t>
      </w:r>
    </w:p>
    <w:p>
      <w:pPr>
        <w:spacing w:after="0" w:line="173" w:lineRule="exact"/>
        <w:rPr>
          <w:sz w:val="20"/>
          <w:szCs w:val="20"/>
          <w:color w:val="auto"/>
        </w:rPr>
      </w:pPr>
    </w:p>
    <w:p>
      <w:pPr>
        <w:ind w:left="340" w:right="220"/>
        <w:spacing w:after="0" w:line="282" w:lineRule="auto"/>
        <w:rPr>
          <w:sz w:val="20"/>
          <w:szCs w:val="20"/>
          <w:color w:val="auto"/>
        </w:rPr>
      </w:pPr>
      <w:r>
        <w:rPr>
          <w:rFonts w:ascii="Arial" w:cs="Arial" w:eastAsia="Arial" w:hAnsi="Arial"/>
          <w:sz w:val="18"/>
          <w:szCs w:val="18"/>
          <w:b w:val="1"/>
          <w:bCs w:val="1"/>
          <w:color w:val="auto"/>
        </w:rPr>
        <w:t xml:space="preserve">Defined Benefit Retirement Plans </w:t>
      </w:r>
      <w:r>
        <w:rPr>
          <w:rFonts w:ascii="Arial" w:cs="Arial" w:eastAsia="Arial" w:hAnsi="Arial"/>
          <w:sz w:val="18"/>
          <w:szCs w:val="18"/>
          <w:color w:val="auto"/>
        </w:rPr>
        <w:t>– As a result of our acquisition of Ismeca in 2013, we took over the Ismeca Europe Semiconductor BVG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Switzerland (“the Swiss Plan”) and the following discussion relates solely to the Swiss Plan.</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Net periodic benefit cost of the Swiss Plan was as follows: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r>
      <w:tr>
        <w:trPr>
          <w:trHeight w:val="216"/>
        </w:trPr>
        <w:tc>
          <w:tcPr>
            <w:tcW w:w="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3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0"/>
        </w:trPr>
        <w:tc>
          <w:tcPr>
            <w:tcW w:w="3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Net periodic costs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r>
      <w:tr>
        <w:trPr>
          <w:trHeight w:val="20"/>
        </w:trPr>
        <w:tc>
          <w:tcPr>
            <w:tcW w:w="3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 related to the Swiss Plan:</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(29,910)</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(30,512)</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w:t>
            </w: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Plan change</w:t>
            </w: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exchange adjustment</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r>
      <w:tr>
        <w:trPr>
          <w:trHeight w:val="20"/>
        </w:trPr>
        <w:tc>
          <w:tcPr>
            <w:tcW w:w="7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(32,241)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(29,910)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18,088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17,746</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assets, net of actuarial loss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Participant contributions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r>
      <w:tr>
        <w:trPr>
          <w:trHeight w:val="216"/>
        </w:trPr>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exchange adjustment</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r>
      <w:tr>
        <w:trPr>
          <w:trHeight w:val="20"/>
        </w:trPr>
        <w:tc>
          <w:tcPr>
            <w:tcW w:w="7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18,705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18,088</w:t>
            </w:r>
          </w:p>
        </w:tc>
      </w:tr>
      <w:tr>
        <w:trPr>
          <w:trHeight w:val="20"/>
        </w:trPr>
        <w:tc>
          <w:tcPr>
            <w:tcW w:w="7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end of year</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(13,536)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(11,822)</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420"/>
        <w:spacing w:after="0" w:line="263" w:lineRule="auto"/>
        <w:rPr>
          <w:sz w:val="20"/>
          <w:szCs w:val="20"/>
          <w:color w:val="auto"/>
        </w:rPr>
      </w:pPr>
      <w:r>
        <w:rPr>
          <w:rFonts w:ascii="Arial" w:cs="Arial" w:eastAsia="Arial" w:hAnsi="Arial"/>
          <w:sz w:val="18"/>
          <w:szCs w:val="18"/>
          <w:color w:val="auto"/>
        </w:rPr>
        <w:t>At December 28, 2019 and December 29, 2018, the Swiss Plan’s net liability is included in noncurrent accrued retirement benefits. Amounts recognized in accumulated other comprehensive income net of tax related to the Swiss Plan consisted of an unrecognized net actuarial loss totaling $4.1 million at December 28, 2019, and $2.7 million at December 29, 2018.</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actuarial assumptions used to determine the projected benefit obligation under the Swiss Plan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30"/>
        </w:trPr>
        <w:tc>
          <w:tcPr>
            <w:tcW w:w="32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Compensation increase</w:t>
            </w:r>
          </w:p>
        </w:tc>
        <w:tc>
          <w:tcPr>
            <w:tcW w:w="18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418"/>
        </w:trPr>
        <w:tc>
          <w:tcPr>
            <w:tcW w:w="8040" w:type="dxa"/>
            <w:vAlign w:val="bottom"/>
            <w:gridSpan w:val="3"/>
          </w:tcPr>
          <w:p>
            <w:pPr>
              <w:jc w:val="right"/>
              <w:ind w:right="230"/>
              <w:spacing w:after="0"/>
              <w:rPr>
                <w:sz w:val="20"/>
                <w:szCs w:val="20"/>
                <w:color w:val="auto"/>
              </w:rPr>
            </w:pPr>
            <w:r>
              <w:rPr>
                <w:rFonts w:ascii="Arial" w:cs="Arial" w:eastAsia="Arial" w:hAnsi="Arial"/>
                <w:sz w:val="18"/>
                <w:szCs w:val="18"/>
                <w:color w:val="auto"/>
                <w:w w:val="89"/>
              </w:rPr>
              <w:t>Weighted-average assumptions used to determine net periodic benefit cost of the Swiss Plan are as follows:</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840" w:type="dxa"/>
            <w:vAlign w:val="bottom"/>
            <w:tcBorders>
              <w:bottom w:val="single" w:sz="8" w:color="auto"/>
            </w:tcBorders>
          </w:tcPr>
          <w:p>
            <w:pPr>
              <w:ind w:left="5280"/>
              <w:spacing w:after="0"/>
              <w:rPr>
                <w:sz w:val="20"/>
                <w:szCs w:val="20"/>
                <w:color w:val="auto"/>
              </w:rPr>
            </w:pPr>
            <w:r>
              <w:rPr>
                <w:rFonts w:ascii="Arial" w:cs="Arial" w:eastAsia="Arial" w:hAnsi="Arial"/>
                <w:sz w:val="18"/>
                <w:szCs w:val="18"/>
                <w:color w:val="auto"/>
              </w:rPr>
              <w:t>2019</w:t>
            </w:r>
          </w:p>
        </w:tc>
        <w:tc>
          <w:tcPr>
            <w:tcW w:w="1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8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0.9%</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3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1880" w:type="dxa"/>
            <w:vAlign w:val="bottom"/>
          </w:tcPr>
          <w:p>
            <w:pPr>
              <w:jc w:val="right"/>
              <w:ind w:right="1230"/>
              <w:spacing w:after="0"/>
              <w:rPr>
                <w:sz w:val="20"/>
                <w:szCs w:val="20"/>
                <w:color w:val="auto"/>
              </w:rPr>
            </w:pPr>
            <w:r>
              <w:rPr>
                <w:rFonts w:ascii="Arial" w:cs="Arial" w:eastAsia="Arial" w:hAnsi="Arial"/>
                <w:sz w:val="18"/>
                <w:szCs w:val="18"/>
                <w:color w:val="auto"/>
              </w:rPr>
              <w:t>0.9%</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3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188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1.8%</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ind w:left="340" w:right="60"/>
        <w:spacing w:after="0" w:line="263" w:lineRule="auto"/>
        <w:rPr>
          <w:sz w:val="20"/>
          <w:szCs w:val="20"/>
          <w:color w:val="auto"/>
        </w:rPr>
      </w:pPr>
      <w:r>
        <w:rPr>
          <w:rFonts w:ascii="Arial" w:cs="Arial" w:eastAsia="Arial" w:hAnsi="Arial"/>
          <w:sz w:val="18"/>
          <w:szCs w:val="18"/>
          <w:color w:val="auto"/>
        </w:rPr>
        <w:t>During 2020 employer and employee contributions to the Swiss Plan are expected to total $0.9 million. Estimated benefit payments are expected to be as follows: 2020 - $1.4 million; 2021 - $1.3 million; 2022 - $1.1 million; 2023 - $1.7 million; 2024 - $1.3 million; and $7.0 million thereafter through 2029.</w:t>
      </w:r>
    </w:p>
    <w:p>
      <w:pPr>
        <w:spacing w:after="0" w:line="184"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62% debt securities and cash, 17% real estate investments, 10% alternative investments and 11%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7, “Financial Instruments Measured at Fair Value” for additional information on the three-tier fair value hierarchy.</w:t>
      </w:r>
    </w:p>
    <w:p>
      <w:pPr>
        <w:spacing w:after="0" w:line="177"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66" w:lineRule="exact"/>
        <w:rPr>
          <w:sz w:val="20"/>
          <w:szCs w:val="20"/>
          <w:color w:val="auto"/>
        </w:rPr>
      </w:pPr>
    </w:p>
    <w:p>
      <w:pPr>
        <w:ind w:left="340" w:right="480"/>
        <w:spacing w:after="0" w:line="347" w:lineRule="auto"/>
        <w:rPr>
          <w:sz w:val="20"/>
          <w:szCs w:val="20"/>
          <w:color w:val="auto"/>
        </w:rPr>
      </w:pPr>
      <w:r>
        <w:rPr>
          <w:rFonts w:ascii="Arial" w:cs="Arial" w:eastAsia="Arial" w:hAnsi="Arial"/>
          <w:sz w:val="16"/>
          <w:szCs w:val="16"/>
          <w:b w:val="1"/>
          <w:bCs w:val="1"/>
          <w:color w:val="auto"/>
        </w:rPr>
        <w:t xml:space="preserve">Retiree Medical Benefits </w:t>
      </w:r>
      <w:r>
        <w:rPr>
          <w:rFonts w:ascii="Arial" w:cs="Arial" w:eastAsia="Arial" w:hAnsi="Arial"/>
          <w:sz w:val="16"/>
          <w:szCs w:val="16"/>
          <w:color w:val="auto"/>
        </w:rPr>
        <w:t>– We provide post-retirement health benefits to certain executives and directors under a noncontributory plan.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periodic benefit cost was $0.1 million in 2019, 2018, and 2017. We fund benefits as costs are incurred and as a result there are no plan assets.</w:t>
      </w:r>
    </w:p>
    <w:p>
      <w:pPr>
        <w:spacing w:after="0" w:line="120"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3.0% in 2019, 4.1% in 2018 and 3.4% in 2017. The annual rates of increase of the cost of health benefits was assumed to be 7.4% in 2020. This rate was then assumed to decrease 0.4% per year to 4.4% in 2027 and remain level thereafter. A one percent increase (decrease) in health care cost trend rates would increase (decrease) the 2019 net periodic benefit cost by approximately $14,000 ($12,000) and the accumulated post-retirement benefit obligation as of December 28, 2019, by approximately $318,000 ($270,000).</w:t>
      </w:r>
    </w:p>
    <w:p>
      <w:pPr>
        <w:spacing w:after="0" w:line="188" w:lineRule="exact"/>
        <w:rPr>
          <w:sz w:val="20"/>
          <w:szCs w:val="20"/>
          <w:color w:val="auto"/>
        </w:rPr>
      </w:pPr>
    </w:p>
    <w:p>
      <w:pPr>
        <w:jc w:val="both"/>
        <w:ind w:left="340" w:right="280"/>
        <w:spacing w:after="0" w:line="263" w:lineRule="auto"/>
        <w:rPr>
          <w:sz w:val="20"/>
          <w:szCs w:val="20"/>
          <w:color w:val="auto"/>
        </w:rPr>
      </w:pPr>
      <w:r>
        <w:rPr>
          <w:rFonts w:ascii="Arial" w:cs="Arial" w:eastAsia="Arial" w:hAnsi="Arial"/>
          <w:sz w:val="18"/>
          <w:szCs w:val="18"/>
          <w:color w:val="auto"/>
        </w:rPr>
        <w:t>Contributions to the post-retirement health benefit plan are expected to total $0.1 million in 2020. Estimated benefit payments are expected to be as follows: 2020 - $0.1 million; 2021 - $0.1 million; 2022 - $0.1 million; 2023 - $0.1 million; 2024 - $0.1 million and $0.7 million thereafter through 2029.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The following table sets forth the post-retirement benefit obligation, funded status and the liability we have recorded in our consolidated balance sheets:</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(2,880)</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right="40"/>
        <w:spacing w:after="0" w:line="256"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28, 2019, the payroll liability to participants, included in accrued compensation and benefits in the consolidated balance sheet, was approximately $2.0 million and the cash surrender value of the related life insurance policies included in other current assets was approximately $1.7 million. At December 29, 2018, the liability totaled $2.0 million and the corresponding assets were $1.6 million.</w:t>
      </w:r>
    </w:p>
    <w:p>
      <w:pPr>
        <w:spacing w:after="0" w:line="187"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2,650,000 shares of our common stock. On May 8, 2019, our stockholders approved an amendment to the ESPP which increased the number of ESPP shares that may be issued by 500,000.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2019 - 187,273; 2018 - 84,678 and 2017 - 99,144. At December 28, 2019, there were 911,337 shares reserved for issuance under the Plan.</w:t>
      </w:r>
    </w:p>
    <w:p>
      <w:pPr>
        <w:spacing w:after="0" w:line="187" w:lineRule="exact"/>
        <w:rPr>
          <w:sz w:val="20"/>
          <w:szCs w:val="20"/>
          <w:color w:val="auto"/>
        </w:rPr>
      </w:pPr>
    </w:p>
    <w:p>
      <w:pPr>
        <w:ind w:left="340" w:right="40"/>
        <w:spacing w:after="0" w:line="292"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At December 28, 2019, a total of 2,503,918 shares were available for future equity grants under the Cohu, Inc. 2005 Equity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Plan (“the 2005 Plan”). On May 8, 2019, our stockholders approved amendments to the 2005 Plan which increased the shares of stock available for issuance by 2,000,000 and eliminated a sublimit on the aggregate number of shares that may be issued pursuant to restricted stock, restricted stock units, performance shares or performance unit awards. 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2018 and 2017 no stock options were granted and the activity under our share-based compensation plans was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rPr>
              <w:t>Wt. Avg.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8"/>
                <w:szCs w:val="18"/>
                <w:color w:val="auto"/>
              </w:rPr>
            </w:pP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7"/>
              </w:rPr>
              <w:t>Ex. Price</w:t>
            </w: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0"/>
              </w:rPr>
              <w:t>Shares</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Ex. Price</w:t>
            </w: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 Price</w:t>
            </w:r>
          </w:p>
        </w:tc>
        <w:tc>
          <w:tcPr>
            <w:tcW w:w="100" w:type="dxa"/>
            <w:vAlign w:val="bottom"/>
          </w:tcPr>
          <w:p>
            <w:pPr>
              <w:spacing w:after="0"/>
              <w:rPr>
                <w:sz w:val="20"/>
                <w:szCs w:val="20"/>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7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r>
      <w:tr>
        <w:trPr>
          <w:trHeight w:val="20"/>
        </w:trPr>
        <w:tc>
          <w:tcPr>
            <w:tcW w:w="31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405</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0"/>
        </w:trPr>
        <w:tc>
          <w:tcPr>
            <w:tcW w:w="3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Options exercisable at year end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78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bl>
    <w:p>
      <w:pPr>
        <w:spacing w:after="0" w:line="187" w:lineRule="exact"/>
        <w:rPr>
          <w:sz w:val="20"/>
          <w:szCs w:val="20"/>
          <w:color w:val="auto"/>
        </w:rPr>
      </w:pPr>
    </w:p>
    <w:p>
      <w:pPr>
        <w:jc w:val="both"/>
        <w:ind w:left="340" w:right="180"/>
        <w:spacing w:after="0" w:line="308" w:lineRule="auto"/>
        <w:rPr>
          <w:sz w:val="20"/>
          <w:szCs w:val="20"/>
          <w:color w:val="auto"/>
        </w:rPr>
      </w:pPr>
      <w:r>
        <w:rPr>
          <w:rFonts w:ascii="Arial" w:cs="Arial" w:eastAsia="Arial" w:hAnsi="Arial"/>
          <w:sz w:val="17"/>
          <w:szCs w:val="17"/>
          <w:color w:val="auto"/>
        </w:rPr>
        <w:t>The aggregate intrinsic value of options exercised was $0.2 million in 2019, $0.9 million in 2018, and $10.1 million in 2017. At December 28, 2019, the aggregate intrinsic value of options outstanding, vested and expected to vest and exercisable was $4.4 million.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Information about stock options outstanding at December 28, 2019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Options Outstanding</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jc w:val="right"/>
              <w:ind w:right="800"/>
              <w:spacing w:after="0"/>
              <w:rPr>
                <w:sz w:val="20"/>
                <w:szCs w:val="20"/>
                <w:color w:val="auto"/>
              </w:rPr>
            </w:pPr>
            <w:r>
              <w:rPr>
                <w:rFonts w:ascii="Arial" w:cs="Arial" w:eastAsia="Arial" w:hAnsi="Arial"/>
                <w:sz w:val="18"/>
                <w:szCs w:val="18"/>
                <w:color w:val="auto"/>
              </w:rPr>
              <w:t>Options Exercisable</w:t>
            </w:r>
          </w:p>
        </w:tc>
      </w:tr>
      <w:tr>
        <w:trPr>
          <w:trHeight w:val="195"/>
        </w:trPr>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Approximate</w:t>
            </w: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6"/>
              </w:rPr>
              <w:t>Wt. Avg.</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1720" w:type="dxa"/>
            <w:vAlign w:val="bottom"/>
            <w:gridSpan w:val="3"/>
          </w:tcPr>
          <w:p>
            <w:pPr>
              <w:jc w:val="right"/>
              <w:ind w:right="350"/>
              <w:spacing w:after="0"/>
              <w:rPr>
                <w:sz w:val="20"/>
                <w:szCs w:val="20"/>
                <w:color w:val="auto"/>
              </w:rPr>
            </w:pPr>
            <w:r>
              <w:rPr>
                <w:rFonts w:ascii="Arial" w:cs="Arial" w:eastAsia="Arial" w:hAnsi="Arial"/>
                <w:sz w:val="18"/>
                <w:szCs w:val="18"/>
                <w:color w:val="auto"/>
              </w:rPr>
              <w:t>Range of</w:t>
            </w:r>
          </w:p>
        </w:tc>
        <w:tc>
          <w:tcPr>
            <w:tcW w:w="840" w:type="dxa"/>
            <w:vAlign w:val="bottom"/>
          </w:tcPr>
          <w:p>
            <w:pPr>
              <w:spacing w:after="0"/>
              <w:rPr>
                <w:sz w:val="19"/>
                <w:szCs w:val="19"/>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Number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8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Avg.</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Avg.</w:t>
            </w:r>
          </w:p>
        </w:tc>
      </w:tr>
      <w:tr>
        <w:trPr>
          <w:trHeight w:val="230"/>
        </w:trPr>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Exercise Prices</w:t>
            </w: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Life (Years)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Ex. Price</w:t>
            </w:r>
          </w:p>
        </w:tc>
        <w:tc>
          <w:tcPr>
            <w:tcW w:w="220" w:type="dxa"/>
            <w:vAlign w:val="bottom"/>
          </w:tcPr>
          <w:p>
            <w:pPr>
              <w:spacing w:after="0"/>
              <w:rPr>
                <w:sz w:val="20"/>
                <w:szCs w:val="20"/>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Exercisable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Ex. Price</w:t>
            </w:r>
          </w:p>
        </w:tc>
        <w:tc>
          <w:tcPr>
            <w:tcW w:w="100" w:type="dxa"/>
            <w:vAlign w:val="bottom"/>
          </w:tcPr>
          <w:p>
            <w:pPr>
              <w:spacing w:after="0"/>
              <w:rPr>
                <w:sz w:val="20"/>
                <w:szCs w:val="20"/>
                <w:color w:val="auto"/>
              </w:rPr>
            </w:pPr>
          </w:p>
        </w:tc>
      </w:tr>
      <w:tr>
        <w:trPr>
          <w:trHeight w:val="209"/>
        </w:trPr>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10.58</w:t>
            </w:r>
          </w:p>
        </w:tc>
        <w:tc>
          <w:tcPr>
            <w:tcW w:w="1400" w:type="dxa"/>
            <w:vAlign w:val="bottom"/>
          </w:tcPr>
          <w:p>
            <w:pPr>
              <w:jc w:val="right"/>
              <w:spacing w:after="0"/>
              <w:rPr>
                <w:sz w:val="20"/>
                <w:szCs w:val="20"/>
                <w:color w:val="auto"/>
              </w:rPr>
            </w:pPr>
            <w:r>
              <w:rPr>
                <w:rFonts w:ascii="Arial" w:cs="Arial" w:eastAsia="Arial" w:hAnsi="Arial"/>
                <w:sz w:val="18"/>
                <w:szCs w:val="18"/>
                <w:color w:val="auto"/>
              </w:rPr>
              <w:t>126</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10.58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w:t>
            </w:r>
          </w:p>
        </w:tc>
      </w:tr>
      <w:tr>
        <w:trPr>
          <w:trHeight w:val="20"/>
        </w:trPr>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363</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160"/>
        <w:spacing w:after="0" w:line="256"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Under our equity incentive plans, restricted stock units may be granted to employees, consultants and outside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vest over a one-year, two-year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December 28, 2019.</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6"/>
              </w:rPr>
              <w:t>Wt. Avg.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Avg.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8"/>
                <w:szCs w:val="18"/>
                <w:color w:val="auto"/>
              </w:rPr>
            </w:pP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0"/>
              </w:rPr>
              <w:t>Fair Value</w:t>
            </w:r>
          </w:p>
        </w:tc>
        <w:tc>
          <w:tcPr>
            <w:tcW w:w="12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2"/>
              </w:rPr>
              <w:t>Fair Value</w:t>
            </w:r>
          </w:p>
        </w:tc>
        <w:tc>
          <w:tcPr>
            <w:tcW w:w="11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23.70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14.67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r>
      <w:tr>
        <w:trPr>
          <w:trHeight w:val="20"/>
        </w:trPr>
        <w:tc>
          <w:tcPr>
            <w:tcW w:w="3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RSUs granted in 2018 in the table above include the issuance of 529,995 assumed RSUs to Xcerra employees, based on a conversion formula.</w:t>
      </w:r>
    </w:p>
    <w:p>
      <w:pPr>
        <w:spacing w:after="0" w:line="233"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b w:val="1"/>
          <w:bCs w:val="1"/>
          <w:color w:val="auto"/>
        </w:rPr>
        <w:t xml:space="preserve">Equity-Based Performance Stock Units </w:t>
      </w:r>
      <w:r>
        <w:rPr>
          <w:rFonts w:ascii="Arial" w:cs="Arial" w:eastAsia="Arial" w:hAnsi="Arial"/>
          <w:sz w:val="18"/>
          <w:szCs w:val="18"/>
          <w:color w:val="auto"/>
        </w:rPr>
        <w:t>– We grant performance stock units (“PSUs”) to certain senior executives as a part of our long-term equity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 The performance criteria for the PSUs is based on a combination of the Company’s annualized Total Shareholder Return (“TSR”) for the performance period and the relative performance of the Company’s TSR compared with the annualized TSR of certain peer companies for the performance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common stock that will ultimately be issued to settle PSUs granted over the last four years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2"/>
          </w:tcPr>
          <w:p>
            <w:pPr>
              <w:ind w:left="140"/>
              <w:spacing w:after="0"/>
              <w:rPr>
                <w:sz w:val="20"/>
                <w:szCs w:val="20"/>
                <w:color w:val="auto"/>
              </w:rPr>
            </w:pPr>
            <w:r>
              <w:rPr>
                <w:rFonts w:ascii="Arial" w:cs="Arial" w:eastAsia="Arial" w:hAnsi="Arial"/>
                <w:sz w:val="18"/>
                <w:szCs w:val="18"/>
                <w:color w:val="auto"/>
              </w:rPr>
              <w:t>Performance Criteria Period</w:t>
            </w:r>
          </w:p>
        </w:tc>
      </w:tr>
      <w:tr>
        <w:trPr>
          <w:trHeight w:val="23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 Granted</w:t>
            </w:r>
          </w:p>
        </w:tc>
        <w:tc>
          <w:tcPr>
            <w:tcW w:w="80" w:type="dxa"/>
            <w:vAlign w:val="bottom"/>
          </w:tcPr>
          <w:p>
            <w:pPr>
              <w:spacing w:after="0"/>
              <w:rPr>
                <w:sz w:val="20"/>
                <w:szCs w:val="20"/>
                <w:color w:val="auto"/>
              </w:rPr>
            </w:pPr>
          </w:p>
        </w:tc>
        <w:tc>
          <w:tcPr>
            <w:tcW w:w="23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Range of Awards</w:t>
            </w:r>
          </w:p>
        </w:tc>
        <w:tc>
          <w:tcPr>
            <w:tcW w:w="180" w:type="dxa"/>
            <w:vAlign w:val="bottom"/>
          </w:tcPr>
          <w:p>
            <w:pPr>
              <w:spacing w:after="0"/>
              <w:rPr>
                <w:sz w:val="20"/>
                <w:szCs w:val="20"/>
                <w:color w:val="auto"/>
              </w:rPr>
            </w:pPr>
          </w:p>
        </w:tc>
        <w:tc>
          <w:tcPr>
            <w:tcW w:w="2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(in years)</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200%</w:t>
            </w:r>
          </w:p>
        </w:tc>
        <w:tc>
          <w:tcPr>
            <w:tcW w:w="250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200%</w:t>
            </w:r>
          </w:p>
        </w:tc>
        <w:tc>
          <w:tcPr>
            <w:tcW w:w="2500" w:type="dxa"/>
            <w:vAlign w:val="bottom"/>
            <w:gridSpan w:val="2"/>
          </w:tcPr>
          <w:p>
            <w:pPr>
              <w:jc w:val="right"/>
              <w:ind w:right="99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200%</w:t>
            </w:r>
          </w:p>
        </w:tc>
        <w:tc>
          <w:tcPr>
            <w:tcW w:w="250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30"/>
        </w:trPr>
        <w:tc>
          <w:tcPr>
            <w:tcW w:w="39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200%</w:t>
            </w:r>
          </w:p>
        </w:tc>
        <w:tc>
          <w:tcPr>
            <w:tcW w:w="2500" w:type="dxa"/>
            <w:vAlign w:val="bottom"/>
            <w:gridSpan w:val="2"/>
          </w:tcPr>
          <w:p>
            <w:pPr>
              <w:jc w:val="right"/>
              <w:ind w:right="99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PSUs granted in 2019, 2018, 2017 and 2016 vest 100% on the third anniversary of their grant.</w:t>
      </w:r>
    </w:p>
    <w:p>
      <w:pPr>
        <w:spacing w:after="0" w:line="22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We estimated the fair value of the PSUs using a Monte Carlo simulation model on the date of grant. Compensation expense is recognized over the derived service period. New shares of our common stock will be issued on the date the PSUs vest net of the minimum statutory tax withholding requirements to be paid by us on behalf of our employees. As a result, the actual number of shares issued will be fewer than the actual number of PSUs outstanding at December 28, 2019.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PSU activity under our share-based compensation plans was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Wt. Avg.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8"/>
                <w:szCs w:val="18"/>
                <w:color w:val="auto"/>
              </w:rPr>
            </w:pP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0"/>
              </w:rPr>
              <w:t>Fair Value</w:t>
            </w:r>
          </w:p>
        </w:tc>
        <w:tc>
          <w:tcPr>
            <w:tcW w:w="12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2"/>
              </w:rPr>
              <w:t>Fair Value</w:t>
            </w:r>
          </w:p>
        </w:tc>
        <w:tc>
          <w:tcPr>
            <w:tcW w:w="11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r>
      <w:tr>
        <w:trPr>
          <w:trHeight w:val="20"/>
        </w:trPr>
        <w:tc>
          <w:tcPr>
            <w:tcW w:w="3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right="100"/>
        <w:spacing w:after="0" w:line="288"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estimate the fair value of each share-based award on the grant date using the Black-Scholes and the Monte Carlo</w:t>
      </w:r>
      <w:r>
        <w:rPr>
          <w:rFonts w:ascii="Arial" w:cs="Arial" w:eastAsia="Arial" w:hAnsi="Arial"/>
          <w:sz w:val="16"/>
          <w:szCs w:val="16"/>
          <w:b w:val="1"/>
          <w:bCs w:val="1"/>
          <w:color w:val="auto"/>
        </w:rPr>
        <w:t xml:space="preserve"> </w:t>
      </w:r>
      <w:r>
        <w:rPr>
          <w:rFonts w:ascii="Arial" w:cs="Arial" w:eastAsia="Arial" w:hAnsi="Arial"/>
          <w:sz w:val="16"/>
          <w:szCs w:val="16"/>
          <w:color w:val="auto"/>
        </w:rPr>
        <w:t>simulation valuation models.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Employee Stock Purchase Plan</w:t>
            </w:r>
          </w:p>
        </w:tc>
        <w:tc>
          <w:tcPr>
            <w:tcW w:w="1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term (years)</w:t>
            </w:r>
          </w:p>
        </w:tc>
        <w:tc>
          <w:tcPr>
            <w:tcW w:w="132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r>
      <w:tr>
        <w:trPr>
          <w:trHeight w:val="45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Restricted Stock Units</w:t>
            </w:r>
          </w:p>
        </w:tc>
        <w:tc>
          <w:tcPr>
            <w:tcW w:w="1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1,717</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7,790</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r>
      <w:tr>
        <w:trPr>
          <w:trHeight w:val="20"/>
        </w:trPr>
        <w:tc>
          <w:tcPr>
            <w:tcW w:w="5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Share-based compensation of continuing operations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14,148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10,053</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7,007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r>
      <w:tr>
        <w:trPr>
          <w:trHeight w:val="20"/>
        </w:trPr>
        <w:tc>
          <w:tcPr>
            <w:tcW w:w="5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share-based compensation, net of tax</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13,561</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9,060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6,477</w:t>
            </w:r>
          </w:p>
        </w:tc>
      </w:tr>
      <w:tr>
        <w:trPr>
          <w:trHeight w:val="20"/>
        </w:trPr>
        <w:tc>
          <w:tcPr>
            <w:tcW w:w="5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00"/>
        <w:spacing w:after="0" w:line="259" w:lineRule="auto"/>
        <w:rPr>
          <w:sz w:val="20"/>
          <w:szCs w:val="20"/>
          <w:color w:val="auto"/>
        </w:rPr>
      </w:pPr>
      <w:r>
        <w:rPr>
          <w:rFonts w:ascii="Arial" w:cs="Arial" w:eastAsia="Arial" w:hAnsi="Arial"/>
          <w:sz w:val="18"/>
          <w:szCs w:val="18"/>
          <w:color w:val="auto"/>
        </w:rPr>
        <w:t>We account for forfeitures of plan based awards as they occur. Share based compensation for the year ended December 29, 2018, excludes $8.2 million of compensation recorded related to the acceleration of RSU awards held by certain executive officers and the Board of Directors of Xcerra because of the change in control. This non-cash expense has been included in restructuring charges in our consolidated statements of operations for the year ended December 28, 2019.</w:t>
      </w:r>
    </w:p>
    <w:p>
      <w:pPr>
        <w:spacing w:after="0" w:line="187" w:lineRule="exact"/>
        <w:rPr>
          <w:sz w:val="20"/>
          <w:szCs w:val="20"/>
          <w:color w:val="auto"/>
        </w:rPr>
      </w:pPr>
    </w:p>
    <w:p>
      <w:pPr>
        <w:ind w:left="340" w:right="260"/>
        <w:spacing w:after="0" w:line="308" w:lineRule="auto"/>
        <w:rPr>
          <w:sz w:val="20"/>
          <w:szCs w:val="20"/>
          <w:color w:val="auto"/>
        </w:rPr>
      </w:pPr>
      <w:r>
        <w:rPr>
          <w:rFonts w:ascii="Arial" w:cs="Arial" w:eastAsia="Arial" w:hAnsi="Arial"/>
          <w:sz w:val="17"/>
          <w:szCs w:val="17"/>
          <w:color w:val="auto"/>
        </w:rPr>
        <w:t>At December 28, 2019, we had approximately $18.7 million of pre-tax unrecognized compensation cost related to unvested restricted stock units and performance stock units which is expected to be recognized over a weighted-average period of approximately 2.2 years.</w:t>
      </w:r>
    </w:p>
    <w:p>
      <w:pPr>
        <w:spacing w:after="0" w:line="1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9" w:lineRule="exact"/>
        <w:rPr>
          <w:rFonts w:ascii="Arial" w:cs="Arial" w:eastAsia="Arial" w:hAnsi="Arial"/>
          <w:sz w:val="18"/>
          <w:szCs w:val="18"/>
          <w:b w:val="1"/>
          <w:bCs w:val="1"/>
          <w:color w:val="auto"/>
        </w:rPr>
      </w:pPr>
    </w:p>
    <w:p>
      <w:pPr>
        <w:jc w:val="both"/>
        <w:ind w:left="34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Our cash, cash equivalents, and short-term investments consisted primarily of cash and other investment grade securities. We do not hold investment securities for trading purposes. All short-term investments, which are comprised entirely of short-term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71"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8"/>
                <w:szCs w:val="18"/>
                <w:color w:val="auto"/>
              </w:rPr>
              <w:t>At December 28, 2019</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13"/>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r>
      <w:tr>
        <w:trPr>
          <w:trHeight w:val="230"/>
        </w:trPr>
        <w:tc>
          <w:tcPr>
            <w:tcW w:w="3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left="13"/>
              <w:spacing w:after="0" w:line="230" w:lineRule="exact"/>
              <w:rPr>
                <w:sz w:val="20"/>
                <w:szCs w:val="20"/>
                <w:color w:val="auto"/>
              </w:rPr>
            </w:pPr>
            <w:r>
              <w:rPr>
                <w:rFonts w:ascii="Arial" w:cs="Arial" w:eastAsia="Arial" w:hAnsi="Arial"/>
                <w:sz w:val="16"/>
                <w:szCs w:val="16"/>
                <w:color w:val="auto"/>
                <w:w w:val="91"/>
              </w:rPr>
              <w:t xml:space="preserve">Losses </w:t>
            </w:r>
            <w:r>
              <w:rPr>
                <w:rFonts w:ascii="Arial" w:cs="Arial" w:eastAsia="Arial" w:hAnsi="Arial"/>
                <w:sz w:val="26"/>
                <w:szCs w:val="26"/>
                <w:color w:val="auto"/>
                <w:w w:val="91"/>
                <w:vertAlign w:val="superscript"/>
              </w:rPr>
              <w:t>(1)</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8"/>
                <w:szCs w:val="18"/>
                <w:color w:val="auto"/>
              </w:rPr>
              <w:t>At December 29, 2018</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13"/>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r>
      <w:tr>
        <w:trPr>
          <w:trHeight w:val="230"/>
        </w:trPr>
        <w:tc>
          <w:tcPr>
            <w:tcW w:w="3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left="13"/>
              <w:spacing w:after="0" w:line="230" w:lineRule="exact"/>
              <w:rPr>
                <w:sz w:val="20"/>
                <w:szCs w:val="20"/>
                <w:color w:val="auto"/>
              </w:rPr>
            </w:pPr>
            <w:r>
              <w:rPr>
                <w:rFonts w:ascii="Arial" w:cs="Arial" w:eastAsia="Arial" w:hAnsi="Arial"/>
                <w:sz w:val="16"/>
                <w:szCs w:val="16"/>
                <w:color w:val="auto"/>
                <w:w w:val="91"/>
              </w:rPr>
              <w:t xml:space="preserve">Losses </w:t>
            </w:r>
            <w:r>
              <w:rPr>
                <w:rFonts w:ascii="Arial" w:cs="Arial" w:eastAsia="Arial" w:hAnsi="Arial"/>
                <w:sz w:val="26"/>
                <w:szCs w:val="26"/>
                <w:color w:val="auto"/>
                <w:w w:val="91"/>
                <w:vertAlign w:val="superscript"/>
              </w:rPr>
              <w:t>(1)</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left="340" w:right="3820" w:hanging="8"/>
        <w:spacing w:after="0" w:line="563" w:lineRule="auto"/>
        <w:tabs>
          <w:tab w:leader="none" w:pos="6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December 28, 2019 and December 29, 2018 we had no investments with loss positions. Effective maturities of short-term investments at December 28,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-546735</wp:posOffset>
            </wp:positionV>
            <wp:extent cx="6926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Estimated</w:t>
            </w:r>
          </w:p>
        </w:tc>
      </w:tr>
      <w:tr>
        <w:trPr>
          <w:trHeight w:val="230"/>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1"/>
              </w:rPr>
              <w:t>Cost</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r>
      <w:tr>
        <w:trPr>
          <w:trHeight w:val="250"/>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one year through three years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right="820"/>
        <w:spacing w:after="0" w:line="277"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gridSpan w:val="12"/>
          </w:tcPr>
          <w:p>
            <w:pPr>
              <w:jc w:val="right"/>
              <w:ind w:right="800"/>
              <w:spacing w:after="0"/>
              <w:rPr>
                <w:sz w:val="20"/>
                <w:szCs w:val="20"/>
                <w:color w:val="auto"/>
              </w:rPr>
            </w:pPr>
            <w:r>
              <w:rPr>
                <w:rFonts w:ascii="Arial" w:cs="Arial" w:eastAsia="Arial" w:hAnsi="Arial"/>
                <w:sz w:val="18"/>
                <w:szCs w:val="18"/>
                <w:color w:val="auto"/>
              </w:rPr>
              <w:t>Fair value measurements at December 28, 2019 using:</w:t>
            </w:r>
          </w:p>
        </w:tc>
      </w:tr>
      <w:tr>
        <w:trPr>
          <w:trHeight w:val="195"/>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fair value</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147,523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7,671</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7,671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r>
        <w:trPr>
          <w:trHeight w:val="20"/>
        </w:trPr>
        <w:tc>
          <w:tcPr>
            <w:tcW w:w="5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147,523</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156,098</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12"/>
          </w:tcPr>
          <w:p>
            <w:pPr>
              <w:jc w:val="right"/>
              <w:ind w:right="800"/>
              <w:spacing w:after="0"/>
              <w:rPr>
                <w:sz w:val="20"/>
                <w:szCs w:val="20"/>
                <w:color w:val="auto"/>
              </w:rPr>
            </w:pPr>
            <w:r>
              <w:rPr>
                <w:rFonts w:ascii="Arial" w:cs="Arial" w:eastAsia="Arial" w:hAnsi="Arial"/>
                <w:sz w:val="18"/>
                <w:szCs w:val="18"/>
                <w:color w:val="auto"/>
              </w:rPr>
              <w:t>Fair value measurements at December 29, 2018 using:</w:t>
            </w:r>
          </w:p>
        </w:tc>
      </w:tr>
      <w:tr>
        <w:trPr>
          <w:trHeight w:val="195"/>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fair value</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144,696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19,764</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19,764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0"/>
        </w:trPr>
        <w:tc>
          <w:tcPr>
            <w:tcW w:w="5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144,696</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20,324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165,020</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provision (benefit) for income taxes for continuing operations are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4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2,173</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8,787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6,005</w:t>
            </w:r>
          </w:p>
        </w:tc>
      </w:tr>
      <w:tr>
        <w:trPr>
          <w:trHeight w:val="20"/>
        </w:trPr>
        <w:tc>
          <w:tcPr>
            <w:tcW w:w="3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Deferred:</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(3,451)</w:t>
            </w:r>
          </w:p>
        </w:tc>
      </w:tr>
      <w:tr>
        <w:trPr>
          <w:trHeight w:val="216"/>
        </w:trPr>
        <w:tc>
          <w:tcPr>
            <w:tcW w:w="3420" w:type="dxa"/>
            <w:vAlign w:val="bottom"/>
          </w:tcPr>
          <w:p>
            <w:pPr>
              <w:ind w:left="160"/>
              <w:spacing w:after="0"/>
              <w:rPr>
                <w:sz w:val="20"/>
                <w:szCs w:val="20"/>
                <w:color w:val="auto"/>
              </w:rPr>
            </w:pPr>
            <w:r>
              <w:rPr>
                <w:rFonts w:ascii="Arial" w:cs="Arial" w:eastAsia="Arial" w:hAnsi="Arial"/>
                <w:sz w:val="18"/>
                <w:szCs w:val="18"/>
                <w:color w:val="auto"/>
              </w:rPr>
              <w:t>U.S. State</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r>
      <w:tr>
        <w:trPr>
          <w:trHeight w:val="216"/>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(5,484)</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(8,263)</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0"/>
        </w:trPr>
        <w:tc>
          <w:tcPr>
            <w:tcW w:w="342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2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(5,385)</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(8,207)</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(3,791)</w:t>
            </w:r>
          </w:p>
        </w:tc>
      </w:tr>
      <w:tr>
        <w:trPr>
          <w:trHeight w:val="20"/>
        </w:trPr>
        <w:tc>
          <w:tcPr>
            <w:tcW w:w="3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(3,082)</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income taxes from continuing operations consisted of the following:</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(42,682)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Foreign</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33,935</w:t>
            </w:r>
          </w:p>
        </w:tc>
      </w:tr>
      <w:tr>
        <w:trPr>
          <w:trHeight w:val="20"/>
        </w:trPr>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(72,077)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35,365</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180"/>
        <w:spacing w:after="0" w:line="273" w:lineRule="auto"/>
        <w:rPr>
          <w:sz w:val="20"/>
          <w:szCs w:val="20"/>
          <w:color w:val="auto"/>
        </w:rPr>
      </w:pPr>
      <w:r>
        <w:rPr>
          <w:rFonts w:ascii="Arial" w:cs="Arial" w:eastAsia="Arial" w:hAnsi="Arial"/>
          <w:sz w:val="17"/>
          <w:szCs w:val="17"/>
          <w:color w:val="auto"/>
        </w:rPr>
        <w:t>The Tax Act was enacted on December 22, 2017, and introduced significant changes to U.S. income tax law. Effective in 2018, the Tax Act reduced the U.S. statutory tax rate from 35% to 21% and created new taxes on certain foreign-sourced earnings and related-party payments, which are referred to as the global intangible low-taxed income (“GILTI”) tax and the base erosion and anti-abuse tax, respectively. In addition, in 2017 we were subject to a one-time transition tax on accumulated foreign subsidiary earnings not previously subject to U.S. income tax. The Tax Act also repealed the alternative minimum tax (AMT) effective January 1, 2018, and made changes to net operating loss provisions, expensing of certain assets and capitalization of research and development expense with such changes effective for 2018 and later years.</w:t>
      </w:r>
    </w:p>
    <w:p>
      <w:pPr>
        <w:spacing w:after="0" w:line="178" w:lineRule="exact"/>
        <w:rPr>
          <w:sz w:val="20"/>
          <w:szCs w:val="20"/>
          <w:color w:val="auto"/>
        </w:rPr>
      </w:pPr>
    </w:p>
    <w:p>
      <w:pPr>
        <w:ind w:left="340" w:right="180"/>
        <w:spacing w:after="0" w:line="257" w:lineRule="auto"/>
        <w:rPr>
          <w:sz w:val="20"/>
          <w:szCs w:val="20"/>
          <w:color w:val="auto"/>
        </w:rPr>
      </w:pPr>
      <w:r>
        <w:rPr>
          <w:rFonts w:ascii="Arial" w:cs="Arial" w:eastAsia="Arial" w:hAnsi="Arial"/>
          <w:sz w:val="18"/>
          <w:szCs w:val="18"/>
          <w:color w:val="auto"/>
        </w:rPr>
        <w:t>Due to the timing of the enactment and the complexity involved in applying the provisions of the Tax Act, the Company made reasonable estimates of the effects and recorded provisional amounts in our financial statements as of December 30, 2017 by applying the guidance in SAB 118 because we had not completed our accounting for these effects. During 2018, the Company completed the accounting for these effects. Except as described below under “One-time transition tax”, due to the valuation allowance against our deferred tax assets, there was no net change made in 2018 to our 2017 enactment-date provisional income tax.</w:t>
      </w:r>
    </w:p>
    <w:p>
      <w:pPr>
        <w:sectPr>
          <w:pgSz w:w="11900" w:h="16838" w:orient="portrait"/>
          <w:cols w:equalWidth="0" w:num="1">
            <w:col w:w="11320"/>
          </w:cols>
          <w:pgMar w:left="320" w:top="125" w:right="259" w:bottom="1440" w:gutter="0" w:footer="0" w:header="0"/>
        </w:sectPr>
      </w:pP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jc w:val="both"/>
        <w:ind w:left="340" w:right="140"/>
        <w:spacing w:after="0" w:line="263" w:lineRule="auto"/>
        <w:rPr>
          <w:sz w:val="20"/>
          <w:szCs w:val="20"/>
          <w:color w:val="auto"/>
        </w:rPr>
      </w:pPr>
      <w:r>
        <w:rPr>
          <w:rFonts w:ascii="Arial" w:cs="Arial" w:eastAsia="Arial" w:hAnsi="Arial"/>
          <w:sz w:val="18"/>
          <w:szCs w:val="18"/>
          <w:color w:val="auto"/>
        </w:rPr>
        <w:t>Under GAAP, we are allowed to make an accounting policy election to either (i) treat taxes due on future U.S. inclusions in taxable income related to GILTI as a current-period expense when incurred or (ii) factor such amounts into a company’s measurement of its deferred taxes. We have elected to account for GILTI as a period cost.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One-time transition tax</w:t>
      </w:r>
    </w:p>
    <w:p>
      <w:pPr>
        <w:spacing w:after="0" w:line="225"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The Tax Act required us to pay U.S. income taxes on accumulated foreign subsidiary earnings not previously subject to U.S. income tax at a rate of 15.5% to the extent of foreign cash and certain other net current assets and 8% on the remaining earnings. Foreign tax credits and net operating losses may be used to reduce this tax which is referred to as a transition or deemed repatriation tax.</w:t>
      </w:r>
    </w:p>
    <w:p>
      <w:pPr>
        <w:spacing w:after="0" w:line="184"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In 2017 we recorded a provisional amount for our one-time transition tax liability of $16.6 million and used foreign tax credits and net operating losses to fully offset this liability. In 2018 the IRS and U.S. Treasury issued Notice 2018-29 that addresses certain aspects of the calculation of the transition tax (“Notice 2018-29”). Application of Notice 2018-29 resulted in an increase to our transition tax liability of approximately $5.1 million that was fully offset by net operating losses resulting in no net increase to income tax expense.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Deferred tax effects</w:t>
      </w:r>
    </w:p>
    <w:p>
      <w:pPr>
        <w:spacing w:after="0" w:line="225"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The Tax Act reduces the U.S. statutory tax rate from 35% to 21% for years after 2017. Accordingly, we remeasured our deferred taxes as of December 30, 2017 to reflect the reduced rate that will apply in future periods when these deferred taxes are settled or realized. We recognized a deferred tax benefit of $4.0 million, net of a reduction in the related valuation allowance, to reflect the reduced U.S. tax rate and other effects of the Tax Act including the change in the life of NOL carryforwards from 20 years to indefinite.</w:t>
      </w:r>
    </w:p>
    <w:p>
      <w:pPr>
        <w:spacing w:after="0" w:line="187" w:lineRule="exact"/>
        <w:rPr>
          <w:sz w:val="20"/>
          <w:szCs w:val="20"/>
          <w:color w:val="auto"/>
        </w:rPr>
      </w:pPr>
    </w:p>
    <w:p>
      <w:pPr>
        <w:jc w:val="both"/>
        <w:ind w:left="340" w:right="340"/>
        <w:spacing w:after="0" w:line="259" w:lineRule="auto"/>
        <w:rPr>
          <w:sz w:val="20"/>
          <w:szCs w:val="20"/>
          <w:color w:val="auto"/>
        </w:rPr>
      </w:pPr>
      <w:r>
        <w:rPr>
          <w:rFonts w:ascii="Arial" w:cs="Arial" w:eastAsia="Arial" w:hAnsi="Arial"/>
          <w:sz w:val="18"/>
          <w:szCs w:val="18"/>
          <w:color w:val="auto"/>
        </w:rPr>
        <w:t>Beginning in 2018, the Tax Act provides a 100% deduction for dividends received from 10-percent owned foreign corporations by U.S. corporate shareholders, subject to a one-year holding period. Although dividend income is now exempt from U.S. federal tax in the hands of U.S. corporate shareholders, we must still apply the guidance of ASC 740-30-25-18 to account for the tax consequences of outside basis differences and other tax impacts of their investments in non-U.S. subsidiaries.</w:t>
      </w:r>
    </w:p>
    <w:p>
      <w:pPr>
        <w:spacing w:after="0" w:line="187"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Except for working capital requirements in certain foreign jurisdictions, we provide for all taxes, including withholding and other residual taxes, related to unremitted earnings of our foreign subsidiaries.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Inventory, receivable and warranty reserves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11,896</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12,560</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65,587</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36,489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34,251</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employee benefits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5,134</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2,108</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7,885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7,827</w:t>
            </w:r>
          </w:p>
        </w:tc>
      </w:tr>
      <w:tr>
        <w:trPr>
          <w:trHeight w:val="20"/>
        </w:trPr>
        <w:tc>
          <w:tcPr>
            <w:tcW w:w="6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deferred tax assets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127,467</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(93,498)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(84,718)</w:t>
            </w:r>
          </w:p>
        </w:tc>
      </w:tr>
      <w:tr>
        <w:trPr>
          <w:trHeight w:val="20"/>
        </w:trPr>
        <w:tc>
          <w:tcPr>
            <w:tcW w:w="6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42,749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fixed asset related</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3,156</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Intangible assets and other acquisition basis differences</w:t>
            </w:r>
          </w:p>
        </w:tc>
        <w:tc>
          <w:tcPr>
            <w:tcW w:w="3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62,325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70,415</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Unremitted earnings of foreign subsidiaries</w:t>
            </w:r>
          </w:p>
        </w:tc>
        <w:tc>
          <w:tcPr>
            <w:tcW w:w="3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5,257</w:t>
            </w:r>
          </w:p>
        </w:tc>
      </w:tr>
      <w:tr>
        <w:trPr>
          <w:trHeight w:val="20"/>
        </w:trPr>
        <w:tc>
          <w:tcPr>
            <w:tcW w:w="6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78,828</w:t>
            </w:r>
          </w:p>
        </w:tc>
      </w:tr>
      <w:tr>
        <w:trPr>
          <w:trHeight w:val="20"/>
        </w:trPr>
        <w:tc>
          <w:tcPr>
            <w:tcW w:w="69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980" w:type="dxa"/>
            <w:vAlign w:val="bottom"/>
          </w:tcPr>
          <w:p>
            <w:pPr>
              <w:ind w:left="480"/>
              <w:spacing w:after="0"/>
              <w:rPr>
                <w:sz w:val="20"/>
                <w:szCs w:val="20"/>
                <w:color w:val="auto"/>
              </w:rPr>
            </w:pPr>
            <w:r>
              <w:rPr>
                <w:rFonts w:ascii="Arial" w:cs="Arial" w:eastAsia="Arial" w:hAnsi="Arial"/>
                <w:sz w:val="18"/>
                <w:szCs w:val="18"/>
                <w:color w:val="auto"/>
              </w:rPr>
              <w:t>Net deferred tax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(26,424)</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(36,079)</w:t>
            </w:r>
          </w:p>
        </w:tc>
      </w:tr>
      <w:tr>
        <w:trPr>
          <w:trHeight w:val="20"/>
        </w:trPr>
        <w:tc>
          <w:tcPr>
            <w:tcW w:w="6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5"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6"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loss history at the end of various fiscal periods including 2019.</w:t>
      </w:r>
    </w:p>
    <w:p>
      <w:pPr>
        <w:spacing w:after="0" w:line="18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2019 we were unable to conclude that it was “more likely than not” that our U.S. DTAs would be realized. We will evaluate the realizability of our DTAs at the end of each quarterly reporting period in 2020 and should circumstances change it is possible an additional valuation allowance will be recorded or the remaining valuation allowance, or a portion thereof, will be reversed in a future period.</w:t>
      </w:r>
    </w:p>
    <w:p>
      <w:pPr>
        <w:spacing w:after="0" w:line="187"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color w:val="auto"/>
        </w:rPr>
        <w:t>Our valuation allowance on our DTAs at December 28, 2019, and December 29, 2018, was approximately $93.5 million and $84.7 million, respectively. The remaining gross DTAs for which a valuation allowance was not recorded are realizable primarily through future reversals of existing taxable temporary differences.</w:t>
      </w:r>
    </w:p>
    <w:p>
      <w:pPr>
        <w:spacing w:after="0" w:line="184"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by our non-U.S. subsidiaries were not a source of taxable income in assessing the realization of our DTAs in the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for continuing operations is as follows:</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U.S. 21% statutory rate (35% in 2017)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(15,136)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Impact of Tax Act, before reduction in valuation allowance</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5,095</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12,397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tax benefit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(1,097)</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(1,731)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(2,801)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 limited by Section 162(m)</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11,270</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(13,484)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related costs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GILTI</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2,480</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6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color w:val="auto"/>
        </w:rPr>
        <w:t>At December 28, 2019, including carryforwards from the Xcerra acquisition as described below, we had federal, state and foreign net operating loss carryforwards of approximately $246.9 million, $160.5 million and $25.1 million, respectively, that expire in various tax years beginning in 2020 through 2039 or have no expiration date. We also have federal and state tax credit carryforwards at December 28, 2019 of approximately $11.5 million and $31.6 million, respectively, certain of which expire in various tax years beginning in 2020 through 2039 or have no expiration date. The federal and state loss and credit carryforwards are subject to annual limitations under Sections 382 and 383 of the Internal Revenue Code and applicable state tax law. We believe the state tax credit is not likely to be realized in the foreseeable future.</w:t>
      </w:r>
    </w:p>
    <w:p>
      <w:pPr>
        <w:spacing w:after="0" w:line="178"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The Company has completed a Section 382 and 383 analysis of the Internal Revenue Code and applicable state law, regarding the limitation of its net operating loss and business tax credit carryforwards as of December 28, 2019. As a result of the analysis, the Company concluded that the acquisition of Xcerra on October 1, 2018, triggered a limitation in the utilization of Xcerra’s net operating loss and research credit carryforwards. The Company has reduced its deferred tax assets related to the Xcerra U.S. net operating loss and credit carryforwards that are anticipated to expire unused as a result of ownership changes. These tax attributes have been excluded from deferred tax assets with a corresponding reduction of the valuation allowance with no net effect on the income tax provision or effective tax rate. The Company will continue to assess the realizability of these carryforwards in subsequent periods. Future changes in the ownership of Cohu could further limit the utilization of these carryforwards.</w:t>
      </w:r>
    </w:p>
    <w:p>
      <w:pPr>
        <w:spacing w:after="0" w:line="166" w:lineRule="exact"/>
        <w:rPr>
          <w:sz w:val="20"/>
          <w:szCs w:val="20"/>
          <w:color w:val="auto"/>
        </w:rPr>
      </w:pPr>
    </w:p>
    <w:p>
      <w:pPr>
        <w:jc w:val="both"/>
        <w:ind w:left="340" w:right="40"/>
        <w:spacing w:after="0" w:line="286" w:lineRule="auto"/>
        <w:rPr>
          <w:sz w:val="20"/>
          <w:szCs w:val="20"/>
          <w:color w:val="auto"/>
        </w:rPr>
      </w:pPr>
      <w:r>
        <w:rPr>
          <w:rFonts w:ascii="Arial" w:cs="Arial" w:eastAsia="Arial" w:hAnsi="Arial"/>
          <w:sz w:val="17"/>
          <w:szCs w:val="17"/>
          <w:color w:val="auto"/>
        </w:rPr>
        <w:t>We have certain tax holidays with respect to our operations in Malaysia and the Philippines. These holidays require compliance with certain conditions and expire at various dates through 2027. The impact of these holidays was an increase in net income of approximately $2.1 million or $0.05 per share in 2019, $2.4 million, or $0.08 per share, in 2018 and $2.8 million, or $0.10 per share, in fiscal 2017.</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our gross unrecognized tax benefits, excluding accrued interest and penalties,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34,701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1,231</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of prior years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(957)</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Additions related to Xcerra and Kita acquisitions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Reductions due to settlements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 impact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34,565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34,701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vMerge w:val="restart"/>
          </w:tcPr>
          <w:p>
            <w:pPr>
              <w:jc w:val="right"/>
              <w:ind w:right="350"/>
              <w:spacing w:after="0"/>
              <w:rPr>
                <w:sz w:val="20"/>
                <w:szCs w:val="20"/>
                <w:color w:val="auto"/>
              </w:rPr>
            </w:pPr>
            <w:r>
              <w:rPr>
                <w:rFonts w:ascii="Arial" w:cs="Arial" w:eastAsia="Arial" w:hAnsi="Arial"/>
                <w:sz w:val="18"/>
                <w:szCs w:val="18"/>
                <w:color w:val="auto"/>
              </w:rPr>
              <w:t>69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If the unrecognized tax benefits at December 28, 2019 are ultimately recognized, excluding the impact of U.S. tax benefits netted against deferred taxes that are subject to a valuation allowance, approximately $7.0 million ($8.2 million at December 29, 2018) would result in a reduction in our income tax expense and effective tax rate. It is reasonably possible that our gross unrecognized tax benefits as of December 28, 2019, could decrease in 2020 by approximately $0.4 million as a result of the expiration of certain statutes of limitations.</w:t>
      </w:r>
    </w:p>
    <w:p>
      <w:pPr>
        <w:spacing w:after="0" w:line="187" w:lineRule="exact"/>
        <w:rPr>
          <w:sz w:val="20"/>
          <w:szCs w:val="20"/>
          <w:color w:val="auto"/>
        </w:rPr>
      </w:pPr>
    </w:p>
    <w:p>
      <w:pPr>
        <w:jc w:val="both"/>
        <w:ind w:left="340" w:right="80"/>
        <w:spacing w:after="0" w:line="263"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$1.3 million and $1.5 million accrued for the payment of interest and penalties at December 28, 2019, and December 29, 2018, respectively. Interest expense, net of accrued interest reversed, was $(0.3) million in 2019, $0.6 million in 2018 and $(0.3) million in 2017.</w:t>
      </w:r>
    </w:p>
    <w:p>
      <w:pPr>
        <w:spacing w:after="0" w:line="184"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Our U.S. federal and state income tax returns for years after 2015 and 2014,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 Our German subsidiaries income tax returns for 2012 to 2016 are currently under routine examination by tax authorities in Germany. Our Philippines subsidiary income tax return for 2017 is currently under routine examination by the Bureau of Internal Revenue. The examination of our Japan subsidiary income tax returns for 2017 and 2018 was concluded in 2019.</w:t>
      </w:r>
    </w:p>
    <w:p>
      <w:pPr>
        <w:spacing w:after="0" w:line="200" w:lineRule="exact"/>
        <w:rPr>
          <w:sz w:val="20"/>
          <w:szCs w:val="20"/>
          <w:color w:val="auto"/>
        </w:rPr>
      </w:pPr>
    </w:p>
    <w:p>
      <w:pPr>
        <w:spacing w:after="0" w:line="216"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color w:val="auto"/>
        </w:rPr>
        <w:t xml:space="preserve">We applied the provisions of 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After the acquisition of Xcerra on October 1, 2018, we determined that our four identified operating segments are: Test Handler Group (THG), Semiconductor Tester Group (STG), Interface Solutions Group (ISG) and PCB Test Group (PTG). Our THG, STG and ISG operating segments qualify for aggregation under ASC 280 due to similarities in their customers, their economic characteristics, and the nature of products and services provided. As a result, we report in two segments, Semiconductor Test &amp; Inspection and PCB Test.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540,878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443,276</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352,704</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42,451</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8,492</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Total consolidated net sales for reportable segments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583,329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451,768</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352,704</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profit (loss) before tax:</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(45,072)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2,489</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42,535</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2,635</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(5,154)</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Profit (loss) for reportable segments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(42,437)</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(2,665)</w:t>
            </w: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42,535</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(9,848)</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(25,457)</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(7,787)</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(20,556)</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(4,977)</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1,187</w:t>
            </w: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 before taxes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(72,077)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(31,912)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35,365</w:t>
            </w:r>
          </w:p>
        </w:tc>
        <w:tc>
          <w:tcPr>
            <w:tcW w:w="80" w:type="dxa"/>
            <w:vAlign w:val="bottom"/>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70</w:t>
            </w: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500" w:type="dxa"/>
            <w:vAlign w:val="bottom"/>
          </w:tcPr>
          <w:p>
            <w:pPr>
              <w:spacing w:after="0"/>
              <w:rPr>
                <w:sz w:val="16"/>
                <w:szCs w:val="16"/>
                <w:color w:val="auto"/>
              </w:rPr>
            </w:pPr>
          </w:p>
        </w:tc>
        <w:tc>
          <w:tcPr>
            <w:tcW w:w="5440" w:type="dxa"/>
            <w:vAlign w:val="bottom"/>
            <w:shd w:val="clear" w:color="auto" w:fill="CCEEFF"/>
          </w:tcPr>
          <w:p>
            <w:pPr>
              <w:spacing w:after="0" w:line="195" w:lineRule="exact"/>
              <w:rPr>
                <w:sz w:val="20"/>
                <w:szCs w:val="20"/>
                <w:color w:val="auto"/>
              </w:rPr>
            </w:pPr>
            <w:r>
              <w:rPr>
                <w:rFonts w:ascii="Arial" w:cs="Arial" w:eastAsia="Arial" w:hAnsi="Arial"/>
                <w:sz w:val="18"/>
                <w:szCs w:val="18"/>
                <w:i w:val="1"/>
                <w:iCs w:val="1"/>
                <w:color w:val="auto"/>
                <w:w w:val="96"/>
              </w:rPr>
              <w:t>Depreciation and amortization by segment deducted in arriving at profit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(loss):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56,621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24,634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9,195</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Total depreciation and amortization for reportable segments</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58,871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26,047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9,195</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Capital expenditures by segment: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17,831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4,957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6,093</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Total consolidated capital expenditures</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4,967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6,093</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0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998,756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1,038,053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368,158</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56,938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Total assets for reportable segments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1,055,694</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1,095,815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368,158</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principally cash and investments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18,398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52,299</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3,618</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consolidated assets</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1,077,710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1,134,002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420,457</w:t>
            </w:r>
          </w:p>
        </w:tc>
        <w:tc>
          <w:tcPr>
            <w:tcW w:w="80" w:type="dxa"/>
            <w:vAlign w:val="bottom"/>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5440" w:type="dxa"/>
            <w:vAlign w:val="bottom"/>
            <w:tcBorders>
              <w:top w:val="single" w:sz="8" w:color="CCEEFF"/>
            </w:tcBorders>
          </w:tcPr>
          <w:p>
            <w:pPr>
              <w:ind w:left="5040"/>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right="900"/>
        <w:spacing w:after="0" w:line="277" w:lineRule="auto"/>
        <w:rPr>
          <w:sz w:val="20"/>
          <w:szCs w:val="20"/>
          <w:color w:val="auto"/>
        </w:rPr>
      </w:pPr>
      <w:r>
        <w:rPr>
          <w:rFonts w:ascii="Arial" w:cs="Arial" w:eastAsia="Arial" w:hAnsi="Arial"/>
          <w:sz w:val="18"/>
          <w:szCs w:val="18"/>
          <w:color w:val="auto"/>
        </w:rPr>
        <w:t>During the last three years, the following customers of our Semiconductor Test &amp; Inspection segment that comprised 10% or greater of our consolidated net sales were as follows: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2019</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2018</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18"/>
                <w:szCs w:val="18"/>
                <w:color w:val="auto"/>
              </w:rPr>
            </w:pP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NXP Semiconductors N.V.</w:t>
            </w:r>
          </w:p>
        </w:tc>
        <w:tc>
          <w:tcPr>
            <w:tcW w:w="1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w:t>
            </w:r>
          </w:p>
        </w:tc>
        <w:tc>
          <w:tcPr>
            <w:tcW w:w="560" w:type="dxa"/>
            <w:vAlign w:val="bottom"/>
            <w:tcBorders>
              <w:bottom w:val="single" w:sz="8" w:color="auto"/>
            </w:tcBorders>
          </w:tcPr>
          <w:p>
            <w:pPr>
              <w:spacing w:after="0"/>
              <w:rPr>
                <w:sz w:val="18"/>
                <w:szCs w:val="18"/>
                <w:color w:val="auto"/>
              </w:rPr>
            </w:pPr>
          </w:p>
        </w:tc>
      </w:tr>
      <w:tr>
        <w:trPr>
          <w:trHeight w:val="211"/>
        </w:trPr>
        <w:tc>
          <w:tcPr>
            <w:tcW w:w="4400" w:type="dxa"/>
            <w:vAlign w:val="bottom"/>
          </w:tcPr>
          <w:p>
            <w:pPr>
              <w:ind w:left="320"/>
              <w:spacing w:after="0"/>
              <w:rPr>
                <w:sz w:val="20"/>
                <w:szCs w:val="20"/>
                <w:color w:val="auto"/>
              </w:rPr>
            </w:pPr>
            <w:r>
              <w:rPr>
                <w:rFonts w:ascii="Arial" w:cs="Arial" w:eastAsia="Arial" w:hAnsi="Arial"/>
                <w:sz w:val="18"/>
                <w:szCs w:val="18"/>
                <w:color w:val="auto"/>
              </w:rPr>
              <w:t>* Less than 10% of consolidated net sales.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ind w:left="820"/>
        <w:spacing w:after="0"/>
        <w:rPr>
          <w:sz w:val="20"/>
          <w:szCs w:val="20"/>
          <w:color w:val="auto"/>
        </w:rPr>
      </w:pPr>
      <w:r>
        <w:rPr>
          <w:rFonts w:ascii="Arial" w:cs="Arial" w:eastAsia="Arial" w:hAnsi="Arial"/>
          <w:sz w:val="18"/>
          <w:szCs w:val="18"/>
          <w:color w:val="auto"/>
        </w:rPr>
        <w:t>**No single customer exceeded 10% of consolidated net sales for the year ended December 29, 2018.</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customer of our PCB Test segment exceeded 10% of consolidated net sales for the years ended December 28, 2019 and December 29, 2018.</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118,213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82,474</w:t>
            </w:r>
          </w:p>
        </w:tc>
      </w:tr>
      <w:tr>
        <w:trPr>
          <w:trHeight w:val="216"/>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Malaysia</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61,826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80,102</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71,963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38,729</w:t>
            </w:r>
          </w:p>
        </w:tc>
      </w:tr>
      <w:tr>
        <w:trPr>
          <w:trHeight w:val="216"/>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Philippines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51,683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26,268</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75,725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16,517</w:t>
            </w:r>
          </w:p>
        </w:tc>
      </w:tr>
      <w:tr>
        <w:trPr>
          <w:trHeight w:val="216"/>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Rest of the World</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203,919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167,048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108,614</w:t>
            </w:r>
          </w:p>
        </w:tc>
      </w:tr>
      <w:tr>
        <w:trPr>
          <w:trHeight w:val="20"/>
        </w:trPr>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583,329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451,768</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352,704</w:t>
            </w:r>
          </w:p>
        </w:tc>
      </w:tr>
      <w:tr>
        <w:trPr>
          <w:trHeight w:val="20"/>
        </w:trPr>
        <w:tc>
          <w:tcPr>
            <w:tcW w:w="16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520" w:type="dxa"/>
            <w:vAlign w:val="bottom"/>
            <w:gridSpan w:val="6"/>
          </w:tcPr>
          <w:p>
            <w:pPr>
              <w:jc w:val="right"/>
              <w:ind w:right="260"/>
              <w:spacing w:after="0"/>
              <w:rPr>
                <w:sz w:val="20"/>
                <w:szCs w:val="20"/>
                <w:color w:val="auto"/>
              </w:rPr>
            </w:pPr>
            <w:r>
              <w:rPr>
                <w:rFonts w:ascii="Arial" w:cs="Arial" w:eastAsia="Arial" w:hAnsi="Arial"/>
                <w:sz w:val="18"/>
                <w:szCs w:val="18"/>
                <w:color w:val="auto"/>
                <w:w w:val="90"/>
              </w:rPr>
              <w:t>Geographic location of our property, plant and equipment and other long-lived assets was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60" w:type="dxa"/>
            <w:vAlign w:val="bottom"/>
          </w:tcPr>
          <w:p>
            <w:pPr>
              <w:spacing w:after="0"/>
              <w:rPr>
                <w:sz w:val="24"/>
                <w:szCs w:val="24"/>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Property, plant and equipment:</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Germany</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25,234</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21,655</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20,417</w:t>
            </w:r>
          </w:p>
        </w:tc>
      </w:tr>
      <w:tr>
        <w:trPr>
          <w:trHeight w:val="216"/>
        </w:trPr>
        <w:tc>
          <w:tcPr>
            <w:tcW w:w="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Japan</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11,905</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10,535</w:t>
            </w:r>
          </w:p>
        </w:tc>
      </w:tr>
      <w:tr>
        <w:trPr>
          <w:trHeight w:val="216"/>
        </w:trPr>
        <w:tc>
          <w:tcPr>
            <w:tcW w:w="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Philippines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5,842</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w:t>
            </w:r>
          </w:p>
        </w:tc>
      </w:tr>
      <w:tr>
        <w:trPr>
          <w:trHeight w:val="20"/>
        </w:trPr>
        <w:tc>
          <w:tcPr>
            <w:tcW w:w="16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70,912</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74,332</w:t>
            </w:r>
          </w:p>
        </w:tc>
      </w:tr>
      <w:tr>
        <w:trPr>
          <w:trHeight w:val="20"/>
        </w:trPr>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Goodwill and other intangible assets: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228,476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249,605</w:t>
            </w:r>
          </w:p>
        </w:tc>
      </w:tr>
      <w:tr>
        <w:trPr>
          <w:trHeight w:val="216"/>
        </w:trPr>
        <w:tc>
          <w:tcPr>
            <w:tcW w:w="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207,642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228,022</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43,569</w:t>
            </w:r>
          </w:p>
        </w:tc>
      </w:tr>
      <w:tr>
        <w:trPr>
          <w:trHeight w:val="216"/>
        </w:trPr>
        <w:tc>
          <w:tcPr>
            <w:tcW w:w="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Singapore</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15,173</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11,604</w:t>
            </w:r>
          </w:p>
        </w:tc>
      </w:tr>
      <w:tr>
        <w:trPr>
          <w:trHeight w:val="216"/>
        </w:trPr>
        <w:tc>
          <w:tcPr>
            <w:tcW w:w="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Japan</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4,138</w:t>
            </w:r>
          </w:p>
        </w:tc>
      </w:tr>
      <w:tr>
        <w:trPr>
          <w:trHeight w:val="216"/>
        </w:trPr>
        <w:tc>
          <w:tcPr>
            <w:tcW w:w="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8,977</w:t>
            </w:r>
          </w:p>
        </w:tc>
      </w:tr>
      <w:tr>
        <w:trPr>
          <w:trHeight w:val="20"/>
        </w:trPr>
        <w:tc>
          <w:tcPr>
            <w:tcW w:w="16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513,688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561,088</w:t>
            </w:r>
          </w:p>
        </w:tc>
      </w:tr>
      <w:tr>
        <w:trPr>
          <w:trHeight w:val="20"/>
        </w:trPr>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We lease certain of our facilities, equipment and vehicles under non-cancelable operating and finance leases. Leases with initial terms with 12 months or less are not recorded in the consolidated balance sheet, but we recognized those lease payments in the consolidated statements of operations on a straight-line basis over the lease term. Lease and non-lease components are included in the calculation of the ROU asset and lease liabilities.</w:t>
      </w:r>
    </w:p>
    <w:p>
      <w:pPr>
        <w:spacing w:after="0" w:line="14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Our leases have remaining lease terms ranging from 1 year to 38 years, some of which include one or more options to extend the lease for up to 25 years. Our lease term includes renewal terms when we are reasonably certain that we will exercise the renewal options. We sublease certain leased assets to third parties, mainly as a result of unused space in our facilities.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December 28,</w:t>
            </w:r>
          </w:p>
        </w:tc>
      </w:tr>
      <w:tr>
        <w:trPr>
          <w:trHeight w:val="230"/>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Classification</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r>
      <w:tr>
        <w:trPr>
          <w:trHeight w:val="210"/>
        </w:trPr>
        <w:tc>
          <w:tcPr>
            <w:tcW w:w="2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700" w:type="dxa"/>
            <w:vAlign w:val="bottom"/>
          </w:tcPr>
          <w:p>
            <w:pPr>
              <w:ind w:left="320"/>
              <w:spacing w:after="0"/>
              <w:rPr>
                <w:sz w:val="20"/>
                <w:szCs w:val="20"/>
                <w:color w:val="auto"/>
              </w:rPr>
            </w:pPr>
            <w:r>
              <w:rPr>
                <w:rFonts w:ascii="Arial" w:cs="Arial" w:eastAsia="Arial" w:hAnsi="Arial"/>
                <w:sz w:val="18"/>
                <w:szCs w:val="18"/>
                <w:color w:val="auto"/>
              </w:rPr>
              <w:t>Operating lease assets</w:t>
            </w:r>
          </w:p>
        </w:tc>
        <w:tc>
          <w:tcPr>
            <w:tcW w:w="3980" w:type="dxa"/>
            <w:vAlign w:val="bottom"/>
          </w:tcPr>
          <w:p>
            <w:pPr>
              <w:ind w:left="280"/>
              <w:spacing w:after="0"/>
              <w:rPr>
                <w:sz w:val="20"/>
                <w:szCs w:val="20"/>
                <w:color w:val="auto"/>
              </w:rPr>
            </w:pPr>
            <w:r>
              <w:rPr>
                <w:rFonts w:ascii="Arial" w:cs="Arial" w:eastAsia="Arial" w:hAnsi="Arial"/>
                <w:sz w:val="18"/>
                <w:szCs w:val="18"/>
                <w:color w:val="auto"/>
              </w:rPr>
              <w:t>Operating lease right-of-use assets</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33,269</w:t>
            </w:r>
          </w:p>
        </w:tc>
      </w:tr>
      <w:tr>
        <w:trPr>
          <w:trHeight w:val="216"/>
        </w:trPr>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 assets</w:t>
            </w:r>
          </w:p>
        </w:tc>
        <w:tc>
          <w:tcPr>
            <w:tcW w:w="3980" w:type="dxa"/>
            <w:vAlign w:val="bottom"/>
            <w:shd w:val="clear" w:color="auto" w:fill="CCEEFF"/>
          </w:tcPr>
          <w:p>
            <w:pPr>
              <w:ind w:left="280"/>
              <w:spacing w:after="0" w:line="216" w:lineRule="exact"/>
              <w:rPr>
                <w:sz w:val="20"/>
                <w:szCs w:val="20"/>
                <w:color w:val="auto"/>
              </w:rPr>
            </w:pPr>
            <w:r>
              <w:rPr>
                <w:rFonts w:ascii="Arial" w:cs="Arial" w:eastAsia="Arial" w:hAnsi="Arial"/>
                <w:sz w:val="16"/>
                <w:szCs w:val="16"/>
                <w:color w:val="auto"/>
              </w:rPr>
              <w:t xml:space="preserve">Property, plant and equipment, net </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2,515</w:t>
            </w:r>
          </w:p>
        </w:tc>
      </w:tr>
      <w:tr>
        <w:trPr>
          <w:trHeight w:val="20"/>
        </w:trPr>
        <w:tc>
          <w:tcPr>
            <w:tcW w:w="2700" w:type="dxa"/>
            <w:vAlign w:val="bottom"/>
            <w:shd w:val="clear" w:color="auto" w:fill="CCEEFF"/>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2700" w:type="dxa"/>
            <w:vAlign w:val="bottom"/>
          </w:tcPr>
          <w:p>
            <w:pPr>
              <w:ind w:left="480"/>
              <w:spacing w:after="0"/>
              <w:rPr>
                <w:sz w:val="20"/>
                <w:szCs w:val="20"/>
                <w:color w:val="auto"/>
              </w:rPr>
            </w:pPr>
            <w:r>
              <w:rPr>
                <w:rFonts w:ascii="Arial" w:cs="Arial" w:eastAsia="Arial" w:hAnsi="Arial"/>
                <w:sz w:val="18"/>
                <w:szCs w:val="18"/>
                <w:color w:val="auto"/>
              </w:rPr>
              <w:t>Total lease assets</w:t>
            </w:r>
          </w:p>
        </w:tc>
        <w:tc>
          <w:tcPr>
            <w:tcW w:w="3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35,784</w:t>
            </w:r>
          </w:p>
        </w:tc>
      </w:tr>
      <w:tr>
        <w:trPr>
          <w:trHeight w:val="20"/>
        </w:trPr>
        <w:tc>
          <w:tcPr>
            <w:tcW w:w="27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27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Liabilities</w:t>
            </w:r>
          </w:p>
        </w:tc>
        <w:tc>
          <w:tcPr>
            <w:tcW w:w="3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700" w:type="dxa"/>
            <w:vAlign w:val="bottom"/>
          </w:tcPr>
          <w:p>
            <w:pPr>
              <w:ind w:left="320"/>
              <w:spacing w:after="0"/>
              <w:rPr>
                <w:sz w:val="20"/>
                <w:szCs w:val="20"/>
                <w:color w:val="auto"/>
              </w:rPr>
            </w:pPr>
            <w:r>
              <w:rPr>
                <w:rFonts w:ascii="Arial" w:cs="Arial" w:eastAsia="Arial" w:hAnsi="Arial"/>
                <w:sz w:val="18"/>
                <w:szCs w:val="18"/>
                <w:color w:val="auto"/>
              </w:rPr>
              <w:t>Current</w:t>
            </w:r>
          </w:p>
        </w:tc>
        <w:tc>
          <w:tcPr>
            <w:tcW w:w="3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w:t>
            </w:r>
          </w:p>
        </w:tc>
        <w:tc>
          <w:tcPr>
            <w:tcW w:w="3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5,458</w:t>
            </w:r>
          </w:p>
        </w:tc>
      </w:tr>
      <w:tr>
        <w:trPr>
          <w:trHeight w:val="216"/>
        </w:trPr>
        <w:tc>
          <w:tcPr>
            <w:tcW w:w="2700" w:type="dxa"/>
            <w:vAlign w:val="bottom"/>
          </w:tcPr>
          <w:p>
            <w:pPr>
              <w:ind w:left="480"/>
              <w:spacing w:after="0"/>
              <w:rPr>
                <w:sz w:val="20"/>
                <w:szCs w:val="20"/>
                <w:color w:val="auto"/>
              </w:rPr>
            </w:pPr>
            <w:r>
              <w:rPr>
                <w:rFonts w:ascii="Arial" w:cs="Arial" w:eastAsia="Arial" w:hAnsi="Arial"/>
                <w:sz w:val="18"/>
                <w:szCs w:val="18"/>
                <w:color w:val="auto"/>
              </w:rPr>
              <w:t>Finance</w:t>
            </w:r>
          </w:p>
        </w:tc>
        <w:tc>
          <w:tcPr>
            <w:tcW w:w="398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2,574</w:t>
            </w:r>
          </w:p>
        </w:tc>
      </w:tr>
      <w:tr>
        <w:trPr>
          <w:trHeight w:val="216"/>
        </w:trPr>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w:t>
            </w:r>
          </w:p>
        </w:tc>
        <w:tc>
          <w:tcPr>
            <w:tcW w:w="3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700" w:type="dxa"/>
            <w:vAlign w:val="bottom"/>
          </w:tcPr>
          <w:p>
            <w:pPr>
              <w:ind w:left="480"/>
              <w:spacing w:after="0"/>
              <w:rPr>
                <w:sz w:val="20"/>
                <w:szCs w:val="20"/>
                <w:color w:val="auto"/>
              </w:rPr>
            </w:pPr>
            <w:r>
              <w:rPr>
                <w:rFonts w:ascii="Arial" w:cs="Arial" w:eastAsia="Arial" w:hAnsi="Arial"/>
                <w:sz w:val="18"/>
                <w:szCs w:val="18"/>
                <w:color w:val="auto"/>
              </w:rPr>
              <w:t>Operating</w:t>
            </w:r>
          </w:p>
        </w:tc>
        <w:tc>
          <w:tcPr>
            <w:tcW w:w="3980" w:type="dxa"/>
            <w:vAlign w:val="bottom"/>
          </w:tcPr>
          <w:p>
            <w:pPr>
              <w:ind w:left="280"/>
              <w:spacing w:after="0"/>
              <w:rPr>
                <w:sz w:val="20"/>
                <w:szCs w:val="20"/>
                <w:color w:val="auto"/>
              </w:rPr>
            </w:pPr>
            <w:r>
              <w:rPr>
                <w:rFonts w:ascii="Arial" w:cs="Arial" w:eastAsia="Arial" w:hAnsi="Arial"/>
                <w:sz w:val="18"/>
                <w:szCs w:val="18"/>
                <w:color w:val="auto"/>
              </w:rPr>
              <w:t>Long-term lease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28,877</w:t>
            </w:r>
          </w:p>
        </w:tc>
      </w:tr>
      <w:tr>
        <w:trPr>
          <w:trHeight w:val="20"/>
        </w:trPr>
        <w:tc>
          <w:tcPr>
            <w:tcW w:w="27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2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lease liabilities</w:t>
            </w:r>
          </w:p>
        </w:tc>
        <w:tc>
          <w:tcPr>
            <w:tcW w:w="39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36,909</w:t>
            </w:r>
          </w:p>
        </w:tc>
      </w:tr>
      <w:tr>
        <w:trPr>
          <w:trHeight w:val="197"/>
        </w:trPr>
        <w:tc>
          <w:tcPr>
            <w:tcW w:w="6680" w:type="dxa"/>
            <w:vAlign w:val="bottom"/>
            <w:tcBorders>
              <w:top w:val="single" w:sz="8" w:color="CCEEFF"/>
            </w:tcBorders>
            <w:gridSpan w:val="2"/>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16"/>
        </w:trPr>
        <w:tc>
          <w:tcPr>
            <w:tcW w:w="6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Weighted-average remaining lease term (years)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700" w:type="dxa"/>
            <w:vAlign w:val="bottom"/>
          </w:tcPr>
          <w:p>
            <w:pPr>
              <w:ind w:left="320"/>
              <w:spacing w:after="0"/>
              <w:rPr>
                <w:sz w:val="20"/>
                <w:szCs w:val="20"/>
                <w:color w:val="auto"/>
              </w:rPr>
            </w:pPr>
            <w:r>
              <w:rPr>
                <w:rFonts w:ascii="Arial" w:cs="Arial" w:eastAsia="Arial" w:hAnsi="Arial"/>
                <w:sz w:val="18"/>
                <w:szCs w:val="18"/>
                <w:color w:val="auto"/>
              </w:rPr>
              <w:t>Operating leases</w:t>
            </w:r>
          </w:p>
        </w:tc>
        <w:tc>
          <w:tcPr>
            <w:tcW w:w="3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r>
      <w:tr>
        <w:trPr>
          <w:trHeight w:val="216"/>
        </w:trPr>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leases</w:t>
            </w:r>
          </w:p>
        </w:tc>
        <w:tc>
          <w:tcPr>
            <w:tcW w:w="3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r>
      <w:tr>
        <w:trPr>
          <w:trHeight w:val="216"/>
        </w:trPr>
        <w:tc>
          <w:tcPr>
            <w:tcW w:w="27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Weighted-average discount rate</w:t>
            </w:r>
          </w:p>
        </w:tc>
        <w:tc>
          <w:tcPr>
            <w:tcW w:w="3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700" w:type="dxa"/>
            <w:vAlign w:val="bottom"/>
          </w:tcPr>
          <w:p>
            <w:pPr>
              <w:ind w:left="320"/>
              <w:spacing w:after="0"/>
              <w:rPr>
                <w:sz w:val="20"/>
                <w:szCs w:val="20"/>
                <w:color w:val="auto"/>
              </w:rPr>
            </w:pPr>
            <w:r>
              <w:rPr>
                <w:rFonts w:ascii="Arial" w:cs="Arial" w:eastAsia="Arial" w:hAnsi="Arial"/>
                <w:sz w:val="18"/>
                <w:szCs w:val="18"/>
                <w:color w:val="auto"/>
              </w:rPr>
              <w:t>Operating leases</w:t>
            </w:r>
          </w:p>
        </w:tc>
        <w:tc>
          <w:tcPr>
            <w:tcW w:w="3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leases</w:t>
            </w:r>
          </w:p>
        </w:tc>
        <w:tc>
          <w:tcPr>
            <w:tcW w:w="3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0"/>
        </w:trPr>
        <w:tc>
          <w:tcPr>
            <w:tcW w:w="270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4220" w:firstLine="154"/>
        <w:spacing w:after="0" w:line="516" w:lineRule="auto"/>
        <w:tabs>
          <w:tab w:leader="none" w:pos="8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Finance lease assets are recorded net of accumulated amortization of $0.1 million. The components of lease expense were as follows: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December 28,</w:t>
            </w:r>
          </w:p>
        </w:tc>
      </w:tr>
      <w:tr>
        <w:trPr>
          <w:trHeight w:val="230"/>
        </w:trPr>
        <w:tc>
          <w:tcPr>
            <w:tcW w:w="74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10"/>
        </w:trPr>
        <w:tc>
          <w:tcPr>
            <w:tcW w:w="7460" w:type="dxa"/>
            <w:vAlign w:val="bottom"/>
            <w:shd w:val="clear" w:color="auto" w:fill="CCEEFF"/>
          </w:tcPr>
          <w:p>
            <w:pPr>
              <w:ind w:left="320"/>
              <w:spacing w:after="0" w:line="210"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4"/>
                <w:szCs w:val="24"/>
                <w:color w:val="auto"/>
                <w:vertAlign w:val="superscript"/>
              </w:rPr>
              <w:t>(1)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120" w:type="dxa"/>
            <w:vAlign w:val="bottom"/>
            <w:shd w:val="clear" w:color="auto" w:fill="CCEEFF"/>
          </w:tcPr>
          <w:p>
            <w:pPr>
              <w:spacing w:after="0"/>
              <w:rPr>
                <w:sz w:val="18"/>
                <w:szCs w:val="18"/>
                <w:color w:val="auto"/>
              </w:rPr>
            </w:pPr>
          </w:p>
        </w:tc>
      </w:tr>
      <w:tr>
        <w:trPr>
          <w:trHeight w:val="216"/>
        </w:trPr>
        <w:tc>
          <w:tcPr>
            <w:tcW w:w="7460" w:type="dxa"/>
            <w:vAlign w:val="bottom"/>
          </w:tcPr>
          <w:p>
            <w:pPr>
              <w:ind w:left="320"/>
              <w:spacing w:after="0"/>
              <w:rPr>
                <w:sz w:val="20"/>
                <w:szCs w:val="20"/>
                <w:color w:val="auto"/>
              </w:rPr>
            </w:pPr>
            <w:r>
              <w:rPr>
                <w:rFonts w:ascii="Arial" w:cs="Arial" w:eastAsia="Arial" w:hAnsi="Arial"/>
                <w:sz w:val="18"/>
                <w:szCs w:val="18"/>
                <w:color w:val="auto"/>
              </w:rPr>
              <w:t>Variable lease expense</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8"/>
                <w:szCs w:val="18"/>
                <w:color w:val="auto"/>
              </w:rPr>
            </w:pPr>
          </w:p>
        </w:tc>
      </w:tr>
      <w:tr>
        <w:trPr>
          <w:trHeight w:val="216"/>
        </w:trPr>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operating leases</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r>
      <w:tr>
        <w:trPr>
          <w:trHeight w:val="216"/>
        </w:trPr>
        <w:tc>
          <w:tcPr>
            <w:tcW w:w="7460" w:type="dxa"/>
            <w:vAlign w:val="bottom"/>
          </w:tcPr>
          <w:p>
            <w:pPr>
              <w:ind w:left="32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of leased assets</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7460" w:type="dxa"/>
            <w:vAlign w:val="bottom"/>
          </w:tcPr>
          <w:p>
            <w:pPr>
              <w:ind w:left="64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r>
      <w:tr>
        <w:trPr>
          <w:trHeight w:val="216"/>
        </w:trPr>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Sublease income</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10"/>
        </w:trPr>
        <w:tc>
          <w:tcPr>
            <w:tcW w:w="746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Net lease cost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tcBorders>
              <w:top w:val="single" w:sz="8" w:color="CCEEFF"/>
            </w:tcBorders>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  Operating lease cost excludes impairment expense of $0.2 million related to the write-down of the Fontana facility right-of-use asset.</w:t>
      </w:r>
    </w:p>
    <w:p>
      <w:pPr>
        <w:spacing w:after="0" w:line="2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Prior to adoption of ASC ASU 2016-02, </w:t>
      </w:r>
      <w:r>
        <w:rPr>
          <w:rFonts w:ascii="Arial" w:cs="Arial" w:eastAsia="Arial" w:hAnsi="Arial"/>
          <w:sz w:val="18"/>
          <w:szCs w:val="18"/>
          <w:i w:val="1"/>
          <w:iCs w:val="1"/>
          <w:color w:val="auto"/>
        </w:rPr>
        <w:t>Leases</w:t>
      </w:r>
      <w:r>
        <w:rPr>
          <w:rFonts w:ascii="Arial" w:cs="Arial" w:eastAsia="Arial" w:hAnsi="Arial"/>
          <w:sz w:val="18"/>
          <w:szCs w:val="18"/>
          <w:color w:val="auto"/>
        </w:rPr>
        <w:t>, rental expense was $4.8 million and $3.6 million in 2018 and 2017. The increase in rental expense was a result of the acquisition of Xcerra on October 1, 2018.</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at December 28, 2019, are as follows: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Finance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620"/>
              <w:spacing w:after="0" w:line="230" w:lineRule="exact"/>
              <w:rPr>
                <w:sz w:val="20"/>
                <w:szCs w:val="20"/>
                <w:color w:val="auto"/>
              </w:rPr>
            </w:pPr>
            <w:r>
              <w:rPr>
                <w:rFonts w:ascii="Arial" w:cs="Arial" w:eastAsia="Arial" w:hAnsi="Arial"/>
                <w:sz w:val="16"/>
                <w:szCs w:val="16"/>
                <w:color w:val="auto"/>
              </w:rPr>
              <w:t xml:space="preserve">leases </w:t>
            </w:r>
            <w:r>
              <w:rPr>
                <w:rFonts w:ascii="Arial" w:cs="Arial" w:eastAsia="Arial" w:hAnsi="Arial"/>
                <w:sz w:val="26"/>
                <w:szCs w:val="26"/>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leases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6,090</w:t>
            </w:r>
          </w:p>
        </w:tc>
        <w:tc>
          <w:tcPr>
            <w:tcW w:w="3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6,090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5,535</w:t>
            </w:r>
          </w:p>
        </w:tc>
        <w:tc>
          <w:tcPr>
            <w:tcW w:w="3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5,535</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4,987</w:t>
            </w:r>
          </w:p>
        </w:tc>
        <w:tc>
          <w:tcPr>
            <w:tcW w:w="3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4,987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4,692</w:t>
            </w:r>
          </w:p>
        </w:tc>
        <w:tc>
          <w:tcPr>
            <w:tcW w:w="3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16,314</w:t>
            </w:r>
          </w:p>
        </w:tc>
      </w:tr>
      <w:tr>
        <w:trPr>
          <w:trHeight w:val="20"/>
        </w:trPr>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47,632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Less: Interest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(10,666)</w:t>
            </w:r>
          </w:p>
        </w:tc>
        <w:tc>
          <w:tcPr>
            <w:tcW w:w="3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(10,723)</w:t>
            </w:r>
          </w:p>
        </w:tc>
      </w:tr>
      <w:tr>
        <w:trPr>
          <w:trHeight w:val="20"/>
        </w:trPr>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lease liabilities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36,909</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980" w:right="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sublease income of $0.1 million in both 2020 and 2021 and also excludes $0.1 million of legally binding minimum lease payments for lease signed but not yet commenced.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28,</w:t>
            </w:r>
          </w:p>
        </w:tc>
      </w:tr>
      <w:tr>
        <w:trPr>
          <w:trHeight w:val="230"/>
        </w:trPr>
        <w:tc>
          <w:tcPr>
            <w:tcW w:w="480" w:type="dxa"/>
            <w:vAlign w:val="bottom"/>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6,932</w:t>
            </w:r>
          </w:p>
        </w:tc>
      </w:tr>
      <w:tr>
        <w:trPr>
          <w:trHeight w:val="216"/>
        </w:trPr>
        <w:tc>
          <w:tcPr>
            <w:tcW w:w="48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finance leases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48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40,488</w:t>
            </w: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jc w:val="both"/>
        <w:ind w:left="340" w:right="2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 The outcome of any litigation is inherently uncertain. While there can be no assurance, at the present time we do not believe that the resolution of the matters described above will have a material adverse effect on our assets, financial position or results of operations.</w:t>
      </w:r>
    </w:p>
    <w:p>
      <w:pPr>
        <w:spacing w:after="0" w:line="387" w:lineRule="exact"/>
        <w:rPr>
          <w:rFonts w:ascii="Arial" w:cs="Arial" w:eastAsia="Arial" w:hAnsi="Arial"/>
          <w:sz w:val="18"/>
          <w:szCs w:val="18"/>
          <w:b w:val="1"/>
          <w:bCs w:val="1"/>
          <w:color w:val="auto"/>
        </w:rPr>
      </w:pPr>
    </w:p>
    <w:p>
      <w:pPr>
        <w:ind w:left="340" w:right="9540" w:hanging="332"/>
        <w:spacing w:after="0" w:line="566" w:lineRule="auto"/>
        <w:tabs>
          <w:tab w:leader="none" w:pos="34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i w:val="1"/>
          <w:iCs w:val="1"/>
          <w:u w:val="single" w:color="auto"/>
          <w:color w:val="auto"/>
        </w:rPr>
        <w:t>Accrued Warranty</w:t>
      </w: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Changes in accrued warranty during the three-year period ended December 28, 2019, was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Warranty accruals</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6,714</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7,154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6,765</w:t>
            </w: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Warranty payments</w:t>
            </w: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(6,316)</w:t>
            </w: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Warranty liability assumed</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4,369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6,155</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w:t>
            </w: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warranty amounts expected to be incurred after one year are included in noncurrent other accrued liabilities in the consolidated balance sheet.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amounts totaled $0.3 million and $0.2 million at December 28, 2019 and December 29, 2018, respectively.</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Fixtures Services Business (“FSG”)</w:t>
      </w:r>
    </w:p>
    <w:p>
      <w:pPr>
        <w:spacing w:after="0" w:line="225" w:lineRule="exact"/>
        <w:rPr>
          <w:rFonts w:ascii="Arial" w:cs="Arial" w:eastAsia="Arial" w:hAnsi="Arial"/>
          <w:sz w:val="18"/>
          <w:szCs w:val="18"/>
          <w:b w:val="1"/>
          <w:bCs w:val="1"/>
          <w:color w:val="auto"/>
        </w:rPr>
      </w:pPr>
    </w:p>
    <w:p>
      <w:pPr>
        <w:ind w:left="340" w:right="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October 1, 2018, we acquired a fixtures services business as part of Xcerra. In the fourth quarter of 2018, our management determined that this business did not align with our core business and was not a strategic fit within our organization. As a result, the fixtures services business has been marketed for sale since we acquired Xcerra on October 1, 2018 and it has been presented as discontinued operation. For financial statement purposes, the results of operations for this business have been segregated from those of continuing operations and are presented in our consolidated financial statements as discontinued operations for the years ended December 28, 2019 and December 29, 2018.</w:t>
      </w:r>
    </w:p>
    <w:p>
      <w:pPr>
        <w:sectPr>
          <w:pgSz w:w="11900" w:h="16838" w:orient="portrait"/>
          <w:cols w:equalWidth="0" w:num="1">
            <w:col w:w="11180"/>
          </w:cols>
          <w:pgMar w:left="320" w:top="125" w:right="399" w:bottom="1440" w:gutter="0" w:footer="0" w:header="0"/>
        </w:sectPr>
      </w:pP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right="40"/>
        <w:spacing w:after="0" w:line="311" w:lineRule="auto"/>
        <w:rPr>
          <w:sz w:val="20"/>
          <w:szCs w:val="20"/>
          <w:color w:val="auto"/>
        </w:rPr>
      </w:pPr>
      <w:r>
        <w:rPr>
          <w:rFonts w:ascii="Arial" w:cs="Arial" w:eastAsia="Arial" w:hAnsi="Arial"/>
          <w:sz w:val="16"/>
          <w:szCs w:val="16"/>
          <w:color w:val="auto"/>
        </w:rPr>
        <w:t>In February 2020, we completed the sale of this business which generated a charge of $1.1 million, taken in the fourth quarter of 2019, as a result of the impairment of goodwill and purchased intangible assets associated with this operating segment. The goodwill and purchased intangible assets were not pushed down in consolidation and had previously been presented as part of our Semiconductor Test &amp; Inspection segment.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Balance sheet information for our fixtures services business presented as discontinued operations is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December 29,</w:t>
            </w:r>
          </w:p>
        </w:tc>
        <w:tc>
          <w:tcPr>
            <w:tcW w:w="17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Cash</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7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3,503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3,741</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3,820</w:t>
            </w:r>
          </w:p>
        </w:tc>
        <w:tc>
          <w:tcPr>
            <w:tcW w:w="176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Other accrued current liabilities</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599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17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1760" w:type="dxa"/>
            <w:vAlign w:val="bottom"/>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Operating results of our discontinued operations are summarized as follows </w:t>
      </w:r>
      <w:r>
        <w:rPr>
          <w:rFonts w:ascii="Arial" w:cs="Arial" w:eastAsia="Arial" w:hAnsi="Arial"/>
          <w:sz w:val="22"/>
          <w:szCs w:val="22"/>
          <w:i w:val="1"/>
          <w:iCs w:val="1"/>
          <w:color w:val="auto"/>
        </w:rPr>
        <w:t>(in thousands)</w:t>
      </w:r>
      <w:r>
        <w:rPr>
          <w:rFonts w:ascii="Arial" w:cs="Arial" w:eastAsia="Arial" w:hAnsi="Arial"/>
          <w:sz w:val="22"/>
          <w:szCs w:val="22"/>
          <w:color w:val="auto"/>
        </w:rPr>
        <w:t>:</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December 28,</w:t>
            </w: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December 29,</w:t>
            </w: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30,</w:t>
            </w:r>
          </w:p>
        </w:tc>
      </w:tr>
      <w:tr>
        <w:trPr>
          <w:trHeight w:val="230"/>
        </w:trPr>
        <w:tc>
          <w:tcPr>
            <w:tcW w:w="5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4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6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Loss from impairment of FSG</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 xml:space="preserve">Loss from sale of BMS </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r>
      <w:tr>
        <w:trPr>
          <w:trHeight w:val="20"/>
        </w:trPr>
        <w:tc>
          <w:tcPr>
            <w:tcW w:w="5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Income (loss), net of tax</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(697)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326"/>
        <w:spacing w:after="0"/>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Represents the write-off of the contingent consideration receivable from the sale of Broadcast Microwave Services, Inc.</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loss, on an after-tax basis, were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left="310"/>
              <w:spacing w:after="0"/>
              <w:rPr>
                <w:sz w:val="20"/>
                <w:szCs w:val="20"/>
                <w:color w:val="auto"/>
              </w:rPr>
            </w:pPr>
            <w:r>
              <w:rPr>
                <w:rFonts w:ascii="Arial" w:cs="Arial" w:eastAsia="Arial" w:hAnsi="Arial"/>
                <w:sz w:val="18"/>
                <w:szCs w:val="18"/>
                <w:color w:val="auto"/>
                <w:w w:val="86"/>
              </w:rPr>
              <w:t>Tax</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Before Tax</w:t>
            </w:r>
          </w:p>
        </w:tc>
        <w:tc>
          <w:tcPr>
            <w:tcW w:w="130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(Expense)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7"/>
          </w:tcPr>
          <w:p>
            <w:pPr>
              <w:jc w:val="right"/>
              <w:ind w:right="1140"/>
              <w:spacing w:after="0"/>
              <w:rPr>
                <w:sz w:val="20"/>
                <w:szCs w:val="20"/>
                <w:color w:val="auto"/>
              </w:rPr>
            </w:pPr>
            <w:r>
              <w:rPr>
                <w:rFonts w:ascii="Arial" w:cs="Arial" w:eastAsia="Arial" w:hAnsi="Arial"/>
                <w:sz w:val="18"/>
                <w:szCs w:val="18"/>
                <w:color w:val="auto"/>
              </w:rPr>
              <w:t>Net of Tax</w:t>
            </w:r>
          </w:p>
        </w:tc>
      </w:tr>
      <w:tr>
        <w:trPr>
          <w:trHeight w:val="230"/>
        </w:trPr>
        <w:tc>
          <w:tcPr>
            <w:tcW w:w="16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amount</w:t>
            </w:r>
          </w:p>
        </w:tc>
        <w:tc>
          <w:tcPr>
            <w:tcW w:w="130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2"/>
              </w:rPr>
              <w:t>Benefit</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Amount</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2017</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11,345</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11,345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26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2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8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10,095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7"/>
        </w:trPr>
        <w:tc>
          <w:tcPr>
            <w:tcW w:w="160" w:type="dxa"/>
            <w:vAlign w:val="bottom"/>
          </w:tcPr>
          <w:p>
            <w:pPr>
              <w:spacing w:after="0"/>
              <w:rPr>
                <w:sz w:val="17"/>
                <w:szCs w:val="17"/>
                <w:color w:val="auto"/>
              </w:rPr>
            </w:pPr>
          </w:p>
        </w:tc>
        <w:tc>
          <w:tcPr>
            <w:tcW w:w="45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Year ended December 29, 2018</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(8,905)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2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865</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(8,033)</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(8,093)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28, 2019</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(7,522)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(7,522)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26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(8,378)</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(8,150)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720" w:type="dxa"/>
            <w:vAlign w:val="bottom"/>
            <w:gridSpan w:val="2"/>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860" w:type="dxa"/>
            <w:vAlign w:val="bottom"/>
            <w:gridSpan w:val="7"/>
          </w:tcPr>
          <w:p>
            <w:pPr>
              <w:jc w:val="right"/>
              <w:ind w:right="200"/>
              <w:spacing w:after="0"/>
              <w:rPr>
                <w:sz w:val="20"/>
                <w:szCs w:val="20"/>
                <w:color w:val="auto"/>
              </w:rPr>
            </w:pPr>
            <w:r>
              <w:rPr>
                <w:rFonts w:ascii="Arial" w:cs="Arial" w:eastAsia="Arial" w:hAnsi="Arial"/>
                <w:sz w:val="18"/>
                <w:szCs w:val="18"/>
                <w:color w:val="auto"/>
                <w:w w:val="89"/>
              </w:rPr>
              <w:t>Components of accumulated other comprehensive loss, net of tax, at the end of each period are as follows: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6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currency translation adjustments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(30,198)</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(22,676)</w:t>
            </w:r>
          </w:p>
        </w:tc>
      </w:tr>
      <w:tr>
        <w:trPr>
          <w:trHeight w:val="216"/>
        </w:trPr>
        <w:tc>
          <w:tcPr>
            <w:tcW w:w="1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Accumulated net adjustments related to postretirement benefits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(3,832)</w:t>
            </w:r>
          </w:p>
        </w:tc>
        <w:tc>
          <w:tcPr>
            <w:tcW w:w="42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(3,204)</w:t>
            </w:r>
          </w:p>
        </w:tc>
      </w:tr>
      <w:tr>
        <w:trPr>
          <w:trHeight w:val="20"/>
        </w:trPr>
        <w:tc>
          <w:tcPr>
            <w:tcW w:w="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(34,030)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(25,880)</w:t>
            </w:r>
          </w:p>
        </w:tc>
      </w:tr>
      <w:tr>
        <w:trPr>
          <w:trHeight w:val="20"/>
        </w:trPr>
        <w:tc>
          <w:tcPr>
            <w:tcW w:w="16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right="7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At December 28, 2019 certain of our cash and short-term investments were held and managed by BlackRock, Inc. which owns 15.5% of our outstanding common stock as reported in its Form 13-G filing made with the Securities and Exchange Commission on February 4, 2020.</w:t>
      </w:r>
    </w:p>
    <w:p>
      <w:pPr>
        <w:spacing w:after="0" w:line="123" w:lineRule="exact"/>
        <w:rPr>
          <w:rFonts w:ascii="Arial" w:cs="Arial" w:eastAsia="Arial" w:hAnsi="Arial"/>
          <w:sz w:val="18"/>
          <w:szCs w:val="18"/>
          <w:b w:val="1"/>
          <w:bCs w:val="1"/>
          <w:color w:val="auto"/>
        </w:rPr>
      </w:pPr>
    </w:p>
    <w:p>
      <w:pPr>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As part of Xcerra, we gained ownership interests in two companies that supply components and provide services to wholly owned subsidiaries of Xcerra. Multitest elektronische Systeme GmbH and atg-Luther &amp; Maelzer GmbH of FTZ Fraes-und Technologiezentrum GmbH Frasdorf (“FTZ”) and ETZ Elektrisches Testzentrum fuer Leiterplatten GmbH (“ETZ”), respectively. FTZ, based in Germany, provides milling services and ETZ, which is also based in Germany, provides certain component parts. These investments are accounted for under the equity method and are not material to our consolidated balance sheets. During 2019, purchases of products from FTZ and ETZ were not material.</w:t>
      </w:r>
    </w:p>
    <w:p>
      <w:pPr>
        <w:sectPr>
          <w:pgSz w:w="11900" w:h="16838" w:orient="portrait"/>
          <w:cols w:equalWidth="0" w:num="1">
            <w:col w:w="11200"/>
          </w:cols>
          <w:pgMar w:left="320" w:top="125" w:right="379" w:bottom="1440" w:gutter="0" w:footer="0" w:header="0"/>
        </w:sectPr>
      </w:pP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16. Quarterly Financial Data (Unaudited)</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Quarter</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9"/>
              </w:rPr>
              <w:t>First (a)</w:t>
            </w:r>
          </w:p>
        </w:tc>
        <w:tc>
          <w:tcPr>
            <w:tcW w:w="180" w:type="dxa"/>
            <w:vAlign w:val="bottom"/>
          </w:tcPr>
          <w:p>
            <w:pPr>
              <w:spacing w:after="0"/>
              <w:rPr>
                <w:sz w:val="24"/>
                <w:szCs w:val="24"/>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86"/>
              </w:rPr>
              <w:t>Second (a)</w:t>
            </w:r>
          </w:p>
        </w:tc>
        <w:tc>
          <w:tcPr>
            <w:tcW w:w="20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w w:val="96"/>
              </w:rPr>
              <w:t>Third (a)</w:t>
            </w:r>
          </w:p>
        </w:tc>
        <w:tc>
          <w:tcPr>
            <w:tcW w:w="16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91"/>
              </w:rPr>
              <w:t>Fourth (a)</w:t>
            </w:r>
          </w:p>
        </w:tc>
        <w:tc>
          <w:tcPr>
            <w:tcW w:w="26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Year</w:t>
            </w:r>
          </w:p>
        </w:tc>
      </w:tr>
      <w:tr>
        <w:trPr>
          <w:trHeight w:val="224"/>
        </w:trPr>
        <w:tc>
          <w:tcPr>
            <w:tcW w:w="660" w:type="dxa"/>
            <w:vAlign w:val="bottom"/>
          </w:tcPr>
          <w:p>
            <w:pPr>
              <w:spacing w:after="0"/>
              <w:rPr>
                <w:sz w:val="19"/>
                <w:szCs w:val="19"/>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6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147,809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143,498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142,011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583,329</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95,150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99,817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86,164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170,637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451,768</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sales:</w:t>
            </w: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ind w:left="80"/>
              <w:spacing w:after="0"/>
              <w:rPr>
                <w:sz w:val="20"/>
                <w:szCs w:val="20"/>
                <w:color w:val="auto"/>
              </w:rPr>
            </w:pPr>
            <w:r>
              <w:rPr>
                <w:rFonts w:ascii="Arial" w:cs="Arial" w:eastAsia="Arial" w:hAnsi="Arial"/>
                <w:sz w:val="18"/>
                <w:szCs w:val="18"/>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93,394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87,605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84,565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87,936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353,500</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54,923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57,677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128,718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292,460</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(68,995)</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11,648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4,803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(57,116)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(32,543)</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(10,326)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(17,320)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(69,692)</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(32,424)</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Cohu</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(69,700)</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11,648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4,803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(56,754)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(32,181)</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8"/>
              </w:rPr>
              <w:t>Income (loss) per share attributable to Cohu (c):</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bl>
    <w:p>
      <w:pPr>
        <w:spacing w:after="0" w:line="215" w:lineRule="exact"/>
        <w:rPr>
          <w:sz w:val="20"/>
          <w:szCs w:val="20"/>
          <w:color w:val="auto"/>
        </w:rPr>
      </w:pPr>
    </w:p>
    <w:p>
      <w:pPr>
        <w:ind w:left="980" w:right="160" w:hanging="324"/>
        <w:spacing w:after="0" w:line="26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quarters presented above were comprised of 13 weeks. We acquired Xcerra on October 1, 2018. The results of Xcerra have been included in our results of operations from the date of acquisition. See Note 2, “Business Acquisitions” for additional information regarding this transaction. Total operating expenses in 2019 and 2018 include acquisition costs and amounts related to the integration and our announced restructuring plan as follows. The fourth quarter of 2018 includes $19.1 million of inventory write-offs, $14.8 million of amortization of inventory step-up, and $18.7 million of restructuring charges. The first quarter of 2019 includes $6.0 million of amortization of inventory step-up. The second quarter of 2019 includes $8.5 million of restructuring charges.</w:t>
      </w: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 of sales is shown exclusive of the amortization of purchased intangible assets.</w:t>
      </w:r>
    </w:p>
    <w:p>
      <w:pPr>
        <w:spacing w:after="0" w:line="9" w:lineRule="exact"/>
        <w:rPr>
          <w:rFonts w:ascii="Arial" w:cs="Arial" w:eastAsia="Arial" w:hAnsi="Arial"/>
          <w:sz w:val="18"/>
          <w:szCs w:val="18"/>
          <w:color w:val="auto"/>
        </w:rPr>
      </w:pPr>
    </w:p>
    <w:p>
      <w:pPr>
        <w:ind w:left="980" w:right="620" w:hanging="324"/>
        <w:spacing w:after="0" w:line="26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or losses within a quarter and the inclusion or exclusion of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-1252855</wp:posOffset>
            </wp:positionV>
            <wp:extent cx="67208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have audited the accompanying consolidated balance sheets of Cohu, Inc. (the Company) as of December 28, 2019, and December 29, 2018, and the related consolidated statements of operations, comprehensive income (loss), stockholders’ equity, and cash flows for each of the three years in the period ended December 28, 2019, and the related notes and the financial statement schedule listed in the Index at Item 15(a) (collectively referred to as the “consolidated financial statements”). In our opinion, the consolidated financial statements present fairly, in all material respects, the consolidated financial position of the Company at December 28, 2019, and December 29, 2018, and the consolidated results of its operations and its cash flows for each of the three years in the period ended December 28, 2019, in conformity with U.S. generally accepted accounting principles.</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28, 2019, based on criteria established in Internal Control-Integrated Framework issued by the Committee of Sponsoring Organizations of the Treadway Commission (2013 framework) and our report dated March 10,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leases in 2019 due to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240"/>
        <w:spacing w:after="0"/>
        <w:tabs>
          <w:tab w:leader="none" w:pos="900" w:val="left"/>
        </w:tabs>
        <w:rPr>
          <w:sz w:val="20"/>
          <w:szCs w:val="20"/>
          <w:color w:val="auto"/>
        </w:rPr>
      </w:pPr>
      <w:r>
        <w:rPr>
          <w:rFonts w:ascii="Arial" w:cs="Arial" w:eastAsia="Arial" w:hAnsi="Arial"/>
          <w:sz w:val="18"/>
          <w:szCs w:val="18"/>
          <w:color w:val="auto"/>
        </w:rPr>
        <w:t>15. (b)</w:t>
      </w:r>
      <w:r>
        <w:rPr>
          <w:sz w:val="20"/>
          <w:szCs w:val="20"/>
          <w:color w:val="auto"/>
        </w:rPr>
        <w:tab/>
      </w:r>
      <w:r>
        <w:rPr>
          <w:rFonts w:ascii="Arial" w:cs="Arial" w:eastAsia="Arial" w:hAnsi="Arial"/>
          <w:sz w:val="16"/>
          <w:szCs w:val="16"/>
          <w:color w:val="auto"/>
        </w:rPr>
        <w:t>The following exhibits are filed as part of, or incorporated into, the 2019 Cohu, Inc.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360" w:type="dxa"/>
            <w:vAlign w:val="bottom"/>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Description</w:t>
            </w:r>
          </w:p>
        </w:tc>
        <w:tc>
          <w:tcPr>
            <w:tcW w:w="9100" w:type="dxa"/>
            <w:vAlign w:val="bottom"/>
            <w:gridSpan w:val="22"/>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9720" w:type="dxa"/>
            <w:vAlign w:val="bottom"/>
            <w:tcBorders>
              <w:bottom w:val="single" w:sz="8" w:color="0000EE"/>
            </w:tcBorders>
            <w:gridSpan w:val="15"/>
          </w:tcPr>
          <w:p>
            <w:pPr>
              <w:ind w:left="20"/>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Agreement and Plan of Merger by and among Cohu, Inc., Xavier Acquisition Corporation, and Xcerra Corporation, dated as of May 7,</w:t>
              </w:r>
            </w:hyperlink>
          </w:p>
        </w:tc>
        <w:tc>
          <w:tcPr>
            <w:tcW w:w="28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4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2018, incorporated herein by reference to Exhibit 2.1 from the Cohu, Inc. Form 8-K filed with the Securities and Exchange Commission</w:t>
              </w:r>
            </w:hyperlink>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on May 8, 2018</w:t>
              </w:r>
            </w:hyperlink>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580" w:type="dxa"/>
            <w:vAlign w:val="bottom"/>
            <w:tcBorders>
              <w:bottom w:val="single" w:sz="8" w:color="0000EE"/>
            </w:tcBorders>
            <w:gridSpan w:val="13"/>
          </w:tcPr>
          <w:p>
            <w:pPr>
              <w:ind w:left="20"/>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Amended and Restated Certificate of Incorporation of Cohu, Inc. incorporated herein by reference to Exhibit 3.1 from the Cohu, Inc.</w:t>
              </w:r>
            </w:hyperlink>
          </w:p>
        </w:tc>
        <w:tc>
          <w:tcPr>
            <w:tcW w:w="42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Current Report on Form 8-K (file no. 001-04298) filed with the Securities and Exchange Commission on May 17, 2018</w:t>
              </w:r>
            </w:hyperlink>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000" w:type="dxa"/>
            <w:vAlign w:val="bottom"/>
            <w:gridSpan w:val="23"/>
          </w:tcPr>
          <w:p>
            <w:pPr>
              <w:ind w:left="20"/>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Amended and Restated Bylaws of Cohu, Inc. incorporated herein by reference to Exhibit 3.2 from the Cohu, Inc. Current Report on Form</w:t>
              </w:r>
            </w:hyperlink>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8"/>
          </w:tcPr>
          <w:p>
            <w:pPr>
              <w:ind w:left="20"/>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8-K (file no. 001-04298) filed with the Securities and Exchange Commission on May 17, 2018</w:t>
              </w:r>
            </w:hyperlink>
          </w:p>
        </w:tc>
        <w:tc>
          <w:tcPr>
            <w:tcW w:w="3080" w:type="dxa"/>
            <w:vAlign w:val="bottom"/>
            <w:tcBorders>
              <w:top w:val="single" w:sz="8" w:color="0000EE"/>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000" w:type="dxa"/>
            <w:vAlign w:val="bottom"/>
            <w:gridSpan w:val="23"/>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Description of Capital Stock</w:t>
              </w:r>
            </w:hyperlink>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10000" w:type="dxa"/>
            <w:vAlign w:val="bottom"/>
            <w:gridSpan w:val="23"/>
          </w:tcPr>
          <w:p>
            <w:pPr>
              <w:ind w:left="20"/>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Credit and Guaranty Agreement dated as of October 1, 2018, by and among Cohu, Inc., Certain Subsidiaries of Cohu, Inc. and Deutsche</w:t>
              </w:r>
            </w:hyperlink>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Bank AG New York Branch, incorporated herein by reference to Exhibit 10.1 from the Cohu, Inc. Form 10-Q filed with the Securities and</w:t>
              </w:r>
            </w:hyperlink>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tcBorders>
              <w:top w:val="single" w:sz="8" w:color="0000EE"/>
            </w:tcBorders>
            <w:gridSpan w:val="21"/>
          </w:tcPr>
          <w:p>
            <w:pPr>
              <w:ind w:left="20"/>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Exchange Commission on November 7, 2018</w:t>
              </w:r>
            </w:hyperlink>
          </w:p>
        </w:tc>
        <w:tc>
          <w:tcPr>
            <w:tcW w:w="4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9820" w:type="dxa"/>
            <w:vAlign w:val="bottom"/>
            <w:tcBorders>
              <w:bottom w:val="single" w:sz="8" w:color="0000EE"/>
            </w:tcBorders>
            <w:gridSpan w:val="17"/>
          </w:tcPr>
          <w:p>
            <w:pPr>
              <w:ind w:left="20"/>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Pledge and Security Agreement dated as of October 1, 2018, by and among Cohu, Inc., Certain Subsidiaries of Cohu, Inc. and Deutsche</w:t>
              </w:r>
            </w:hyperlink>
          </w:p>
        </w:tc>
        <w:tc>
          <w:tcPr>
            <w:tcW w:w="18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Bank AG New York Branch, incorporated herein by reference to Exhibit 10.2 from the Cohu, Inc. Form 10-Q filed with the Securities and</w:t>
              </w:r>
            </w:hyperlink>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tcBorders>
              <w:top w:val="single" w:sz="8" w:color="0000EE"/>
            </w:tcBorders>
            <w:gridSpan w:val="21"/>
          </w:tcPr>
          <w:p>
            <w:pPr>
              <w:ind w:left="20"/>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Exchange Commission on November 7, 2018</w:t>
              </w:r>
            </w:hyperlink>
          </w:p>
        </w:tc>
        <w:tc>
          <w:tcPr>
            <w:tcW w:w="4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9660" w:type="dxa"/>
            <w:vAlign w:val="bottom"/>
            <w:tcBorders>
              <w:bottom w:val="single" w:sz="8" w:color="0000EE"/>
            </w:tcBorders>
            <w:gridSpan w:val="14"/>
          </w:tcPr>
          <w:p>
            <w:pPr>
              <w:ind w:left="20"/>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Amended Cohu, Inc. 2005 Equity Incentive Plan incorporated herein by reference to Appendix A from the Cohu, Inc. Form DEF 14A</w:t>
              </w:r>
            </w:hyperlink>
          </w:p>
        </w:tc>
        <w:tc>
          <w:tcPr>
            <w:tcW w:w="34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filed with the Securities and Exchange Commission on March 28, 2019*</w:t>
              </w:r>
            </w:hyperlink>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9820" w:type="dxa"/>
            <w:vAlign w:val="bottom"/>
            <w:tcBorders>
              <w:bottom w:val="single" w:sz="8" w:color="0000EE"/>
            </w:tcBorders>
            <w:gridSpan w:val="17"/>
          </w:tcPr>
          <w:p>
            <w:pPr>
              <w:ind w:left="20"/>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Amended Cohu, Inc. 1997 Employee Stock Purchase Plan, herein by reference to Appendix B from the Cohu, Inc. Form DEF 14A filed</w:t>
              </w:r>
            </w:hyperlink>
          </w:p>
        </w:tc>
        <w:tc>
          <w:tcPr>
            <w:tcW w:w="18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with the Securities and Exchange Commission on March 28, 2019*</w:t>
              </w:r>
            </w:hyperlink>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10000" w:type="dxa"/>
            <w:vAlign w:val="bottom"/>
            <w:gridSpan w:val="23"/>
          </w:tcPr>
          <w:p>
            <w:pPr>
              <w:ind w:left="20"/>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Cohu, Inc. Deferred Compensation Plan (as amended and restated) incorporated herein by reference to Exhibit 10.1 from the Cohu, Inc.</w:t>
              </w:r>
            </w:hyperlink>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tcBorders>
              <w:top w:val="single" w:sz="8" w:color="0000EE"/>
            </w:tcBorders>
            <w:gridSpan w:val="16"/>
          </w:tcPr>
          <w:p>
            <w:pPr>
              <w:ind w:left="20"/>
              <w:spacing w:after="0" w:line="196"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Current Report on Form 8-K (file no. 001-04298) filed with the Securities and Exchange Commission on December 29, 2008*</w:t>
              </w:r>
            </w:hyperlink>
          </w:p>
        </w:tc>
        <w:tc>
          <w:tcPr>
            <w:tcW w:w="220" w:type="dxa"/>
            <w:vAlign w:val="bottom"/>
            <w:gridSpan w:val="7"/>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10000" w:type="dxa"/>
            <w:vAlign w:val="bottom"/>
            <w:gridSpan w:val="23"/>
          </w:tcPr>
          <w:p>
            <w:pPr>
              <w:ind w:left="20"/>
              <w:spacing w:after="0"/>
              <w:rPr>
                <w:rFonts w:ascii="Arial" w:cs="Arial" w:eastAsia="Arial" w:hAnsi="Arial"/>
                <w:sz w:val="18"/>
                <w:szCs w:val="18"/>
                <w:color w:val="0000EE"/>
                <w:w w:val="95"/>
              </w:rPr>
            </w:pPr>
            <w:hyperlink r:id="rId142">
              <w:r>
                <w:rPr>
                  <w:rFonts w:ascii="Arial" w:cs="Arial" w:eastAsia="Arial" w:hAnsi="Arial"/>
                  <w:sz w:val="18"/>
                  <w:szCs w:val="18"/>
                  <w:color w:val="0000EE"/>
                  <w:w w:val="95"/>
                </w:rPr>
                <w:t>Form of employee restricted stock unit agreement for use with restricted stock units granted pursuant to the Cohu, Inc. 2005 Equity</w:t>
              </w:r>
            </w:hyperlink>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11"/>
          </w:tcPr>
          <w:p>
            <w:pPr>
              <w:ind w:left="20"/>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Incentive Plan incorporated herein by reference to Exhibit 10.1 from the Cohu, Inc. Quarterly Report on Form 10-Q filed with the</w:t>
              </w:r>
            </w:hyperlink>
          </w:p>
        </w:tc>
        <w:tc>
          <w:tcPr>
            <w:tcW w:w="100" w:type="dxa"/>
            <w:vAlign w:val="bottom"/>
            <w:tcBorders>
              <w:top w:val="single" w:sz="8" w:color="0000EE"/>
            </w:tcBorders>
          </w:tcPr>
          <w:p>
            <w:pPr>
              <w:spacing w:after="0"/>
              <w:rPr>
                <w:sz w:val="17"/>
                <w:szCs w:val="17"/>
                <w:color w:val="auto"/>
              </w:rPr>
            </w:pPr>
          </w:p>
        </w:tc>
        <w:tc>
          <w:tcPr>
            <w:tcW w:w="54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Securities and Exchange Commission on August 4, 2015*</w:t>
              </w:r>
            </w:hyperlink>
          </w:p>
        </w:tc>
        <w:tc>
          <w:tcPr>
            <w:tcW w:w="5800" w:type="dxa"/>
            <w:vAlign w:val="bottom"/>
            <w:gridSpan w:val="18"/>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9880" w:type="dxa"/>
            <w:vAlign w:val="bottom"/>
            <w:tcBorders>
              <w:bottom w:val="single" w:sz="8" w:color="0000EE"/>
            </w:tcBorders>
            <w:gridSpan w:val="19"/>
          </w:tcPr>
          <w:p>
            <w:pPr>
              <w:ind w:left="20"/>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Form of non-employee director restricted stock unit agreement for use with restricted stock units granted pursuant to the Cohu, Inc. 2005</w:t>
              </w:r>
            </w:hyperlink>
          </w:p>
        </w:tc>
        <w:tc>
          <w:tcPr>
            <w:tcW w:w="12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Equity Incentive Plan incorporated herein by reference to Exhibit 10.2 from the Cohu, Inc. Quarterly Report on Form 10-Q filed with the</w:t>
              </w:r>
            </w:hyperlink>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Securities and Exchange Commission on August 4, 2015*</w:t>
              </w:r>
            </w:hyperlink>
          </w:p>
        </w:tc>
        <w:tc>
          <w:tcPr>
            <w:tcW w:w="5680" w:type="dxa"/>
            <w:vAlign w:val="bottom"/>
            <w:tcBorders>
              <w:top w:val="single" w:sz="8" w:color="0000EE"/>
            </w:tcBorders>
            <w:gridSpan w:val="14"/>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412"/>
        </w:trPr>
        <w:tc>
          <w:tcPr>
            <w:tcW w:w="880" w:type="dxa"/>
            <w:vAlign w:val="bottom"/>
          </w:tcPr>
          <w:p>
            <w:pPr>
              <w:ind w:left="24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10000" w:type="dxa"/>
            <w:vAlign w:val="bottom"/>
            <w:gridSpan w:val="23"/>
          </w:tcPr>
          <w:p>
            <w:pPr>
              <w:ind w:left="20"/>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Form of non-employee director restricted stock unit deferral election form for use with restricted stock units granted pursuant to the Cohu,</w:t>
              </w:r>
            </w:hyperlink>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60" w:type="dxa"/>
            <w:vAlign w:val="bottom"/>
            <w:tcBorders>
              <w:right w:val="single" w:sz="8" w:color="0000EE"/>
            </w:tcBorders>
            <w:gridSpan w:val="6"/>
            <w:shd w:val="clear" w:color="auto" w:fill="0000EE"/>
          </w:tcPr>
          <w:p>
            <w:pPr>
              <w:spacing w:after="0" w:line="20" w:lineRule="exact"/>
              <w:rPr>
                <w:sz w:val="1"/>
                <w:szCs w:val="1"/>
                <w:color w:val="auto"/>
              </w:rPr>
            </w:pPr>
          </w:p>
        </w:tc>
        <w:tc>
          <w:tcPr>
            <w:tcW w:w="510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tcBorders>
              <w:bottom w:val="single" w:sz="8" w:color="0000EE"/>
            </w:tcBorders>
            <w:gridSpan w:val="22"/>
          </w:tcPr>
          <w:p>
            <w:pPr>
              <w:ind w:left="20"/>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Inc. 2005 Equity Incentive Plan incorporated herein by reference to Exhibit 10.3 from the Cohu, Inc. Quarterly Report on Form 10-Q filed</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23"/>
          </w:tcPr>
          <w:p>
            <w:pPr>
              <w:ind w:left="20"/>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with the Securities and Exchange Commission on August 4, 2015*</w:t>
              </w:r>
            </w:hyperlink>
          </w:p>
        </w:tc>
      </w:tr>
      <w:tr>
        <w:trPr>
          <w:trHeight w:val="480"/>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Borders>
              <w:top w:val="single" w:sz="8" w:color="0000EE"/>
            </w:tcBorders>
            <w:gridSpan w:val="6"/>
          </w:tcPr>
          <w:p>
            <w:pPr>
              <w:ind w:left="4300"/>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00" w:right="60" w:hanging="1187"/>
        <w:spacing w:after="0" w:line="277" w:lineRule="auto"/>
        <w:tabs>
          <w:tab w:leader="none" w:pos="13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45">
        <w:r>
          <w:rPr>
            <w:rFonts w:ascii="Arial" w:cs="Arial" w:eastAsia="Arial" w:hAnsi="Arial"/>
            <w:sz w:val="18"/>
            <w:szCs w:val="18"/>
            <w:u w:val="single" w:color="auto"/>
            <w:color w:val="0000EE"/>
          </w:rPr>
          <w:t>Non-employee director fee deferral election form incorporated herein by reference to Exhibit 10.4 from the Cohu, Inc. Quarterly Report</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on Form 10-Q filed with the Securities and Exchange Commission on August 4, 2015*</w:t>
        </w:r>
      </w:hyperlink>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10.10</w:t>
            </w:r>
          </w:p>
        </w:tc>
        <w:tc>
          <w:tcPr>
            <w:tcW w:w="9380" w:type="dxa"/>
            <w:vAlign w:val="bottom"/>
            <w:tcBorders>
              <w:bottom w:val="single" w:sz="8" w:color="0000EE"/>
            </w:tcBorders>
            <w:gridSpan w:val="11"/>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Form of deferred stock agreement for shares granted pursuant to the Cohu, Inc. 2005 Equity Incentive Plan incorporated herein by</w:t>
              </w:r>
            </w:hyperlink>
          </w:p>
        </w:tc>
        <w:tc>
          <w:tcPr>
            <w:tcW w:w="400" w:type="dxa"/>
            <w:vAlign w:val="bottom"/>
            <w:gridSpan w:val="7"/>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reference to Exhibit 10.5 from the Cohu, Inc. Quarterly Report on Form 10-Q filed with the Securities and Exchange Commission on</w:t>
              </w:r>
            </w:hyperlink>
          </w:p>
        </w:tc>
      </w:tr>
      <w:tr>
        <w:trPr>
          <w:trHeight w:val="196"/>
        </w:trPr>
        <w:tc>
          <w:tcPr>
            <w:tcW w:w="11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August 4, 2015*</w:t>
              </w:r>
            </w:hyperlink>
          </w:p>
        </w:tc>
        <w:tc>
          <w:tcPr>
            <w:tcW w:w="8380" w:type="dxa"/>
            <w:vAlign w:val="bottom"/>
            <w:tcBorders>
              <w:top w:val="single" w:sz="8" w:color="0000EE"/>
            </w:tcBorders>
            <w:gridSpan w:val="10"/>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412"/>
        </w:trPr>
        <w:tc>
          <w:tcPr>
            <w:tcW w:w="1180" w:type="dxa"/>
            <w:vAlign w:val="bottom"/>
          </w:tcPr>
          <w:p>
            <w:pPr>
              <w:jc w:val="right"/>
              <w:ind w:right="710"/>
              <w:spacing w:after="0"/>
              <w:rPr>
                <w:sz w:val="20"/>
                <w:szCs w:val="20"/>
                <w:color w:val="auto"/>
              </w:rPr>
            </w:pPr>
            <w:r>
              <w:rPr>
                <w:rFonts w:ascii="Arial" w:cs="Arial" w:eastAsia="Arial" w:hAnsi="Arial"/>
                <w:sz w:val="18"/>
                <w:szCs w:val="18"/>
                <w:color w:val="auto"/>
                <w:w w:val="79"/>
              </w:rPr>
              <w:t>10.11</w:t>
            </w:r>
          </w:p>
        </w:tc>
        <w:tc>
          <w:tcPr>
            <w:tcW w:w="9680" w:type="dxa"/>
            <w:vAlign w:val="bottom"/>
            <w:tcBorders>
              <w:bottom w:val="single" w:sz="8" w:color="0000EE"/>
            </w:tcBorders>
            <w:gridSpan w:val="15"/>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Form of stock option agreement for use with stock options granted pursuant to the Cohu, Inc. 2005 Equity Incentive Plan incorporated</w:t>
              </w:r>
            </w:hyperlink>
          </w:p>
        </w:tc>
        <w:tc>
          <w:tcPr>
            <w:tcW w:w="1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1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herein by reference to Exhibit 10.6 from the Cohu, Inc. Quarterly Report on Form 10-Q filed with the Securities and Exchange</w:t>
              </w:r>
            </w:hyperlink>
          </w:p>
        </w:tc>
        <w:tc>
          <w:tcPr>
            <w:tcW w:w="640" w:type="dxa"/>
            <w:vAlign w:val="bottom"/>
            <w:gridSpan w:val="9"/>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Commission on August 4, 2015*</w:t>
              </w:r>
            </w:hyperlink>
          </w:p>
        </w:tc>
        <w:tc>
          <w:tcPr>
            <w:tcW w:w="7400" w:type="dxa"/>
            <w:vAlign w:val="bottom"/>
            <w:gridSpan w:val="13"/>
          </w:tcPr>
          <w:p>
            <w:pPr>
              <w:spacing w:after="0"/>
              <w:rPr>
                <w:sz w:val="17"/>
                <w:szCs w:val="17"/>
                <w:color w:val="auto"/>
              </w:rPr>
            </w:pPr>
          </w:p>
        </w:tc>
      </w:tr>
      <w:tr>
        <w:trPr>
          <w:trHeight w:val="412"/>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10.12</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Intel Corporation Purchase Agreement Capital Equipment, Goods and Services, dated April 30, 2012, by and between Delta Design,</w:t>
              </w:r>
            </w:hyperlink>
          </w:p>
        </w:tc>
        <w:tc>
          <w:tcPr>
            <w:tcW w:w="24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Inc. and Intel Corporation incorporated herein by reference to Exhibit 99.1 from the Cohu, Inc. Current Report on Form 8-K/A (file no.</w:t>
              </w:r>
            </w:hyperlink>
          </w:p>
        </w:tc>
      </w:tr>
      <w:tr>
        <w:trPr>
          <w:trHeight w:val="196"/>
        </w:trPr>
        <w:tc>
          <w:tcPr>
            <w:tcW w:w="118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001-04298) filed August 1, 2012</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10.13</w:t>
            </w:r>
          </w:p>
        </w:tc>
        <w:tc>
          <w:tcPr>
            <w:tcW w:w="9780" w:type="dxa"/>
            <w:vAlign w:val="bottom"/>
            <w:gridSpan w:val="18"/>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Form of Indemnification Agreement, incorporated herein by reference to Exhibit 10.1 from the Cohu, Inc. Current Report on Form 8-K</w:t>
              </w:r>
            </w:hyperlink>
          </w:p>
        </w:tc>
      </w:tr>
      <w:tr>
        <w:trPr>
          <w:trHeight w:val="196"/>
        </w:trPr>
        <w:tc>
          <w:tcPr>
            <w:tcW w:w="11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(file no. 001-04298) filed December 13, 2018*</w:t>
              </w:r>
            </w:hyperlink>
          </w:p>
        </w:tc>
        <w:tc>
          <w:tcPr>
            <w:tcW w:w="63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10.14</w:t>
            </w:r>
          </w:p>
        </w:tc>
        <w:tc>
          <w:tcPr>
            <w:tcW w:w="9780" w:type="dxa"/>
            <w:vAlign w:val="bottom"/>
            <w:gridSpan w:val="18"/>
          </w:tcPr>
          <w:p>
            <w:pPr>
              <w:spacing w:after="0"/>
              <w:rPr>
                <w:rFonts w:ascii="Arial" w:cs="Arial" w:eastAsia="Arial" w:hAnsi="Arial"/>
                <w:sz w:val="18"/>
                <w:szCs w:val="18"/>
                <w:color w:val="0000EE"/>
                <w:w w:val="95"/>
              </w:rPr>
            </w:pPr>
            <w:hyperlink r:id="rId150">
              <w:r>
                <w:rPr>
                  <w:rFonts w:ascii="Arial" w:cs="Arial" w:eastAsia="Arial" w:hAnsi="Arial"/>
                  <w:sz w:val="18"/>
                  <w:szCs w:val="18"/>
                  <w:color w:val="0000EE"/>
                  <w:w w:val="95"/>
                </w:rPr>
                <w:t>Cohu, Inc. Retiree Health Benefits Agreement (as amended) incorporated herein by reference to Exhibit 10.2 from the Cohu, Inc.</w:t>
              </w:r>
            </w:hyperlink>
          </w:p>
        </w:tc>
      </w:tr>
      <w:tr>
        <w:trPr>
          <w:trHeight w:val="196"/>
        </w:trPr>
        <w:tc>
          <w:tcPr>
            <w:tcW w:w="1180" w:type="dxa"/>
            <w:vAlign w:val="bottom"/>
          </w:tcPr>
          <w:p>
            <w:pPr>
              <w:spacing w:after="0"/>
              <w:rPr>
                <w:sz w:val="17"/>
                <w:szCs w:val="17"/>
                <w:color w:val="auto"/>
              </w:rPr>
            </w:pPr>
          </w:p>
        </w:tc>
        <w:tc>
          <w:tcPr>
            <w:tcW w:w="9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Current Report on Form 8-K (file no. 001-04298) filed with the Securities and Exchange Commission on December 29, 2008*</w:t>
              </w:r>
            </w:hyperlink>
          </w:p>
        </w:tc>
        <w:tc>
          <w:tcPr>
            <w:tcW w:w="180" w:type="dxa"/>
            <w:vAlign w:val="bottom"/>
            <w:tcBorders>
              <w:top w:val="single" w:sz="8" w:color="0000EE"/>
            </w:tcBorders>
            <w:gridSpan w:val="2"/>
          </w:tcPr>
          <w:p>
            <w:pPr>
              <w:spacing w:after="0"/>
              <w:rPr>
                <w:sz w:val="17"/>
                <w:szCs w:val="17"/>
                <w:color w:val="auto"/>
              </w:rPr>
            </w:pPr>
          </w:p>
        </w:tc>
        <w:tc>
          <w:tcPr>
            <w:tcW w:w="480" w:type="dxa"/>
            <w:vAlign w:val="bottom"/>
            <w:gridSpan w:val="8"/>
          </w:tcPr>
          <w:p>
            <w:pPr>
              <w:spacing w:after="0"/>
              <w:rPr>
                <w:sz w:val="17"/>
                <w:szCs w:val="17"/>
                <w:color w:val="auto"/>
              </w:rPr>
            </w:pPr>
          </w:p>
        </w:tc>
      </w:tr>
      <w:tr>
        <w:trPr>
          <w:trHeight w:val="412"/>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10.15</w:t>
            </w:r>
          </w:p>
        </w:tc>
        <w:tc>
          <w:tcPr>
            <w:tcW w:w="9780" w:type="dxa"/>
            <w:vAlign w:val="bottom"/>
            <w:gridSpan w:val="18"/>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Cohu, Inc. Change in Control Agreement incorporated herein by reference to Exhibit 10.3 from the Cohu, Inc. Current Report on Form</w:t>
              </w:r>
            </w:hyperlink>
          </w:p>
        </w:tc>
      </w:tr>
      <w:tr>
        <w:trPr>
          <w:trHeight w:val="196"/>
        </w:trPr>
        <w:tc>
          <w:tcPr>
            <w:tcW w:w="1180" w:type="dxa"/>
            <w:vAlign w:val="bottom"/>
          </w:tcPr>
          <w:p>
            <w:pPr>
              <w:spacing w:after="0"/>
              <w:rPr>
                <w:sz w:val="17"/>
                <w:szCs w:val="17"/>
                <w:color w:val="auto"/>
              </w:rPr>
            </w:pPr>
          </w:p>
        </w:tc>
        <w:tc>
          <w:tcPr>
            <w:tcW w:w="9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8-K (file no. 001-04298) filed with the Securities and Exchange Commission on December 29, 2008*</w:t>
              </w:r>
            </w:hyperlink>
          </w:p>
        </w:tc>
        <w:tc>
          <w:tcPr>
            <w:tcW w:w="6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20" w:type="dxa"/>
            <w:vAlign w:val="bottom"/>
            <w:gridSpan w:val="5"/>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412"/>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10.16</w:t>
            </w:r>
          </w:p>
        </w:tc>
        <w:tc>
          <w:tcPr>
            <w:tcW w:w="9600" w:type="dxa"/>
            <w:vAlign w:val="bottom"/>
            <w:tcBorders>
              <w:bottom w:val="single" w:sz="8" w:color="0000EE"/>
            </w:tcBorders>
            <w:gridSpan w:val="14"/>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Lease agreement dated December 4, 2015 by and between CT Crosthwaite I, LLC and Cohu, Inc. incorporated herein by reference to</w:t>
              </w:r>
            </w:hyperlink>
          </w:p>
        </w:tc>
        <w:tc>
          <w:tcPr>
            <w:tcW w:w="18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Exhibit 10.14 from the Cohu, Inc. Annual Report on Form 10-K filed with the Securities and Exchange Commission on February 23,</w:t>
              </w:r>
            </w:hyperlink>
          </w:p>
        </w:tc>
      </w:tr>
      <w:tr>
        <w:trPr>
          <w:trHeight w:val="196"/>
        </w:trPr>
        <w:tc>
          <w:tcPr>
            <w:tcW w:w="11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52">
              <w:r>
                <w:rPr>
                  <w:rFonts w:ascii="Arial" w:cs="Arial" w:eastAsia="Arial" w:hAnsi="Arial"/>
                  <w:sz w:val="18"/>
                  <w:szCs w:val="18"/>
                  <w:color w:val="0000EE"/>
                  <w:w w:val="84"/>
                </w:rPr>
                <w:t>2016</w:t>
              </w:r>
            </w:hyperlink>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94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10.17</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Employment Agreement, dated December 19, 2011, and as amended on April 26, 2014 and October 2, 2018, between the Company and</w:t>
              </w:r>
            </w:hyperlink>
          </w:p>
        </w:tc>
      </w:tr>
      <w:tr>
        <w:trPr>
          <w:trHeight w:val="196"/>
        </w:trPr>
        <w:tc>
          <w:tcPr>
            <w:tcW w:w="118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Pascal Ronde *</w:t>
              </w:r>
            </w:hyperlink>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00" w:hanging="1190"/>
        <w:spacing w:after="0"/>
        <w:tabs>
          <w:tab w:leader="none" w:pos="1400" w:val="left"/>
        </w:tabs>
        <w:numPr>
          <w:ilvl w:val="0"/>
          <w:numId w:val="44"/>
        </w:numPr>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Subsidiaries of Cohu, Inc.</w:t>
        </w:r>
      </w:hyperlink>
    </w:p>
    <w:p>
      <w:pPr>
        <w:spacing w:after="0" w:line="225" w:lineRule="exact"/>
        <w:rPr>
          <w:sz w:val="20"/>
          <w:szCs w:val="20"/>
          <w:color w:val="auto"/>
        </w:rPr>
      </w:pPr>
    </w:p>
    <w:p>
      <w:pPr>
        <w:ind w:left="1400" w:hanging="1190"/>
        <w:spacing w:after="0"/>
        <w:tabs>
          <w:tab w:leader="none" w:pos="1400" w:val="left"/>
        </w:tabs>
        <w:numPr>
          <w:ilvl w:val="0"/>
          <w:numId w:val="45"/>
        </w:numPr>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Consent of Independent Registered Public Accounting Firm</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2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984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Certification pursuant to Section 302(a) of the Sarbanes-Oxley Act of 2002 for Luis A. Müller</w:t>
              </w:r>
            </w:hyperlink>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ind w:left="220"/>
              <w:spacing w:after="0" w:line="196" w:lineRule="exact"/>
              <w:rPr>
                <w:sz w:val="20"/>
                <w:szCs w:val="20"/>
                <w:color w:val="auto"/>
              </w:rPr>
            </w:pPr>
            <w:r>
              <w:rPr>
                <w:rFonts w:ascii="Arial" w:cs="Arial" w:eastAsia="Arial" w:hAnsi="Arial"/>
                <w:sz w:val="18"/>
                <w:szCs w:val="18"/>
                <w:color w:val="auto"/>
              </w:rPr>
              <w:t>31.2</w:t>
            </w:r>
          </w:p>
        </w:tc>
        <w:tc>
          <w:tcPr>
            <w:tcW w:w="420" w:type="dxa"/>
            <w:vAlign w:val="bottom"/>
          </w:tcPr>
          <w:p>
            <w:pPr>
              <w:spacing w:after="0"/>
              <w:rPr>
                <w:sz w:val="17"/>
                <w:szCs w:val="17"/>
                <w:color w:val="auto"/>
              </w:rPr>
            </w:pPr>
          </w:p>
        </w:tc>
        <w:tc>
          <w:tcPr>
            <w:tcW w:w="68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Certification pursuant to Section 302(a) of the Sarbanes-Oxley Act of 2002 for Jeffrey D. Jones</w:t>
              </w:r>
            </w:hyperlink>
          </w:p>
        </w:tc>
        <w:tc>
          <w:tcPr>
            <w:tcW w:w="2960" w:type="dxa"/>
            <w:vAlign w:val="bottom"/>
            <w:gridSpan w:val="3"/>
          </w:tcPr>
          <w:p>
            <w:pPr>
              <w:spacing w:after="0"/>
              <w:rPr>
                <w:sz w:val="17"/>
                <w:szCs w:val="17"/>
                <w:color w:val="auto"/>
              </w:rPr>
            </w:pPr>
          </w:p>
        </w:tc>
      </w:tr>
      <w:tr>
        <w:trPr>
          <w:trHeight w:val="196"/>
        </w:trPr>
        <w:tc>
          <w:tcPr>
            <w:tcW w:w="980" w:type="dxa"/>
            <w:vAlign w:val="bottom"/>
          </w:tcPr>
          <w:p>
            <w:pPr>
              <w:ind w:left="220"/>
              <w:spacing w:after="0" w:line="196" w:lineRule="exact"/>
              <w:rPr>
                <w:sz w:val="20"/>
                <w:szCs w:val="20"/>
                <w:color w:val="auto"/>
              </w:rPr>
            </w:pPr>
            <w:r>
              <w:rPr>
                <w:rFonts w:ascii="Arial" w:cs="Arial" w:eastAsia="Arial" w:hAnsi="Arial"/>
                <w:sz w:val="18"/>
                <w:szCs w:val="18"/>
                <w:color w:val="auto"/>
              </w:rPr>
              <w:t>32.1</w:t>
            </w:r>
          </w:p>
        </w:tc>
        <w:tc>
          <w:tcPr>
            <w:tcW w:w="42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w w:val="94"/>
              </w:rPr>
            </w:pPr>
            <w:hyperlink w:anchor="page94">
              <w:r>
                <w:rPr>
                  <w:rFonts w:ascii="Arial" w:cs="Arial" w:eastAsia="Arial" w:hAnsi="Arial"/>
                  <w:sz w:val="18"/>
                  <w:szCs w:val="18"/>
                  <w:color w:val="0000EE"/>
                  <w:w w:val="94"/>
                </w:rPr>
                <w:t>Certification pursuant to 18 U.S.C. Section 1350, as adopted pursuant to Section 906 of the Sarbanes-Oxley Act of 2002 for Luis A.</w:t>
              </w:r>
            </w:hyperlink>
          </w:p>
        </w:tc>
      </w:tr>
      <w:tr>
        <w:trPr>
          <w:trHeight w:val="196"/>
        </w:trPr>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Müller</w:t>
              </w:r>
            </w:hyperlink>
          </w:p>
        </w:tc>
        <w:tc>
          <w:tcPr>
            <w:tcW w:w="3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ind w:left="220"/>
              <w:spacing w:after="0" w:line="196" w:lineRule="exact"/>
              <w:rPr>
                <w:sz w:val="20"/>
                <w:szCs w:val="20"/>
                <w:color w:val="auto"/>
              </w:rPr>
            </w:pPr>
            <w:r>
              <w:rPr>
                <w:rFonts w:ascii="Arial" w:cs="Arial" w:eastAsia="Arial" w:hAnsi="Arial"/>
                <w:sz w:val="18"/>
                <w:szCs w:val="18"/>
                <w:color w:val="auto"/>
              </w:rPr>
              <w:t>32.2</w:t>
            </w:r>
          </w:p>
        </w:tc>
        <w:tc>
          <w:tcPr>
            <w:tcW w:w="420" w:type="dxa"/>
            <w:vAlign w:val="bottom"/>
          </w:tcPr>
          <w:p>
            <w:pPr>
              <w:spacing w:after="0"/>
              <w:rPr>
                <w:sz w:val="17"/>
                <w:szCs w:val="17"/>
                <w:color w:val="auto"/>
              </w:rPr>
            </w:pPr>
          </w:p>
        </w:tc>
        <w:tc>
          <w:tcPr>
            <w:tcW w:w="96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Certification pursuant to 18 U.S.C. Section 1350, as adopted pursuant to Section 906 of the Sarbanes-Oxley Act of 2002 for Jeffrey D.</w:t>
              </w:r>
            </w:hyperlink>
          </w:p>
        </w:tc>
        <w:tc>
          <w:tcPr>
            <w:tcW w:w="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Jones</w:t>
              </w:r>
            </w:hyperlink>
          </w:p>
        </w:tc>
        <w:tc>
          <w:tcPr>
            <w:tcW w:w="9440" w:type="dxa"/>
            <w:vAlign w:val="bottom"/>
            <w:gridSpan w:val="6"/>
          </w:tcPr>
          <w:p>
            <w:pPr>
              <w:spacing w:after="0"/>
              <w:rPr>
                <w:sz w:val="17"/>
                <w:szCs w:val="17"/>
                <w:color w:val="auto"/>
              </w:rPr>
            </w:pPr>
          </w:p>
        </w:tc>
      </w:tr>
      <w:tr>
        <w:trPr>
          <w:trHeight w:val="453"/>
        </w:trPr>
        <w:tc>
          <w:tcPr>
            <w:tcW w:w="980" w:type="dxa"/>
            <w:vAlign w:val="bottom"/>
          </w:tcPr>
          <w:p>
            <w:pPr>
              <w:ind w:left="220"/>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80" w:type="dxa"/>
            <w:vAlign w:val="bottom"/>
          </w:tcPr>
          <w:p>
            <w:pPr>
              <w:ind w:left="220"/>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80" w:type="dxa"/>
            <w:vAlign w:val="bottom"/>
          </w:tcPr>
          <w:p>
            <w:pPr>
              <w:spacing w:after="0"/>
              <w:rPr>
                <w:sz w:val="24"/>
                <w:szCs w:val="24"/>
                <w:color w:val="auto"/>
              </w:rPr>
            </w:pPr>
          </w:p>
        </w:tc>
        <w:tc>
          <w:tcPr>
            <w:tcW w:w="10260" w:type="dxa"/>
            <w:vAlign w:val="bottom"/>
            <w:gridSpan w:val="8"/>
          </w:tcPr>
          <w:p>
            <w:pPr>
              <w:ind w:left="100"/>
              <w:spacing w:after="0"/>
              <w:rPr>
                <w:sz w:val="20"/>
                <w:szCs w:val="20"/>
                <w:color w:val="auto"/>
              </w:rPr>
            </w:pPr>
            <w:r>
              <w:rPr>
                <w:rFonts w:ascii="Arial" w:cs="Arial" w:eastAsia="Arial" w:hAnsi="Arial"/>
                <w:sz w:val="18"/>
                <w:szCs w:val="18"/>
                <w:color w:val="auto"/>
              </w:rPr>
              <w:t>* Management contract or compensatory plan or arrangement</w:t>
            </w:r>
          </w:p>
        </w:tc>
      </w:tr>
      <w:tr>
        <w:trPr>
          <w:trHeight w:val="432"/>
        </w:trPr>
        <w:tc>
          <w:tcPr>
            <w:tcW w:w="980" w:type="dxa"/>
            <w:vAlign w:val="bottom"/>
          </w:tcPr>
          <w:p>
            <w:pPr>
              <w:spacing w:after="0"/>
              <w:rPr>
                <w:sz w:val="24"/>
                <w:szCs w:val="24"/>
                <w:color w:val="auto"/>
              </w:rPr>
            </w:pPr>
          </w:p>
        </w:tc>
        <w:tc>
          <w:tcPr>
            <w:tcW w:w="7200" w:type="dxa"/>
            <w:vAlign w:val="bottom"/>
            <w:gridSpan w:val="4"/>
          </w:tcPr>
          <w:p>
            <w:pPr>
              <w:jc w:val="right"/>
              <w:ind w:right="24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COHU,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March 10, 2020</w:t>
            </w:r>
          </w:p>
        </w:tc>
        <w:tc>
          <w:tcPr>
            <w:tcW w:w="5680" w:type="dxa"/>
            <w:vAlign w:val="bottom"/>
            <w:gridSpan w:val="2"/>
          </w:tcPr>
          <w:p>
            <w:pPr>
              <w:ind w:left="1980"/>
              <w:spacing w:after="0"/>
              <w:rPr>
                <w:sz w:val="20"/>
                <w:szCs w:val="20"/>
                <w:color w:val="auto"/>
              </w:rPr>
            </w:pPr>
            <w:r>
              <w:rPr>
                <w:rFonts w:ascii="Arial" w:cs="Arial" w:eastAsia="Arial" w:hAnsi="Arial"/>
                <w:sz w:val="18"/>
                <w:szCs w:val="18"/>
                <w:color w:val="auto"/>
              </w:rPr>
              <w:t>By:/s/ Luis A. Müller</w:t>
            </w:r>
          </w:p>
        </w:tc>
      </w:tr>
      <w:tr>
        <w:trPr>
          <w:trHeight w:val="195"/>
        </w:trPr>
        <w:tc>
          <w:tcPr>
            <w:tcW w:w="3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Luis A. Müller</w:t>
            </w: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72"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125" w:right="47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right"/>
        <w:ind w:right="1300"/>
        <w:spacing w:after="0"/>
        <w:rPr>
          <w:sz w:val="20"/>
          <w:szCs w:val="20"/>
          <w:color w:val="auto"/>
        </w:rPr>
      </w:pPr>
      <w:r>
        <w:rPr>
          <w:rFonts w:ascii="Arial" w:cs="Arial" w:eastAsia="Arial" w:hAnsi="Arial"/>
          <w:sz w:val="17"/>
          <w:szCs w:val="17"/>
          <w:color w:val="auto"/>
        </w:rPr>
        <w:t>James A. Donahue</w:t>
      </w:r>
    </w:p>
    <w:p>
      <w:pPr>
        <w:spacing w:after="0" w:line="236" w:lineRule="exact"/>
        <w:rPr>
          <w:sz w:val="20"/>
          <w:szCs w:val="20"/>
          <w:color w:val="auto"/>
        </w:rPr>
      </w:pPr>
    </w:p>
    <w:p>
      <w:pPr>
        <w:jc w:val="right"/>
        <w:ind w:right="1520"/>
        <w:spacing w:after="0"/>
        <w:rPr>
          <w:sz w:val="20"/>
          <w:szCs w:val="20"/>
          <w:color w:val="auto"/>
        </w:rPr>
      </w:pPr>
      <w:r>
        <w:rPr>
          <w:rFonts w:ascii="Arial" w:cs="Arial" w:eastAsia="Arial" w:hAnsi="Arial"/>
          <w:sz w:val="17"/>
          <w:szCs w:val="17"/>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7741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5"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Luis A. Müller</w:t>
      </w:r>
    </w:p>
    <w:p>
      <w:pPr>
        <w:spacing w:after="0" w:line="224"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Jeffrey D. Jones</w:t>
      </w:r>
    </w:p>
    <w:p>
      <w:pPr>
        <w:spacing w:after="0" w:line="224" w:lineRule="exact"/>
        <w:rPr>
          <w:sz w:val="20"/>
          <w:szCs w:val="20"/>
          <w:color w:val="auto"/>
        </w:rPr>
      </w:pPr>
    </w:p>
    <w:p>
      <w:pPr>
        <w:jc w:val="right"/>
        <w:ind w:right="1140"/>
        <w:spacing w:after="0"/>
        <w:rPr>
          <w:sz w:val="20"/>
          <w:szCs w:val="20"/>
          <w:color w:val="auto"/>
        </w:rPr>
      </w:pPr>
      <w:r>
        <w:rPr>
          <w:rFonts w:ascii="Arial" w:cs="Arial" w:eastAsia="Arial" w:hAnsi="Arial"/>
          <w:sz w:val="16"/>
          <w:szCs w:val="16"/>
          <w:color w:val="auto"/>
        </w:rPr>
        <w:t>/s/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William E. Bendush</w:t>
      </w:r>
    </w:p>
    <w:p>
      <w:pPr>
        <w:spacing w:after="0" w:line="224" w:lineRule="exact"/>
        <w:rPr>
          <w:sz w:val="20"/>
          <w:szCs w:val="20"/>
          <w:color w:val="auto"/>
        </w:rPr>
      </w:pPr>
    </w:p>
    <w:p>
      <w:pPr>
        <w:jc w:val="right"/>
        <w:ind w:right="1260"/>
        <w:spacing w:after="0"/>
        <w:rPr>
          <w:sz w:val="20"/>
          <w:szCs w:val="20"/>
          <w:color w:val="auto"/>
        </w:rPr>
      </w:pPr>
      <w:r>
        <w:rPr>
          <w:rFonts w:ascii="Arial" w:cs="Arial" w:eastAsia="Arial" w:hAnsi="Arial"/>
          <w:sz w:val="16"/>
          <w:szCs w:val="16"/>
          <w:color w:val="auto"/>
        </w:rPr>
        <w:t>/s/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6"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Steven J. Bilodeau</w:t>
      </w:r>
    </w:p>
    <w:p>
      <w:pPr>
        <w:spacing w:after="0" w:line="224" w:lineRule="exact"/>
        <w:rPr>
          <w:sz w:val="20"/>
          <w:szCs w:val="20"/>
          <w:color w:val="auto"/>
        </w:rPr>
      </w:pPr>
    </w:p>
    <w:p>
      <w:pPr>
        <w:jc w:val="right"/>
        <w:ind w:right="1220"/>
        <w:spacing w:after="0"/>
        <w:rPr>
          <w:sz w:val="20"/>
          <w:szCs w:val="20"/>
          <w:color w:val="auto"/>
        </w:rPr>
      </w:pPr>
      <w:r>
        <w:rPr>
          <w:rFonts w:ascii="Arial" w:cs="Arial" w:eastAsia="Arial" w:hAnsi="Arial"/>
          <w:sz w:val="16"/>
          <w:szCs w:val="16"/>
          <w:color w:val="auto"/>
        </w:rPr>
        <w:t>/s/ 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Andrew M. Caggia</w:t>
      </w:r>
    </w:p>
    <w:p>
      <w:pPr>
        <w:spacing w:after="0" w:line="224" w:lineRule="exact"/>
        <w:rPr>
          <w:sz w:val="20"/>
          <w:szCs w:val="20"/>
          <w:color w:val="auto"/>
        </w:rPr>
      </w:pPr>
    </w:p>
    <w:p>
      <w:pPr>
        <w:jc w:val="right"/>
        <w:ind w:right="1520"/>
        <w:spacing w:after="0"/>
        <w:rPr>
          <w:sz w:val="20"/>
          <w:szCs w:val="20"/>
          <w:color w:val="auto"/>
        </w:rPr>
      </w:pPr>
      <w:r>
        <w:rPr>
          <w:rFonts w:ascii="Arial" w:cs="Arial" w:eastAsia="Arial" w:hAnsi="Arial"/>
          <w:sz w:val="16"/>
          <w:szCs w:val="16"/>
          <w:color w:val="auto"/>
        </w:rPr>
        <w:t>/s/ Lynne J. Camp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6"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Lynne J. Camp</w:t>
      </w:r>
    </w:p>
    <w:p>
      <w:pPr>
        <w:spacing w:after="0" w:line="224"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/s/ 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Robert L. Ciardella</w:t>
      </w:r>
    </w:p>
    <w:p>
      <w:pPr>
        <w:spacing w:after="0" w:line="224"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/s/ Nina L.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Nina L. Richardson</w:t>
      </w:r>
    </w:p>
    <w:p>
      <w:pPr>
        <w:spacing w:after="0" w:line="224" w:lineRule="exact"/>
        <w:rPr>
          <w:sz w:val="20"/>
          <w:szCs w:val="20"/>
          <w:color w:val="auto"/>
        </w:rPr>
      </w:pPr>
    </w:p>
    <w:p>
      <w:pPr>
        <w:jc w:val="right"/>
        <w:ind w:right="1400"/>
        <w:spacing w:after="0"/>
        <w:rPr>
          <w:sz w:val="20"/>
          <w:szCs w:val="20"/>
          <w:color w:val="auto"/>
        </w:rPr>
      </w:pPr>
      <w:r>
        <w:rPr>
          <w:rFonts w:ascii="Arial" w:cs="Arial" w:eastAsia="Arial" w:hAnsi="Arial"/>
          <w:sz w:val="16"/>
          <w:szCs w:val="16"/>
          <w:color w:val="auto"/>
        </w:rPr>
        <w:t>/s/ Jorge L. Titinger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Jorge L. Titinger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3440" w:type="dxa"/>
            <w:vAlign w:val="bottom"/>
          </w:tcPr>
          <w:p>
            <w:pPr>
              <w:spacing w:after="0"/>
              <w:rPr>
                <w:sz w:val="17"/>
                <w:szCs w:val="17"/>
                <w:color w:val="auto"/>
              </w:rPr>
            </w:pPr>
          </w:p>
        </w:tc>
        <w:tc>
          <w:tcPr>
            <w:tcW w:w="2440" w:type="dxa"/>
            <w:vAlign w:val="bottom"/>
            <w:gridSpan w:val="3"/>
          </w:tcPr>
          <w:p>
            <w:pPr>
              <w:ind w:left="1300"/>
              <w:spacing w:after="0"/>
              <w:rPr>
                <w:sz w:val="20"/>
                <w:szCs w:val="20"/>
                <w:color w:val="auto"/>
              </w:rPr>
            </w:pPr>
            <w:r>
              <w:rPr>
                <w:rFonts w:ascii="Arial" w:cs="Arial" w:eastAsia="Arial" w:hAnsi="Arial"/>
                <w:sz w:val="18"/>
                <w:szCs w:val="18"/>
                <w:b w:val="1"/>
                <w:bCs w:val="1"/>
                <w:color w:val="auto"/>
              </w:rPr>
              <w:t>Date</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2"/>
        </w:trPr>
        <w:tc>
          <w:tcPr>
            <w:tcW w:w="474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1"/>
        </w:trPr>
        <w:tc>
          <w:tcPr>
            <w:tcW w:w="47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 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1"/>
        </w:trPr>
        <w:tc>
          <w:tcPr>
            <w:tcW w:w="4740" w:type="dxa"/>
            <w:vAlign w:val="bottom"/>
            <w:gridSpan w:val="3"/>
          </w:tcPr>
          <w:p>
            <w:pPr>
              <w:spacing w:after="0"/>
              <w:rPr>
                <w:sz w:val="20"/>
                <w:szCs w:val="20"/>
                <w:color w:val="auto"/>
              </w:rPr>
            </w:pPr>
            <w:r>
              <w:rPr>
                <w:rFonts w:ascii="Arial" w:cs="Arial" w:eastAsia="Arial" w:hAnsi="Arial"/>
                <w:sz w:val="18"/>
                <w:szCs w:val="18"/>
                <w:color w:val="auto"/>
              </w:rPr>
              <w:t>Vice President, Finance and CFO</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5"/>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661"/>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661"/>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662"/>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661"/>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662"/>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661"/>
        </w:trPr>
        <w:tc>
          <w:tcPr>
            <w:tcW w:w="47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300"/>
              <w:spacing w:after="0"/>
              <w:rPr>
                <w:sz w:val="20"/>
                <w:szCs w:val="20"/>
                <w:color w:val="auto"/>
              </w:rPr>
            </w:pPr>
            <w:r>
              <w:rPr>
                <w:rFonts w:ascii="Arial" w:cs="Arial" w:eastAsia="Arial" w:hAnsi="Arial"/>
                <w:sz w:val="18"/>
                <w:szCs w:val="18"/>
                <w:color w:val="auto"/>
                <w:w w:val="89"/>
              </w:rPr>
              <w:t>March 10, 2020</w:t>
            </w:r>
          </w:p>
        </w:tc>
      </w:tr>
      <w:tr>
        <w:trPr>
          <w:trHeight w:val="648"/>
        </w:trPr>
        <w:tc>
          <w:tcPr>
            <w:tcW w:w="4740" w:type="dxa"/>
            <w:vAlign w:val="bottom"/>
            <w:gridSpan w:val="3"/>
          </w:tcPr>
          <w:p>
            <w:pPr>
              <w:ind w:left="2000"/>
              <w:spacing w:after="0"/>
              <w:rPr>
                <w:sz w:val="20"/>
                <w:szCs w:val="20"/>
                <w:color w:val="auto"/>
              </w:rPr>
            </w:pPr>
            <w:r>
              <w:rPr>
                <w:rFonts w:ascii="Arial" w:cs="Arial" w:eastAsia="Arial" w:hAnsi="Arial"/>
                <w:sz w:val="18"/>
                <w:szCs w:val="18"/>
                <w:color w:val="auto"/>
              </w:rPr>
              <w:t>82</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68580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20" w:space="720"/>
            <w:col w:w="7560"/>
          </w:cols>
          <w:pgMar w:left="320" w:top="125" w:right="47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COHU, INC.</w:t>
            </w:r>
          </w:p>
        </w:tc>
        <w:tc>
          <w:tcPr>
            <w:tcW w:w="2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VALUATION AND QUALIFYING ACCOUNTS</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334"/>
              <w:spacing w:after="0"/>
              <w:rPr>
                <w:sz w:val="20"/>
                <w:szCs w:val="20"/>
                <w:color w:val="auto"/>
              </w:rPr>
            </w:pPr>
            <w:r>
              <w:rPr>
                <w:rFonts w:ascii="Arial" w:cs="Arial" w:eastAsia="Arial" w:hAnsi="Arial"/>
                <w:sz w:val="18"/>
                <w:szCs w:val="18"/>
                <w:color w:val="auto"/>
                <w:w w:val="94"/>
              </w:rPr>
              <w:t>Additions</w:t>
            </w:r>
          </w:p>
        </w:tc>
        <w:tc>
          <w:tcPr>
            <w:tcW w:w="140" w:type="dxa"/>
            <w:vAlign w:val="bottom"/>
          </w:tcPr>
          <w:p>
            <w:pPr>
              <w:spacing w:after="0"/>
              <w:rPr>
                <w:sz w:val="24"/>
                <w:szCs w:val="24"/>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4"/>
              </w:rPr>
              <w:t>Additions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334"/>
              <w:spacing w:after="0"/>
              <w:rPr>
                <w:sz w:val="20"/>
                <w:szCs w:val="20"/>
                <w:color w:val="auto"/>
              </w:rPr>
            </w:pPr>
            <w:r>
              <w:rPr>
                <w:rFonts w:ascii="Arial" w:cs="Arial" w:eastAsia="Arial" w:hAnsi="Arial"/>
                <w:sz w:val="18"/>
                <w:szCs w:val="18"/>
                <w:color w:val="auto"/>
                <w:w w:val="92"/>
              </w:rPr>
              <w:t>(Reductions)</w:t>
            </w: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(Reductions)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Balance at</w:t>
            </w:r>
          </w:p>
        </w:tc>
        <w:tc>
          <w:tcPr>
            <w:tcW w:w="200" w:type="dxa"/>
            <w:vAlign w:val="bottom"/>
          </w:tcPr>
          <w:p>
            <w:pPr>
              <w:spacing w:after="0"/>
              <w:rPr>
                <w:sz w:val="18"/>
                <w:szCs w:val="18"/>
                <w:color w:val="auto"/>
              </w:rPr>
            </w:pPr>
          </w:p>
        </w:tc>
        <w:tc>
          <w:tcPr>
            <w:tcW w:w="1360" w:type="dxa"/>
            <w:vAlign w:val="bottom"/>
          </w:tcPr>
          <w:p>
            <w:pPr>
              <w:jc w:val="center"/>
              <w:ind w:right="334"/>
              <w:spacing w:after="0"/>
              <w:rPr>
                <w:sz w:val="20"/>
                <w:szCs w:val="20"/>
                <w:color w:val="auto"/>
              </w:rPr>
            </w:pPr>
            <w:r>
              <w:rPr>
                <w:rFonts w:ascii="Arial" w:cs="Arial" w:eastAsia="Arial" w:hAnsi="Arial"/>
                <w:sz w:val="18"/>
                <w:szCs w:val="18"/>
                <w:color w:val="auto"/>
                <w:w w:val="92"/>
              </w:rPr>
              <w:t>Not</w:t>
            </w: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9"/>
              </w:rPr>
              <w:t>Charged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4"/>
              </w:rPr>
              <w:t>Beginning</w:t>
            </w:r>
          </w:p>
        </w:tc>
        <w:tc>
          <w:tcPr>
            <w:tcW w:w="200" w:type="dxa"/>
            <w:vAlign w:val="bottom"/>
          </w:tcPr>
          <w:p>
            <w:pPr>
              <w:spacing w:after="0"/>
              <w:rPr>
                <w:sz w:val="18"/>
                <w:szCs w:val="18"/>
                <w:color w:val="auto"/>
              </w:rPr>
            </w:pPr>
          </w:p>
        </w:tc>
        <w:tc>
          <w:tcPr>
            <w:tcW w:w="1360" w:type="dxa"/>
            <w:vAlign w:val="bottom"/>
          </w:tcPr>
          <w:p>
            <w:pPr>
              <w:jc w:val="center"/>
              <w:ind w:right="314"/>
              <w:spacing w:after="0"/>
              <w:rPr>
                <w:sz w:val="20"/>
                <w:szCs w:val="20"/>
                <w:color w:val="auto"/>
              </w:rPr>
            </w:pPr>
            <w:r>
              <w:rPr>
                <w:rFonts w:ascii="Arial" w:cs="Arial" w:eastAsia="Arial" w:hAnsi="Arial"/>
                <w:sz w:val="18"/>
                <w:szCs w:val="18"/>
                <w:color w:val="auto"/>
                <w:w w:val="86"/>
              </w:rPr>
              <w:t>Charged</w:t>
            </w: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(Credited)</w:t>
            </w:r>
          </w:p>
        </w:tc>
        <w:tc>
          <w:tcPr>
            <w:tcW w:w="1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2"/>
              </w:rPr>
              <w:t>Deductions/</w:t>
            </w:r>
          </w:p>
        </w:tc>
        <w:tc>
          <w:tcPr>
            <w:tcW w:w="2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at End</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52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of Year</w:t>
            </w:r>
          </w:p>
        </w:tc>
        <w:tc>
          <w:tcPr>
            <w:tcW w:w="200" w:type="dxa"/>
            <w:vAlign w:val="bottom"/>
          </w:tcPr>
          <w:p>
            <w:pPr>
              <w:spacing w:after="0"/>
              <w:rPr>
                <w:sz w:val="20"/>
                <w:szCs w:val="20"/>
                <w:color w:val="auto"/>
              </w:rPr>
            </w:pPr>
          </w:p>
        </w:tc>
        <w:tc>
          <w:tcPr>
            <w:tcW w:w="1360" w:type="dxa"/>
            <w:vAlign w:val="bottom"/>
          </w:tcPr>
          <w:p>
            <w:pPr>
              <w:jc w:val="center"/>
              <w:ind w:right="314"/>
              <w:spacing w:after="0"/>
              <w:rPr>
                <w:sz w:val="20"/>
                <w:szCs w:val="20"/>
                <w:color w:val="auto"/>
              </w:rPr>
            </w:pPr>
            <w:r>
              <w:rPr>
                <w:rFonts w:ascii="Arial" w:cs="Arial" w:eastAsia="Arial" w:hAnsi="Arial"/>
                <w:sz w:val="18"/>
                <w:szCs w:val="18"/>
                <w:color w:val="auto"/>
                <w:w w:val="88"/>
              </w:rPr>
              <w:t>to Expense</w:t>
            </w:r>
          </w:p>
        </w:tc>
        <w:tc>
          <w:tcPr>
            <w:tcW w:w="14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6"/>
              </w:rPr>
              <w:t>to Expense</w:t>
            </w:r>
          </w:p>
        </w:tc>
        <w:tc>
          <w:tcPr>
            <w:tcW w:w="1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Write-offs</w:t>
            </w:r>
          </w:p>
        </w:tc>
        <w:tc>
          <w:tcPr>
            <w:tcW w:w="2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Year</w:t>
            </w:r>
          </w:p>
        </w:tc>
      </w:tr>
      <w:tr>
        <w:trPr>
          <w:trHeight w:val="209"/>
        </w:trPr>
        <w:tc>
          <w:tcPr>
            <w:tcW w:w="12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 xml:space="preserve">174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30, 2018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 xml:space="preserve">(20)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28, 2019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Reserve for excess and obsolete inventories: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Year ended December 31, 2017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(1,165)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17,362</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Year ended December 29, 2018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17,362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(300)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10,783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23,938</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 ended December 28, 2019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6"/>
                <w:szCs w:val="16"/>
                <w:color w:val="auto"/>
              </w:rPr>
              <w:t xml:space="preserve">1,285 </w:t>
            </w:r>
            <w:r>
              <w:rPr>
                <w:rFonts w:ascii="Arial" w:cs="Arial" w:eastAsia="Arial" w:hAnsi="Arial"/>
                <w:sz w:val="26"/>
                <w:szCs w:val="26"/>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9,057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20,958</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right="3100" w:hanging="5532"/>
        <w:spacing w:after="0" w:line="527" w:lineRule="auto"/>
        <w:tabs>
          <w:tab w:leader="none" w:pos="2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 and reclassifications from other reserves. 83</w:t>
      </w:r>
    </w:p>
    <w:p>
      <w:pPr>
        <w:sectPr>
          <w:pgSz w:w="11900" w:h="16838" w:orient="portrait"/>
          <w:cols w:equalWidth="0" w:num="1">
            <w:col w:w="11240"/>
          </w:cols>
          <w:pgMar w:left="320" w:top="10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16"/>
        <w:spacing w:after="0" w:line="296" w:lineRule="auto"/>
        <w:rPr>
          <w:sz w:val="20"/>
          <w:szCs w:val="20"/>
          <w:color w:val="auto"/>
        </w:rPr>
      </w:pPr>
      <w:r>
        <w:rPr>
          <w:rFonts w:ascii="Arial" w:cs="Arial" w:eastAsia="Arial" w:hAnsi="Arial"/>
          <w:sz w:val="16"/>
          <w:szCs w:val="16"/>
          <w:color w:val="auto"/>
        </w:rPr>
        <w:t>The following description of the capital stock of Cohu, Inc. (“us,” “our,” “we” or the “Company”) is a summary of the rights of our common stock and certain provisions of our certificate of incorporation and bylaws currently in effect. This summary does not purport to be complete and for the complete terms of our capital stock, please refer to our amended and restated certificate of incorporation, as amended (our “certificate of incorporation”) and our amended and restated bylaws, as amended (our “bylaws”). The terms of these securities may also be affected by the Delaware General Corporation Law (the “DGCL”). The summary below is qualified in its entirety by reference to our certificate of incorporation and our bylaws.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right="60" w:firstLine="416"/>
        <w:spacing w:after="0" w:line="281" w:lineRule="auto"/>
        <w:rPr>
          <w:sz w:val="20"/>
          <w:szCs w:val="20"/>
          <w:color w:val="auto"/>
        </w:rPr>
      </w:pPr>
      <w:r>
        <w:rPr>
          <w:rFonts w:ascii="Arial" w:cs="Arial" w:eastAsia="Arial" w:hAnsi="Arial"/>
          <w:sz w:val="17"/>
          <w:szCs w:val="17"/>
          <w:color w:val="auto"/>
        </w:rPr>
        <w:t xml:space="preserve">We are authorized to issue 60,000,000 shares of common stock, of which </w:t>
      </w:r>
      <w:r>
        <w:rPr>
          <w:rFonts w:ascii="Arial" w:cs="Arial" w:eastAsia="Arial" w:hAnsi="Arial"/>
          <w:sz w:val="17"/>
          <w:szCs w:val="17"/>
          <w:b w:val="1"/>
          <w:bCs w:val="1"/>
          <w:color w:val="auto"/>
        </w:rPr>
        <w:t>[●]</w:t>
      </w:r>
      <w:r>
        <w:rPr>
          <w:rFonts w:ascii="Arial" w:cs="Arial" w:eastAsia="Arial" w:hAnsi="Arial"/>
          <w:sz w:val="17"/>
          <w:szCs w:val="17"/>
          <w:color w:val="auto"/>
        </w:rPr>
        <w:t xml:space="preserve"> shares were issued and outstanding as of March </w:t>
      </w:r>
      <w:r>
        <w:rPr>
          <w:rFonts w:ascii="Arial" w:cs="Arial" w:eastAsia="Arial" w:hAnsi="Arial"/>
          <w:sz w:val="17"/>
          <w:szCs w:val="17"/>
          <w:b w:val="1"/>
          <w:bCs w:val="1"/>
          <w:color w:val="auto"/>
        </w:rPr>
        <w:t>[●]</w:t>
      </w:r>
      <w:r>
        <w:rPr>
          <w:rFonts w:ascii="Arial" w:cs="Arial" w:eastAsia="Arial" w:hAnsi="Arial"/>
          <w:sz w:val="17"/>
          <w:szCs w:val="17"/>
          <w:color w:val="auto"/>
        </w:rPr>
        <w:t>, 2020. The holders of Common Stock possess exclusive voting rights in us, except to the extent our board of directors specifies voting power with respect to any other class of securities issued in the future. Each holder of our common stock is entitled to one vote for each share held of record on each matter submitted to a vote of stockholders, including the election of directors. Stockholders have the right to cumulate votes in the election of directors.</w:t>
      </w:r>
    </w:p>
    <w:p>
      <w:pPr>
        <w:spacing w:after="0" w:line="169" w:lineRule="exact"/>
        <w:rPr>
          <w:sz w:val="20"/>
          <w:szCs w:val="20"/>
          <w:color w:val="auto"/>
        </w:rPr>
      </w:pPr>
    </w:p>
    <w:p>
      <w:pPr>
        <w:ind w:right="180" w:firstLine="416"/>
        <w:spacing w:after="0" w:line="273" w:lineRule="auto"/>
        <w:rPr>
          <w:sz w:val="20"/>
          <w:szCs w:val="20"/>
          <w:color w:val="auto"/>
        </w:rPr>
      </w:pPr>
      <w:r>
        <w:rPr>
          <w:rFonts w:ascii="Arial" w:cs="Arial" w:eastAsia="Arial" w:hAnsi="Arial"/>
          <w:sz w:val="17"/>
          <w:szCs w:val="17"/>
          <w:color w:val="auto"/>
        </w:rPr>
        <w:t>Subject to preferences that may be granted to the holders of preferred stock, each holder of our common stock is entitled to share ratably in distributions to stockholders and to receive ratably such dividends as may be declared by our board of directors out of funds legally available therefor. In the event of our liquidation, dissolution or winding up, the holders of our common stock will be entitled to receive, after payment of all of our debts and liabilities and of all sums to which holders of any preferred stock may be entitled, the distribution of any of our remaining assets. Holders of our common stock have no conversion, exchange, sinking fund, redemption or appraisal rights (other than such as may be determined by our board of directors in its sole discretion) and have no preemptive rights to subscribe for any of our securities.</w:t>
      </w:r>
    </w:p>
    <w:p>
      <w:pPr>
        <w:spacing w:after="0" w:line="178" w:lineRule="exact"/>
        <w:rPr>
          <w:sz w:val="20"/>
          <w:szCs w:val="20"/>
          <w:color w:val="auto"/>
        </w:rPr>
      </w:pPr>
    </w:p>
    <w:p>
      <w:pPr>
        <w:ind w:right="100" w:firstLine="416"/>
        <w:spacing w:after="0" w:line="342" w:lineRule="auto"/>
        <w:rPr>
          <w:sz w:val="20"/>
          <w:szCs w:val="20"/>
          <w:color w:val="auto"/>
        </w:rPr>
      </w:pPr>
      <w:r>
        <w:rPr>
          <w:rFonts w:ascii="Arial" w:cs="Arial" w:eastAsia="Arial" w:hAnsi="Arial"/>
          <w:sz w:val="16"/>
          <w:szCs w:val="16"/>
          <w:color w:val="auto"/>
        </w:rPr>
        <w:t>All of the outstanding shares of our common stock are, and the shares of common stock issued upon the conversion of any securities convertible into our common stock will be, fully paid and non-assessable. Our common stock is listed on the Nasdaq Global Select Market under the symbol “COHU”.</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5" w:lineRule="exact"/>
        <w:rPr>
          <w:sz w:val="20"/>
          <w:szCs w:val="20"/>
          <w:color w:val="auto"/>
        </w:rPr>
      </w:pPr>
    </w:p>
    <w:p>
      <w:pPr>
        <w:ind w:right="140" w:firstLine="416"/>
        <w:spacing w:after="0" w:line="291" w:lineRule="auto"/>
        <w:rPr>
          <w:sz w:val="20"/>
          <w:szCs w:val="20"/>
          <w:color w:val="auto"/>
        </w:rPr>
      </w:pPr>
      <w:r>
        <w:rPr>
          <w:rFonts w:ascii="Arial" w:cs="Arial" w:eastAsia="Arial" w:hAnsi="Arial"/>
          <w:sz w:val="16"/>
          <w:szCs w:val="16"/>
          <w:color w:val="auto"/>
        </w:rPr>
        <w:t xml:space="preserve">We are authorized to issue 1,000,000 shares of preferred stock, none of which were issued and outstanding as of March </w:t>
      </w:r>
      <w:r>
        <w:rPr>
          <w:rFonts w:ascii="Arial" w:cs="Arial" w:eastAsia="Arial" w:hAnsi="Arial"/>
          <w:sz w:val="16"/>
          <w:szCs w:val="16"/>
          <w:b w:val="1"/>
          <w:bCs w:val="1"/>
          <w:color w:val="auto"/>
        </w:rPr>
        <w:t>[●]</w:t>
      </w:r>
      <w:r>
        <w:rPr>
          <w:rFonts w:ascii="Arial" w:cs="Arial" w:eastAsia="Arial" w:hAnsi="Arial"/>
          <w:sz w:val="16"/>
          <w:szCs w:val="16"/>
          <w:color w:val="auto"/>
        </w:rPr>
        <w:t>, 2020. Our board is authorized, without action by our stockholders, to classify or reclassify any unissued portion of our authorized shares of preferred stock to provide for the issuance of shares of other classes or series, including preferred stock in one or more series. Our board may fix or alter the dividend rights, dividend rate, conversion rights, voting rights, rights and terms of redemption (including sinking fund provisions), the redemption price or prices, the liquidation preferences of any wholly unissued series of Preferred Stock, and the number of shares constituting any such series and the designation thereof, or any of them; and to increase or decrease the number of shares of any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Certificate of Incorporation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225" w:lineRule="exact"/>
        <w:rPr>
          <w:sz w:val="20"/>
          <w:szCs w:val="20"/>
          <w:color w:val="auto"/>
        </w:rPr>
      </w:pPr>
    </w:p>
    <w:p>
      <w:pPr>
        <w:ind w:right="60" w:firstLine="401"/>
        <w:spacing w:after="0" w:line="268" w:lineRule="auto"/>
        <w:rPr>
          <w:sz w:val="20"/>
          <w:szCs w:val="20"/>
          <w:color w:val="auto"/>
        </w:rPr>
      </w:pPr>
      <w:r>
        <w:rPr>
          <w:rFonts w:ascii="Arial" w:cs="Arial" w:eastAsia="Arial" w:hAnsi="Arial"/>
          <w:sz w:val="17"/>
          <w:szCs w:val="17"/>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 In addition, our certificate of incorporation provides that any business combination involving any stockholder who, together with affiliates and associates, owns 5% or more of our outstanding common stock, must be approved by affirmative vote of the holders of not less than 80% of the total voting power of all outstanding shares of stock, provided, however, that the foregoing shall not apply to any business combination which was approved by resolution of our Board of Directors prior to the acquisition of the ownership or control of ten (10%) percent of our outstanding shares by such related party, nor shall it apply to any business combination between Cohu and another corporation, fifty (50%) percent or more of the voting stock of which is owned by Cohu, and none of which is owned or controlled by a related party, provided that each Cohu stockholder receives the same type of consideration in such transaction in proportion to his stockholding.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Vacancies</w:t>
      </w:r>
    </w:p>
    <w:p>
      <w:pPr>
        <w:spacing w:after="0" w:line="225" w:lineRule="exact"/>
        <w:rPr>
          <w:sz w:val="20"/>
          <w:szCs w:val="20"/>
          <w:color w:val="auto"/>
        </w:rPr>
      </w:pPr>
    </w:p>
    <w:p>
      <w:pPr>
        <w:ind w:right="160" w:firstLine="401"/>
        <w:spacing w:after="0" w:line="277" w:lineRule="auto"/>
        <w:rPr>
          <w:sz w:val="20"/>
          <w:szCs w:val="20"/>
          <w:color w:val="auto"/>
        </w:rPr>
      </w:pPr>
      <w:r>
        <w:rPr>
          <w:rFonts w:ascii="Arial" w:cs="Arial" w:eastAsia="Arial" w:hAnsi="Arial"/>
          <w:sz w:val="18"/>
          <w:szCs w:val="18"/>
          <w:color w:val="auto"/>
        </w:rPr>
        <w:t>Our bylaws provide that any vacancy or vacancies in the Board resulting from the death, resignation or removal of any director, or an increase in the authorized number of directors, may be filled by a majority of the remaining directors,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Undesignated Preferred Stock</w:t>
      </w:r>
    </w:p>
    <w:p>
      <w:pPr>
        <w:spacing w:after="0" w:line="225" w:lineRule="exact"/>
        <w:rPr>
          <w:sz w:val="20"/>
          <w:szCs w:val="20"/>
          <w:color w:val="auto"/>
        </w:rPr>
      </w:pPr>
    </w:p>
    <w:p>
      <w:pPr>
        <w:ind w:right="40" w:firstLine="401"/>
        <w:spacing w:after="0" w:line="259" w:lineRule="auto"/>
        <w:rPr>
          <w:sz w:val="20"/>
          <w:szCs w:val="20"/>
          <w:color w:val="auto"/>
        </w:rPr>
      </w:pPr>
      <w:r>
        <w:rPr>
          <w:rFonts w:ascii="Arial" w:cs="Arial" w:eastAsia="Arial" w:hAnsi="Arial"/>
          <w:sz w:val="18"/>
          <w:szCs w:val="18"/>
          <w:color w:val="auto"/>
        </w:rPr>
        <w:t>The authority that will be possessed by our board of directors to issue preferred stock could potentially be used to discourage attempts by third parties to obtain control of our company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Requirements</w:t>
      </w:r>
    </w:p>
    <w:p>
      <w:pPr>
        <w:spacing w:after="0" w:line="225" w:lineRule="exact"/>
        <w:rPr>
          <w:sz w:val="20"/>
          <w:szCs w:val="20"/>
          <w:color w:val="auto"/>
        </w:rPr>
      </w:pPr>
    </w:p>
    <w:p>
      <w:pPr>
        <w:ind w:right="20" w:firstLine="401"/>
        <w:spacing w:after="0" w:line="257" w:lineRule="auto"/>
        <w:rPr>
          <w:sz w:val="20"/>
          <w:szCs w:val="20"/>
          <w:color w:val="auto"/>
        </w:rPr>
      </w:pPr>
      <w:r>
        <w:rPr>
          <w:rFonts w:ascii="Arial" w:cs="Arial" w:eastAsia="Arial" w:hAnsi="Arial"/>
          <w:sz w:val="18"/>
          <w:szCs w:val="18"/>
          <w:color w:val="auto"/>
        </w:rPr>
        <w:t>Our bylaws provide that special meetings of our stockholders may only be called at the request of a majority of our Board of Directors or at the request, in writing, of stockholders owning a majority of our then issued and outstanding capital stock provided such meeting is for the sole purpose of considering the removal from office of a director who has been convicted of a felony by a court of competent jurisdiction and such conviction is no longer subject to a direct repeal, or a director who has been adjudged to be liable for negligence or misconduct in the performance of his duty to the Company by a court of competent jurisdiction and such adjudication is no longer subject to direct appeal.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225"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Our certificate of incorporation provides that our board of directors is divided into three classes, each comprised of three directors. The directors designated as Class 1 directors have a term expiring at our annual meeting of stockholders in 2020. The directors designated as Class 2 directors have a term expiring at our annual meeting of stockholders in 2021, and the directors designated as Class 3 directors have a term expiring at our annual meeting of stockholders in 2022.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in an uncontested election by the stockholders entitled to vote at the election. A contested election will be determined by a plurality of the votes cast. Under the classified board provisions, it will take at least two elections of directors for any individual or group to gain control of our board. Accordingly, these provisions could discourage a third party from initiating a proxy contest, making a tender offer or otherwise attempting to gain control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25" w:lineRule="exact"/>
        <w:rPr>
          <w:sz w:val="20"/>
          <w:szCs w:val="20"/>
          <w:color w:val="auto"/>
        </w:rPr>
      </w:pPr>
    </w:p>
    <w:p>
      <w:pPr>
        <w:ind w:right="160" w:firstLine="401"/>
        <w:spacing w:after="0" w:line="277" w:lineRule="auto"/>
        <w:rPr>
          <w:sz w:val="20"/>
          <w:szCs w:val="20"/>
          <w:color w:val="auto"/>
        </w:rPr>
      </w:pPr>
      <w:r>
        <w:rPr>
          <w:rFonts w:ascii="Arial" w:cs="Arial" w:eastAsia="Arial" w:hAnsi="Arial"/>
          <w:sz w:val="18"/>
          <w:szCs w:val="18"/>
          <w:color w:val="auto"/>
        </w:rPr>
        <w:t>Our bylaws expressly eliminates the right of our stockholders to act by written consent. Stockholder action must take place at the annual or a special meeting of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Shares</w:t>
      </w:r>
    </w:p>
    <w:p>
      <w:pPr>
        <w:spacing w:after="0" w:line="225"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above provisions may deter a hostile takeover or delay a change in control or management of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our capital stock is ComputerShare Investor Services, LLC.</w:t>
      </w:r>
    </w:p>
    <w:p>
      <w:pPr>
        <w:sectPr>
          <w:pgSz w:w="11900" w:h="16838" w:orient="portrait"/>
          <w:cols w:equalWidth="0" w:num="1">
            <w:col w:w="11240"/>
          </w:cols>
          <w:pgMar w:left="320" w:top="58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4320"/>
              <w:spacing w:after="0"/>
              <w:rPr>
                <w:sz w:val="20"/>
                <w:szCs w:val="20"/>
                <w:color w:val="auto"/>
              </w:rPr>
            </w:pPr>
            <w:r>
              <w:rPr>
                <w:rFonts w:ascii="Arial" w:cs="Arial" w:eastAsia="Arial" w:hAnsi="Arial"/>
                <w:sz w:val="18"/>
                <w:szCs w:val="18"/>
                <w:b w:val="1"/>
                <w:bCs w:val="1"/>
                <w:color w:val="auto"/>
              </w:rPr>
              <w:t>SUBSIDIARIES OF COHU, INC.</w:t>
            </w:r>
          </w:p>
        </w:tc>
        <w:tc>
          <w:tcPr>
            <w:tcW w:w="3460" w:type="dxa"/>
            <w:vAlign w:val="bottom"/>
          </w:tcPr>
          <w:p>
            <w:pPr>
              <w:spacing w:after="0"/>
              <w:rPr>
                <w:sz w:val="20"/>
                <w:szCs w:val="20"/>
                <w:color w:val="auto"/>
              </w:rPr>
            </w:pPr>
          </w:p>
        </w:tc>
      </w:tr>
      <w:tr>
        <w:trPr>
          <w:trHeight w:val="418"/>
        </w:trPr>
        <w:tc>
          <w:tcPr>
            <w:tcW w:w="7780" w:type="dxa"/>
            <w:vAlign w:val="bottom"/>
          </w:tcPr>
          <w:p>
            <w:pPr>
              <w:spacing w:after="0"/>
              <w:rPr>
                <w:sz w:val="24"/>
                <w:szCs w:val="24"/>
                <w:color w:val="auto"/>
              </w:rPr>
            </w:pPr>
          </w:p>
        </w:tc>
        <w:tc>
          <w:tcPr>
            <w:tcW w:w="3460" w:type="dxa"/>
            <w:vAlign w:val="bottom"/>
          </w:tcPr>
          <w:p>
            <w:pPr>
              <w:ind w:left="840"/>
              <w:spacing w:after="0"/>
              <w:rPr>
                <w:sz w:val="20"/>
                <w:szCs w:val="20"/>
                <w:color w:val="auto"/>
              </w:rPr>
            </w:pPr>
            <w:r>
              <w:rPr>
                <w:rFonts w:ascii="Arial" w:cs="Arial" w:eastAsia="Arial" w:hAnsi="Arial"/>
                <w:sz w:val="18"/>
                <w:szCs w:val="18"/>
                <w:color w:val="auto"/>
              </w:rPr>
              <w:t>PLACE OF</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LEGAL ENTITY NAME</w:t>
            </w:r>
          </w:p>
        </w:tc>
        <w:tc>
          <w:tcPr>
            <w:tcW w:w="3460" w:type="dxa"/>
            <w:vAlign w:val="bottom"/>
          </w:tcPr>
          <w:p>
            <w:pPr>
              <w:ind w:left="840"/>
              <w:spacing w:after="0"/>
              <w:rPr>
                <w:sz w:val="20"/>
                <w:szCs w:val="20"/>
                <w:color w:val="auto"/>
              </w:rPr>
            </w:pPr>
            <w:r>
              <w:rPr>
                <w:rFonts w:ascii="Arial" w:cs="Arial" w:eastAsia="Arial" w:hAnsi="Arial"/>
                <w:sz w:val="18"/>
                <w:szCs w:val="18"/>
                <w:color w:val="auto"/>
              </w:rPr>
              <w:t>INCORPORATION</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w:t>
            </w:r>
          </w:p>
        </w:tc>
        <w:tc>
          <w:tcPr>
            <w:tcW w:w="346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Delta Design, Inc. (1)</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FRL, Incorporated</w:t>
            </w:r>
          </w:p>
        </w:tc>
        <w:tc>
          <w:tcPr>
            <w:tcW w:w="3460" w:type="dxa"/>
            <w:vAlign w:val="bottom"/>
          </w:tcPr>
          <w:p>
            <w:pPr>
              <w:ind w:left="840"/>
              <w:spacing w:after="0"/>
              <w:rPr>
                <w:sz w:val="20"/>
                <w:szCs w:val="20"/>
                <w:color w:val="auto"/>
              </w:rPr>
            </w:pPr>
            <w:r>
              <w:rPr>
                <w:rFonts w:ascii="Arial" w:cs="Arial" w:eastAsia="Arial" w:hAnsi="Arial"/>
                <w:sz w:val="18"/>
                <w:szCs w:val="18"/>
                <w:color w:val="auto"/>
              </w:rPr>
              <w:t>California</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Delta Design (Littleton), Inc.</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Cohu Foreign Sales Ltd.</w:t>
            </w:r>
          </w:p>
        </w:tc>
        <w:tc>
          <w:tcPr>
            <w:tcW w:w="3460" w:type="dxa"/>
            <w:vAlign w:val="bottom"/>
          </w:tcPr>
          <w:p>
            <w:pPr>
              <w:ind w:left="840"/>
              <w:spacing w:after="0"/>
              <w:rPr>
                <w:sz w:val="20"/>
                <w:szCs w:val="20"/>
                <w:color w:val="auto"/>
              </w:rPr>
            </w:pPr>
            <w:r>
              <w:rPr>
                <w:rFonts w:ascii="Arial" w:cs="Arial" w:eastAsia="Arial" w:hAnsi="Arial"/>
                <w:sz w:val="18"/>
                <w:szCs w:val="18"/>
                <w:color w:val="auto"/>
              </w:rPr>
              <w:t>Barbados</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Xcerra Corporation (5)</w:t>
            </w:r>
          </w:p>
        </w:tc>
        <w:tc>
          <w:tcPr>
            <w:tcW w:w="3460" w:type="dxa"/>
            <w:vAlign w:val="bottom"/>
          </w:tcPr>
          <w:p>
            <w:pPr>
              <w:ind w:left="840"/>
              <w:spacing w:after="0"/>
              <w:rPr>
                <w:sz w:val="20"/>
                <w:szCs w:val="20"/>
                <w:color w:val="auto"/>
              </w:rPr>
            </w:pPr>
            <w:r>
              <w:rPr>
                <w:rFonts w:ascii="Arial" w:cs="Arial" w:eastAsia="Arial" w:hAnsi="Arial"/>
                <w:sz w:val="18"/>
                <w:szCs w:val="18"/>
                <w:color w:val="auto"/>
              </w:rPr>
              <w:t>Massachusetts</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18"/>
                <w:szCs w:val="18"/>
                <w:color w:val="auto"/>
              </w:rPr>
            </w:pP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(1) Delta Design, Inc. owns the following subsidiaries:</w:t>
            </w:r>
          </w:p>
        </w:tc>
        <w:tc>
          <w:tcPr>
            <w:tcW w:w="3460" w:type="dxa"/>
            <w:vAlign w:val="bottom"/>
          </w:tcPr>
          <w:p>
            <w:pPr>
              <w:spacing w:after="0"/>
              <w:rPr>
                <w:sz w:val="18"/>
                <w:szCs w:val="18"/>
                <w:color w:val="auto"/>
              </w:rPr>
            </w:pP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Delta Design Singapore PTE LTD (2)</w:t>
            </w:r>
          </w:p>
        </w:tc>
        <w:tc>
          <w:tcPr>
            <w:tcW w:w="3460" w:type="dxa"/>
            <w:vAlign w:val="bottom"/>
          </w:tcPr>
          <w:p>
            <w:pPr>
              <w:ind w:left="840"/>
              <w:spacing w:after="0"/>
              <w:rPr>
                <w:sz w:val="20"/>
                <w:szCs w:val="20"/>
                <w:color w:val="auto"/>
              </w:rPr>
            </w:pPr>
            <w:r>
              <w:rPr>
                <w:rFonts w:ascii="Arial" w:cs="Arial" w:eastAsia="Arial" w:hAnsi="Arial"/>
                <w:sz w:val="18"/>
                <w:szCs w:val="18"/>
                <w:color w:val="auto"/>
              </w:rPr>
              <w:t>Singapore</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Cohu S.A.</w:t>
            </w:r>
          </w:p>
        </w:tc>
        <w:tc>
          <w:tcPr>
            <w:tcW w:w="3460" w:type="dxa"/>
            <w:vAlign w:val="bottom"/>
          </w:tcPr>
          <w:p>
            <w:pPr>
              <w:ind w:left="840"/>
              <w:spacing w:after="0"/>
              <w:rPr>
                <w:sz w:val="20"/>
                <w:szCs w:val="20"/>
                <w:color w:val="auto"/>
              </w:rPr>
            </w:pPr>
            <w:r>
              <w:rPr>
                <w:rFonts w:ascii="Arial" w:cs="Arial" w:eastAsia="Arial" w:hAnsi="Arial"/>
                <w:sz w:val="18"/>
                <w:szCs w:val="18"/>
                <w:color w:val="auto"/>
              </w:rPr>
              <w:t>Costa Rica</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Delta Design Europe GmbH (Partial ownership 37%) (3)</w:t>
            </w:r>
          </w:p>
        </w:tc>
        <w:tc>
          <w:tcPr>
            <w:tcW w:w="3460" w:type="dxa"/>
            <w:vAlign w:val="bottom"/>
          </w:tcPr>
          <w:p>
            <w:pPr>
              <w:ind w:left="840"/>
              <w:spacing w:after="0"/>
              <w:rPr>
                <w:sz w:val="20"/>
                <w:szCs w:val="20"/>
                <w:color w:val="auto"/>
              </w:rPr>
            </w:pPr>
            <w:r>
              <w:rPr>
                <w:rFonts w:ascii="Arial" w:cs="Arial" w:eastAsia="Arial" w:hAnsi="Arial"/>
                <w:sz w:val="18"/>
                <w:szCs w:val="18"/>
                <w:color w:val="auto"/>
              </w:rPr>
              <w:t>Germany</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Rosenheim Automation Systems Corporation</w:t>
            </w:r>
          </w:p>
        </w:tc>
        <w:tc>
          <w:tcPr>
            <w:tcW w:w="3460" w:type="dxa"/>
            <w:vAlign w:val="bottom"/>
          </w:tcPr>
          <w:p>
            <w:pPr>
              <w:ind w:left="840"/>
              <w:spacing w:after="0"/>
              <w:rPr>
                <w:sz w:val="20"/>
                <w:szCs w:val="20"/>
                <w:color w:val="auto"/>
              </w:rPr>
            </w:pPr>
            <w:r>
              <w:rPr>
                <w:rFonts w:ascii="Arial" w:cs="Arial" w:eastAsia="Arial" w:hAnsi="Arial"/>
                <w:sz w:val="18"/>
                <w:szCs w:val="18"/>
                <w:color w:val="auto"/>
              </w:rPr>
              <w:t>California</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Ismeca Semiconductor Holding SA (4)</w:t>
            </w:r>
          </w:p>
        </w:tc>
        <w:tc>
          <w:tcPr>
            <w:tcW w:w="3460" w:type="dxa"/>
            <w:vAlign w:val="bottom"/>
          </w:tcPr>
          <w:p>
            <w:pPr>
              <w:ind w:left="840"/>
              <w:spacing w:after="0"/>
              <w:rPr>
                <w:sz w:val="20"/>
                <w:szCs w:val="20"/>
                <w:color w:val="auto"/>
              </w:rPr>
            </w:pPr>
            <w:r>
              <w:rPr>
                <w:rFonts w:ascii="Arial" w:cs="Arial" w:eastAsia="Arial" w:hAnsi="Arial"/>
                <w:sz w:val="18"/>
                <w:szCs w:val="18"/>
                <w:color w:val="auto"/>
              </w:rPr>
              <w:t>Switzerland</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(2) Delta Design Singapore PTE LTD owns the following subsidiaries:</w:t>
            </w:r>
          </w:p>
        </w:tc>
        <w:tc>
          <w:tcPr>
            <w:tcW w:w="3460" w:type="dxa"/>
            <w:vAlign w:val="bottom"/>
          </w:tcPr>
          <w:p>
            <w:pPr>
              <w:spacing w:after="0"/>
              <w:rPr>
                <w:sz w:val="18"/>
                <w:szCs w:val="18"/>
                <w:color w:val="auto"/>
              </w:rPr>
            </w:pP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Delta Design Philippines LLC</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(3) Delta Design Europe GmbH owns the following subsidiaries:</w:t>
            </w:r>
          </w:p>
        </w:tc>
        <w:tc>
          <w:tcPr>
            <w:tcW w:w="3460" w:type="dxa"/>
            <w:vAlign w:val="bottom"/>
          </w:tcPr>
          <w:p>
            <w:pPr>
              <w:spacing w:after="0"/>
              <w:rPr>
                <w:sz w:val="18"/>
                <w:szCs w:val="18"/>
                <w:color w:val="auto"/>
              </w:rPr>
            </w:pP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LTX-Credence (Deutschland) GmbH (6)</w:t>
            </w:r>
          </w:p>
        </w:tc>
        <w:tc>
          <w:tcPr>
            <w:tcW w:w="3460" w:type="dxa"/>
            <w:vAlign w:val="bottom"/>
          </w:tcPr>
          <w:p>
            <w:pPr>
              <w:ind w:left="840"/>
              <w:spacing w:after="0"/>
              <w:rPr>
                <w:sz w:val="20"/>
                <w:szCs w:val="20"/>
                <w:color w:val="auto"/>
              </w:rPr>
            </w:pPr>
            <w:r>
              <w:rPr>
                <w:rFonts w:ascii="Arial" w:cs="Arial" w:eastAsia="Arial" w:hAnsi="Arial"/>
                <w:sz w:val="18"/>
                <w:szCs w:val="18"/>
                <w:color w:val="auto"/>
              </w:rPr>
              <w:t>Japan</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Cohu GmbH (FKA: Rasco Gmbh) (7)</w:t>
            </w:r>
          </w:p>
        </w:tc>
        <w:tc>
          <w:tcPr>
            <w:tcW w:w="3460" w:type="dxa"/>
            <w:vAlign w:val="bottom"/>
          </w:tcPr>
          <w:p>
            <w:pPr>
              <w:ind w:left="840"/>
              <w:spacing w:after="0"/>
              <w:rPr>
                <w:sz w:val="20"/>
                <w:szCs w:val="20"/>
                <w:color w:val="auto"/>
              </w:rPr>
            </w:pPr>
            <w:r>
              <w:rPr>
                <w:rFonts w:ascii="Arial" w:cs="Arial" w:eastAsia="Arial" w:hAnsi="Arial"/>
                <w:sz w:val="18"/>
                <w:szCs w:val="18"/>
                <w:color w:val="auto"/>
              </w:rPr>
              <w:t>Germany</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(4) Ismeca Semiconductor Holding SA owns the following subsidiaries:</w:t>
            </w:r>
          </w:p>
        </w:tc>
        <w:tc>
          <w:tcPr>
            <w:tcW w:w="3460" w:type="dxa"/>
            <w:vAlign w:val="bottom"/>
          </w:tcPr>
          <w:p>
            <w:pPr>
              <w:spacing w:after="0"/>
              <w:rPr>
                <w:sz w:val="18"/>
                <w:szCs w:val="18"/>
                <w:color w:val="auto"/>
              </w:rPr>
            </w:pP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Ismeca Europe Semiconductor SA</w:t>
            </w:r>
          </w:p>
        </w:tc>
        <w:tc>
          <w:tcPr>
            <w:tcW w:w="3460" w:type="dxa"/>
            <w:vAlign w:val="bottom"/>
          </w:tcPr>
          <w:p>
            <w:pPr>
              <w:ind w:left="840"/>
              <w:spacing w:after="0"/>
              <w:rPr>
                <w:sz w:val="20"/>
                <w:szCs w:val="20"/>
                <w:color w:val="auto"/>
              </w:rPr>
            </w:pPr>
            <w:r>
              <w:rPr>
                <w:rFonts w:ascii="Arial" w:cs="Arial" w:eastAsia="Arial" w:hAnsi="Arial"/>
                <w:sz w:val="18"/>
                <w:szCs w:val="18"/>
                <w:color w:val="auto"/>
              </w:rPr>
              <w:t>Switzerland</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Cohu Malaysia Sdn. Bhd.</w:t>
            </w:r>
          </w:p>
        </w:tc>
        <w:tc>
          <w:tcPr>
            <w:tcW w:w="3460" w:type="dxa"/>
            <w:vAlign w:val="bottom"/>
          </w:tcPr>
          <w:p>
            <w:pPr>
              <w:ind w:left="840"/>
              <w:spacing w:after="0"/>
              <w:rPr>
                <w:sz w:val="20"/>
                <w:szCs w:val="20"/>
                <w:color w:val="auto"/>
              </w:rPr>
            </w:pPr>
            <w:r>
              <w:rPr>
                <w:rFonts w:ascii="Arial" w:cs="Arial" w:eastAsia="Arial" w:hAnsi="Arial"/>
                <w:sz w:val="18"/>
                <w:szCs w:val="18"/>
                <w:color w:val="auto"/>
              </w:rPr>
              <w:t>Malaysia</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Ismeca Semiconductor (Suzhou) Co Ltd</w:t>
            </w:r>
          </w:p>
        </w:tc>
        <w:tc>
          <w:tcPr>
            <w:tcW w:w="346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(5) Xcerra Corporation owns the following subsidiaries:</w:t>
            </w:r>
          </w:p>
        </w:tc>
        <w:tc>
          <w:tcPr>
            <w:tcW w:w="3460" w:type="dxa"/>
            <w:vAlign w:val="bottom"/>
          </w:tcPr>
          <w:p>
            <w:pPr>
              <w:spacing w:after="0"/>
              <w:rPr>
                <w:sz w:val="18"/>
                <w:szCs w:val="18"/>
                <w:color w:val="auto"/>
              </w:rPr>
            </w:pP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LTX-Credence France S.A.S.</w:t>
            </w:r>
          </w:p>
        </w:tc>
        <w:tc>
          <w:tcPr>
            <w:tcW w:w="3460" w:type="dxa"/>
            <w:vAlign w:val="bottom"/>
          </w:tcPr>
          <w:p>
            <w:pPr>
              <w:ind w:left="840"/>
              <w:spacing w:after="0"/>
              <w:rPr>
                <w:sz w:val="20"/>
                <w:szCs w:val="20"/>
                <w:color w:val="auto"/>
              </w:rPr>
            </w:pPr>
            <w:r>
              <w:rPr>
                <w:rFonts w:ascii="Arial" w:cs="Arial" w:eastAsia="Arial" w:hAnsi="Arial"/>
                <w:sz w:val="18"/>
                <w:szCs w:val="18"/>
                <w:color w:val="auto"/>
              </w:rPr>
              <w:t>France</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LTX-Credence Italia S.r.l.</w:t>
            </w:r>
          </w:p>
        </w:tc>
        <w:tc>
          <w:tcPr>
            <w:tcW w:w="3460" w:type="dxa"/>
            <w:vAlign w:val="bottom"/>
          </w:tcPr>
          <w:p>
            <w:pPr>
              <w:ind w:left="840"/>
              <w:spacing w:after="0"/>
              <w:rPr>
                <w:sz w:val="20"/>
                <w:szCs w:val="20"/>
                <w:color w:val="auto"/>
              </w:rPr>
            </w:pPr>
            <w:r>
              <w:rPr>
                <w:rFonts w:ascii="Arial" w:cs="Arial" w:eastAsia="Arial" w:hAnsi="Arial"/>
                <w:sz w:val="18"/>
                <w:szCs w:val="18"/>
                <w:color w:val="auto"/>
              </w:rPr>
              <w:t>Italy</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LTX Asia International, Inc. (12)</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LTX-Credence Sdn BhD. (13)</w:t>
            </w:r>
          </w:p>
        </w:tc>
        <w:tc>
          <w:tcPr>
            <w:tcW w:w="3460" w:type="dxa"/>
            <w:vAlign w:val="bottom"/>
          </w:tcPr>
          <w:p>
            <w:pPr>
              <w:ind w:left="840"/>
              <w:spacing w:after="0"/>
              <w:rPr>
                <w:sz w:val="20"/>
                <w:szCs w:val="20"/>
                <w:color w:val="auto"/>
              </w:rPr>
            </w:pPr>
            <w:r>
              <w:rPr>
                <w:rFonts w:ascii="Arial" w:cs="Arial" w:eastAsia="Arial" w:hAnsi="Arial"/>
                <w:sz w:val="18"/>
                <w:szCs w:val="18"/>
                <w:color w:val="auto"/>
              </w:rPr>
              <w:t>Malaysia</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LTX LLC</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Multitest Electronic Systems Inc.</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Cohu Interface Solutions LLC (FKA: Everett Charles Technologies LLC) (11)</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Credence Capital Corporation</w:t>
            </w:r>
          </w:p>
        </w:tc>
        <w:tc>
          <w:tcPr>
            <w:tcW w:w="3460" w:type="dxa"/>
            <w:vAlign w:val="bottom"/>
          </w:tcPr>
          <w:p>
            <w:pPr>
              <w:ind w:left="840"/>
              <w:spacing w:after="0"/>
              <w:rPr>
                <w:sz w:val="20"/>
                <w:szCs w:val="20"/>
                <w:color w:val="auto"/>
              </w:rPr>
            </w:pPr>
            <w:r>
              <w:rPr>
                <w:rFonts w:ascii="Arial" w:cs="Arial" w:eastAsia="Arial" w:hAnsi="Arial"/>
                <w:sz w:val="18"/>
                <w:szCs w:val="18"/>
                <w:color w:val="auto"/>
              </w:rPr>
              <w:t>California</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Xcerra International Inc. (15)</w:t>
            </w:r>
          </w:p>
        </w:tc>
        <w:tc>
          <w:tcPr>
            <w:tcW w:w="346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Credence International Ltd. (16)</w:t>
            </w:r>
          </w:p>
        </w:tc>
        <w:tc>
          <w:tcPr>
            <w:tcW w:w="3460" w:type="dxa"/>
            <w:vAlign w:val="bottom"/>
          </w:tcPr>
          <w:p>
            <w:pPr>
              <w:ind w:left="840"/>
              <w:spacing w:after="0"/>
              <w:rPr>
                <w:sz w:val="20"/>
                <w:szCs w:val="20"/>
                <w:color w:val="auto"/>
              </w:rPr>
            </w:pPr>
            <w:r>
              <w:rPr>
                <w:rFonts w:ascii="Arial" w:cs="Arial" w:eastAsia="Arial" w:hAnsi="Arial"/>
                <w:sz w:val="18"/>
                <w:szCs w:val="18"/>
                <w:color w:val="auto"/>
              </w:rPr>
              <w:t>British Virgin Islands</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LTX-Credence Systems KK</w:t>
            </w:r>
          </w:p>
        </w:tc>
        <w:tc>
          <w:tcPr>
            <w:tcW w:w="3460" w:type="dxa"/>
            <w:vAlign w:val="bottom"/>
          </w:tcPr>
          <w:p>
            <w:pPr>
              <w:ind w:left="840"/>
              <w:spacing w:after="0"/>
              <w:rPr>
                <w:sz w:val="20"/>
                <w:szCs w:val="20"/>
                <w:color w:val="auto"/>
              </w:rPr>
            </w:pPr>
            <w:r>
              <w:rPr>
                <w:rFonts w:ascii="Arial" w:cs="Arial" w:eastAsia="Arial" w:hAnsi="Arial"/>
                <w:sz w:val="18"/>
                <w:szCs w:val="18"/>
                <w:color w:val="auto"/>
              </w:rPr>
              <w:t>Japan</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Credence Semiconductor Test System (Shanghai) Co., Ltd.</w:t>
            </w:r>
          </w:p>
        </w:tc>
        <w:tc>
          <w:tcPr>
            <w:tcW w:w="3460" w:type="dxa"/>
            <w:vAlign w:val="bottom"/>
          </w:tcPr>
          <w:p>
            <w:pPr>
              <w:ind w:left="840"/>
              <w:spacing w:after="0"/>
              <w:rPr>
                <w:sz w:val="20"/>
                <w:szCs w:val="20"/>
                <w:color w:val="auto"/>
              </w:rPr>
            </w:pPr>
            <w:r>
              <w:rPr>
                <w:rFonts w:ascii="Arial" w:cs="Arial" w:eastAsia="Arial" w:hAnsi="Arial"/>
                <w:sz w:val="18"/>
                <w:szCs w:val="18"/>
                <w:color w:val="auto"/>
              </w:rPr>
              <w:t>China</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Xcerra (Thailand) Company Limited</w:t>
            </w:r>
          </w:p>
        </w:tc>
        <w:tc>
          <w:tcPr>
            <w:tcW w:w="3460" w:type="dxa"/>
            <w:vAlign w:val="bottom"/>
          </w:tcPr>
          <w:p>
            <w:pPr>
              <w:ind w:left="840"/>
              <w:spacing w:after="0"/>
              <w:rPr>
                <w:sz w:val="20"/>
                <w:szCs w:val="20"/>
                <w:color w:val="auto"/>
              </w:rPr>
            </w:pPr>
            <w:r>
              <w:rPr>
                <w:rFonts w:ascii="Arial" w:cs="Arial" w:eastAsia="Arial" w:hAnsi="Arial"/>
                <w:sz w:val="18"/>
                <w:szCs w:val="18"/>
                <w:color w:val="auto"/>
              </w:rPr>
              <w:t>Thailand</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Credence Systems (M) Sdn BhD</w:t>
            </w:r>
          </w:p>
        </w:tc>
        <w:tc>
          <w:tcPr>
            <w:tcW w:w="3460" w:type="dxa"/>
            <w:vAlign w:val="bottom"/>
          </w:tcPr>
          <w:p>
            <w:pPr>
              <w:ind w:left="840"/>
              <w:spacing w:after="0"/>
              <w:rPr>
                <w:sz w:val="20"/>
                <w:szCs w:val="20"/>
                <w:color w:val="auto"/>
              </w:rPr>
            </w:pPr>
            <w:r>
              <w:rPr>
                <w:rFonts w:ascii="Arial" w:cs="Arial" w:eastAsia="Arial" w:hAnsi="Arial"/>
                <w:sz w:val="18"/>
                <w:szCs w:val="18"/>
                <w:color w:val="auto"/>
              </w:rPr>
              <w:t>Malaysia</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Credence Systems (UK) Limited</w:t>
            </w:r>
          </w:p>
        </w:tc>
        <w:tc>
          <w:tcPr>
            <w:tcW w:w="3460" w:type="dxa"/>
            <w:vAlign w:val="bottom"/>
          </w:tcPr>
          <w:p>
            <w:pPr>
              <w:ind w:left="840"/>
              <w:spacing w:after="0"/>
              <w:rPr>
                <w:sz w:val="20"/>
                <w:szCs w:val="20"/>
                <w:color w:val="auto"/>
              </w:rPr>
            </w:pPr>
            <w:r>
              <w:rPr>
                <w:rFonts w:ascii="Arial" w:cs="Arial" w:eastAsia="Arial" w:hAnsi="Arial"/>
                <w:sz w:val="18"/>
                <w:szCs w:val="18"/>
                <w:color w:val="auto"/>
              </w:rPr>
              <w:t>United Kingdom</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Everett Charles Technologies Mexico, S. de R.L. de C.V.</w:t>
            </w:r>
          </w:p>
        </w:tc>
        <w:tc>
          <w:tcPr>
            <w:tcW w:w="346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Delta Design Europe GmbH (Partial ownership 63%)</w:t>
            </w:r>
          </w:p>
        </w:tc>
        <w:tc>
          <w:tcPr>
            <w:tcW w:w="3460" w:type="dxa"/>
            <w:vAlign w:val="bottom"/>
          </w:tcPr>
          <w:p>
            <w:pPr>
              <w:ind w:left="840"/>
              <w:spacing w:after="0"/>
              <w:rPr>
                <w:sz w:val="20"/>
                <w:szCs w:val="20"/>
                <w:color w:val="auto"/>
              </w:rPr>
            </w:pPr>
            <w:r>
              <w:rPr>
                <w:rFonts w:ascii="Arial" w:cs="Arial" w:eastAsia="Arial" w:hAnsi="Arial"/>
                <w:sz w:val="18"/>
                <w:szCs w:val="18"/>
                <w:color w:val="auto"/>
              </w:rPr>
              <w:t>Germany</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(6) LTX-Credence (Deutschland) GmbH owns the following subsidiaries:</w:t>
            </w:r>
          </w:p>
        </w:tc>
        <w:tc>
          <w:tcPr>
            <w:tcW w:w="3460" w:type="dxa"/>
            <w:vAlign w:val="bottom"/>
          </w:tcPr>
          <w:p>
            <w:pPr>
              <w:spacing w:after="0"/>
              <w:rPr>
                <w:sz w:val="18"/>
                <w:szCs w:val="18"/>
                <w:color w:val="auto"/>
              </w:rPr>
            </w:pP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atg-Luther &amp; Maelzer GmbH (8)</w:t>
            </w:r>
          </w:p>
        </w:tc>
        <w:tc>
          <w:tcPr>
            <w:tcW w:w="3460" w:type="dxa"/>
            <w:vAlign w:val="bottom"/>
          </w:tcPr>
          <w:p>
            <w:pPr>
              <w:ind w:left="840"/>
              <w:spacing w:after="0"/>
              <w:rPr>
                <w:sz w:val="20"/>
                <w:szCs w:val="20"/>
                <w:color w:val="auto"/>
              </w:rPr>
            </w:pPr>
            <w:r>
              <w:rPr>
                <w:rFonts w:ascii="Arial" w:cs="Arial" w:eastAsia="Arial" w:hAnsi="Arial"/>
                <w:sz w:val="18"/>
                <w:szCs w:val="18"/>
                <w:color w:val="auto"/>
              </w:rPr>
              <w:t>Germany</w:t>
            </w:r>
          </w:p>
        </w:tc>
      </w:tr>
      <w:tr>
        <w:trPr>
          <w:trHeight w:val="216"/>
        </w:trPr>
        <w:tc>
          <w:tcPr>
            <w:tcW w:w="7780" w:type="dxa"/>
            <w:vAlign w:val="bottom"/>
          </w:tcPr>
          <w:p>
            <w:pPr>
              <w:ind w:left="800"/>
              <w:spacing w:after="0"/>
              <w:rPr>
                <w:sz w:val="20"/>
                <w:szCs w:val="20"/>
                <w:color w:val="auto"/>
              </w:rPr>
            </w:pPr>
            <w:r>
              <w:rPr>
                <w:rFonts w:ascii="Arial" w:cs="Arial" w:eastAsia="Arial" w:hAnsi="Arial"/>
                <w:sz w:val="18"/>
                <w:szCs w:val="18"/>
                <w:color w:val="auto"/>
              </w:rPr>
              <w:t>Multitest GmbH (9)</w:t>
            </w:r>
          </w:p>
        </w:tc>
        <w:tc>
          <w:tcPr>
            <w:tcW w:w="3460" w:type="dxa"/>
            <w:vAlign w:val="bottom"/>
          </w:tcPr>
          <w:p>
            <w:pPr>
              <w:ind w:left="840"/>
              <w:spacing w:after="0"/>
              <w:rPr>
                <w:sz w:val="20"/>
                <w:szCs w:val="20"/>
                <w:color w:val="auto"/>
              </w:rPr>
            </w:pPr>
            <w:r>
              <w:rPr>
                <w:rFonts w:ascii="Arial" w:cs="Arial" w:eastAsia="Arial" w:hAnsi="Arial"/>
                <w:sz w:val="18"/>
                <w:szCs w:val="18"/>
                <w:color w:val="auto"/>
              </w:rPr>
              <w:t>Germany</w:t>
            </w: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(7) Cohu GmbH owns the following subsidiaries:</w:t>
            </w:r>
          </w:p>
        </w:tc>
        <w:tc>
          <w:tcPr>
            <w:tcW w:w="3460" w:type="dxa"/>
            <w:vAlign w:val="bottom"/>
          </w:tcPr>
          <w:p>
            <w:pPr>
              <w:spacing w:after="0"/>
              <w:rPr>
                <w:sz w:val="18"/>
                <w:szCs w:val="18"/>
                <w:color w:val="auto"/>
              </w:rPr>
            </w:pPr>
          </w:p>
        </w:tc>
      </w:tr>
      <w:tr>
        <w:trPr>
          <w:trHeight w:val="230"/>
        </w:trPr>
        <w:tc>
          <w:tcPr>
            <w:tcW w:w="7780" w:type="dxa"/>
            <w:vAlign w:val="bottom"/>
          </w:tcPr>
          <w:p>
            <w:pPr>
              <w:ind w:left="800"/>
              <w:spacing w:after="0"/>
              <w:rPr>
                <w:sz w:val="20"/>
                <w:szCs w:val="20"/>
                <w:color w:val="auto"/>
              </w:rPr>
            </w:pPr>
            <w:r>
              <w:rPr>
                <w:rFonts w:ascii="Arial" w:cs="Arial" w:eastAsia="Arial" w:hAnsi="Arial"/>
                <w:sz w:val="18"/>
                <w:szCs w:val="18"/>
                <w:color w:val="auto"/>
              </w:rPr>
              <w:t>Kita Manufacturing Co., LTD</w:t>
            </w:r>
          </w:p>
        </w:tc>
        <w:tc>
          <w:tcPr>
            <w:tcW w:w="3460" w:type="dxa"/>
            <w:vAlign w:val="bottom"/>
          </w:tcPr>
          <w:p>
            <w:pPr>
              <w:ind w:left="840"/>
              <w:spacing w:after="0"/>
              <w:rPr>
                <w:sz w:val="20"/>
                <w:szCs w:val="20"/>
                <w:color w:val="auto"/>
              </w:rPr>
            </w:pPr>
            <w:r>
              <w:rPr>
                <w:rFonts w:ascii="Arial" w:cs="Arial" w:eastAsia="Arial" w:hAnsi="Arial"/>
                <w:sz w:val="18"/>
                <w:szCs w:val="18"/>
                <w:color w:val="auto"/>
              </w:rPr>
              <w:t>Japan</w:t>
            </w:r>
          </w:p>
        </w:tc>
      </w:tr>
      <w:tr>
        <w:trPr>
          <w:trHeight w:val="601"/>
        </w:trPr>
        <w:tc>
          <w:tcPr>
            <w:tcW w:w="77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 atg-Luther &amp; Maelzer GmbH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atg-Luther &amp; Maelzer Asia Ltd.</w:t>
            </w:r>
          </w:p>
        </w:tc>
        <w:tc>
          <w:tcPr>
            <w:tcW w:w="1240" w:type="dxa"/>
            <w:vAlign w:val="bottom"/>
          </w:tcPr>
          <w:p>
            <w:pPr>
              <w:ind w:left="200"/>
              <w:spacing w:after="0"/>
              <w:rPr>
                <w:sz w:val="20"/>
                <w:szCs w:val="20"/>
                <w:color w:val="auto"/>
              </w:rPr>
            </w:pPr>
            <w:r>
              <w:rPr>
                <w:rFonts w:ascii="Arial" w:cs="Arial" w:eastAsia="Arial" w:hAnsi="Arial"/>
                <w:sz w:val="18"/>
                <w:szCs w:val="18"/>
                <w:color w:val="auto"/>
              </w:rPr>
              <w:t>Taiwan</w:t>
            </w: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Multitest elektrisches Testzentrum fuer Leiterplatten GmbH (15.38% Ownership)</w:t>
            </w:r>
          </w:p>
        </w:tc>
        <w:tc>
          <w:tcPr>
            <w:tcW w:w="124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(9) Multitest GmbH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Multitest elektronische Systeme GmbH (10)</w:t>
            </w:r>
          </w:p>
        </w:tc>
        <w:tc>
          <w:tcPr>
            <w:tcW w:w="124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3"/>
              </w:rPr>
              <w:t>(10)</w:t>
            </w:r>
          </w:p>
        </w:tc>
        <w:tc>
          <w:tcPr>
            <w:tcW w:w="7620" w:type="dxa"/>
            <w:vAlign w:val="bottom"/>
          </w:tcPr>
          <w:p>
            <w:pPr>
              <w:ind w:left="20"/>
              <w:spacing w:after="0"/>
              <w:rPr>
                <w:sz w:val="20"/>
                <w:szCs w:val="20"/>
                <w:color w:val="auto"/>
              </w:rPr>
            </w:pPr>
            <w:r>
              <w:rPr>
                <w:rFonts w:ascii="Arial" w:cs="Arial" w:eastAsia="Arial" w:hAnsi="Arial"/>
                <w:sz w:val="18"/>
                <w:szCs w:val="18"/>
                <w:color w:val="auto"/>
              </w:rPr>
              <w:t>Multitest elektronische Systeme GmbH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FTZ Fraes-und Techologiezentrum GmbH Frasdorf (39% Ownership)</w:t>
            </w:r>
          </w:p>
        </w:tc>
        <w:tc>
          <w:tcPr>
            <w:tcW w:w="124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(11) Cohu Interface Solutions LLC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Everett Charles Tech, Inc. (FKA: Kita USA, Inc.)</w:t>
            </w:r>
          </w:p>
        </w:tc>
        <w:tc>
          <w:tcPr>
            <w:tcW w:w="1240" w:type="dxa"/>
            <w:vAlign w:val="bottom"/>
          </w:tcPr>
          <w:p>
            <w:pPr>
              <w:ind w:left="200"/>
              <w:spacing w:after="0"/>
              <w:rPr>
                <w:sz w:val="20"/>
                <w:szCs w:val="20"/>
                <w:color w:val="auto"/>
              </w:rPr>
            </w:pPr>
            <w:r>
              <w:rPr>
                <w:rFonts w:ascii="Arial" w:cs="Arial" w:eastAsia="Arial" w:hAnsi="Arial"/>
                <w:sz w:val="18"/>
                <w:szCs w:val="18"/>
                <w:color w:val="auto"/>
                <w:w w:val="84"/>
              </w:rPr>
              <w:t>Massachusetts</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3"/>
              </w:rPr>
              <w:t>(12)</w:t>
            </w:r>
          </w:p>
        </w:tc>
        <w:tc>
          <w:tcPr>
            <w:tcW w:w="7620" w:type="dxa"/>
            <w:vAlign w:val="bottom"/>
          </w:tcPr>
          <w:p>
            <w:pPr>
              <w:ind w:left="20"/>
              <w:spacing w:after="0"/>
              <w:rPr>
                <w:sz w:val="20"/>
                <w:szCs w:val="20"/>
                <w:color w:val="auto"/>
              </w:rPr>
            </w:pPr>
            <w:r>
              <w:rPr>
                <w:rFonts w:ascii="Arial" w:cs="Arial" w:eastAsia="Arial" w:hAnsi="Arial"/>
                <w:sz w:val="18"/>
                <w:szCs w:val="18"/>
                <w:color w:val="auto"/>
              </w:rPr>
              <w:t>LTX Asia International, Inc.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LTX (Shanghai) Co., Ltd.</w:t>
            </w:r>
          </w:p>
        </w:tc>
        <w:tc>
          <w:tcPr>
            <w:tcW w:w="124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3"/>
              </w:rPr>
              <w:t>(13)</w:t>
            </w:r>
          </w:p>
        </w:tc>
        <w:tc>
          <w:tcPr>
            <w:tcW w:w="7620" w:type="dxa"/>
            <w:vAlign w:val="bottom"/>
          </w:tcPr>
          <w:p>
            <w:pPr>
              <w:ind w:left="20"/>
              <w:spacing w:after="0"/>
              <w:rPr>
                <w:sz w:val="20"/>
                <w:szCs w:val="20"/>
                <w:color w:val="auto"/>
              </w:rPr>
            </w:pPr>
            <w:r>
              <w:rPr>
                <w:rFonts w:ascii="Arial" w:cs="Arial" w:eastAsia="Arial" w:hAnsi="Arial"/>
                <w:sz w:val="18"/>
                <w:szCs w:val="18"/>
                <w:color w:val="auto"/>
              </w:rPr>
              <w:t>LTX-Credence Sdn BhD.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LTX Corporation Philippine Branch (14)</w:t>
            </w:r>
          </w:p>
        </w:tc>
        <w:tc>
          <w:tcPr>
            <w:tcW w:w="1240" w:type="dxa"/>
            <w:vAlign w:val="bottom"/>
          </w:tcPr>
          <w:p>
            <w:pPr>
              <w:ind w:left="200"/>
              <w:spacing w:after="0"/>
              <w:rPr>
                <w:sz w:val="20"/>
                <w:szCs w:val="20"/>
                <w:color w:val="auto"/>
              </w:rPr>
            </w:pPr>
            <w:r>
              <w:rPr>
                <w:rFonts w:ascii="Arial" w:cs="Arial" w:eastAsia="Arial" w:hAnsi="Arial"/>
                <w:sz w:val="18"/>
                <w:szCs w:val="18"/>
                <w:color w:val="auto"/>
              </w:rPr>
              <w:t>Philippines</w:t>
            </w: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Multitest Electronic Systems (Penang) Sdn. Bhd.</w:t>
            </w:r>
          </w:p>
        </w:tc>
        <w:tc>
          <w:tcPr>
            <w:tcW w:w="1240" w:type="dxa"/>
            <w:vAlign w:val="bottom"/>
          </w:tcPr>
          <w:p>
            <w:pPr>
              <w:ind w:left="200"/>
              <w:spacing w:after="0"/>
              <w:rPr>
                <w:sz w:val="20"/>
                <w:szCs w:val="20"/>
                <w:color w:val="auto"/>
              </w:rPr>
            </w:pPr>
            <w:r>
              <w:rPr>
                <w:rFonts w:ascii="Arial" w:cs="Arial" w:eastAsia="Arial" w:hAnsi="Arial"/>
                <w:sz w:val="18"/>
                <w:szCs w:val="18"/>
                <w:color w:val="auto"/>
              </w:rPr>
              <w:t>Malaysia</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3"/>
              </w:rPr>
              <w:t>(14)</w:t>
            </w:r>
          </w:p>
        </w:tc>
        <w:tc>
          <w:tcPr>
            <w:tcW w:w="7620" w:type="dxa"/>
            <w:vAlign w:val="bottom"/>
          </w:tcPr>
          <w:p>
            <w:pPr>
              <w:ind w:left="20"/>
              <w:spacing w:after="0"/>
              <w:rPr>
                <w:sz w:val="20"/>
                <w:szCs w:val="20"/>
                <w:color w:val="auto"/>
              </w:rPr>
            </w:pPr>
            <w:r>
              <w:rPr>
                <w:rFonts w:ascii="Arial" w:cs="Arial" w:eastAsia="Arial" w:hAnsi="Arial"/>
                <w:sz w:val="18"/>
                <w:szCs w:val="18"/>
                <w:color w:val="auto"/>
              </w:rPr>
              <w:t>LTX Corporation Philippine Branch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Multitest Electronic Systems (Philippines) Corporation</w:t>
            </w:r>
          </w:p>
        </w:tc>
        <w:tc>
          <w:tcPr>
            <w:tcW w:w="1240" w:type="dxa"/>
            <w:vAlign w:val="bottom"/>
          </w:tcPr>
          <w:p>
            <w:pPr>
              <w:ind w:left="200"/>
              <w:spacing w:after="0"/>
              <w:rPr>
                <w:sz w:val="20"/>
                <w:szCs w:val="20"/>
                <w:color w:val="auto"/>
              </w:rPr>
            </w:pPr>
            <w:r>
              <w:rPr>
                <w:rFonts w:ascii="Arial" w:cs="Arial" w:eastAsia="Arial" w:hAnsi="Arial"/>
                <w:sz w:val="18"/>
                <w:szCs w:val="18"/>
                <w:color w:val="auto"/>
              </w:rPr>
              <w:t>Philippines</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3"/>
              </w:rPr>
              <w:t>(15)</w:t>
            </w:r>
          </w:p>
        </w:tc>
        <w:tc>
          <w:tcPr>
            <w:tcW w:w="7620" w:type="dxa"/>
            <w:vAlign w:val="bottom"/>
          </w:tcPr>
          <w:p>
            <w:pPr>
              <w:ind w:left="20"/>
              <w:spacing w:after="0"/>
              <w:rPr>
                <w:sz w:val="20"/>
                <w:szCs w:val="20"/>
                <w:color w:val="auto"/>
              </w:rPr>
            </w:pPr>
            <w:r>
              <w:rPr>
                <w:rFonts w:ascii="Arial" w:cs="Arial" w:eastAsia="Arial" w:hAnsi="Arial"/>
                <w:sz w:val="18"/>
                <w:szCs w:val="18"/>
                <w:color w:val="auto"/>
              </w:rPr>
              <w:t>Xcerra International Inc.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Credence Systems Korea Ltd.</w:t>
            </w:r>
          </w:p>
        </w:tc>
        <w:tc>
          <w:tcPr>
            <w:tcW w:w="1240" w:type="dxa"/>
            <w:vAlign w:val="bottom"/>
          </w:tcPr>
          <w:p>
            <w:pPr>
              <w:ind w:left="200"/>
              <w:spacing w:after="0"/>
              <w:rPr>
                <w:sz w:val="20"/>
                <w:szCs w:val="20"/>
                <w:color w:val="auto"/>
              </w:rPr>
            </w:pPr>
            <w:r>
              <w:rPr>
                <w:rFonts w:ascii="Arial" w:cs="Arial" w:eastAsia="Arial" w:hAnsi="Arial"/>
                <w:sz w:val="18"/>
                <w:szCs w:val="18"/>
                <w:color w:val="auto"/>
              </w:rPr>
              <w:t>South Korea</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3"/>
              </w:rPr>
              <w:t>(16)</w:t>
            </w:r>
          </w:p>
        </w:tc>
        <w:tc>
          <w:tcPr>
            <w:tcW w:w="7620" w:type="dxa"/>
            <w:vAlign w:val="bottom"/>
          </w:tcPr>
          <w:p>
            <w:pPr>
              <w:ind w:left="20"/>
              <w:spacing w:after="0"/>
              <w:rPr>
                <w:sz w:val="20"/>
                <w:szCs w:val="20"/>
                <w:color w:val="auto"/>
              </w:rPr>
            </w:pPr>
            <w:r>
              <w:rPr>
                <w:rFonts w:ascii="Arial" w:cs="Arial" w:eastAsia="Arial" w:hAnsi="Arial"/>
                <w:sz w:val="18"/>
                <w:szCs w:val="18"/>
                <w:color w:val="auto"/>
              </w:rPr>
              <w:t>Credence International Ltd. owns the following subsidiaries:</w:t>
            </w:r>
          </w:p>
        </w:tc>
        <w:tc>
          <w:tcPr>
            <w:tcW w:w="12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Credence Malta Limited</w:t>
            </w:r>
          </w:p>
        </w:tc>
        <w:tc>
          <w:tcPr>
            <w:tcW w:w="1240" w:type="dxa"/>
            <w:vAlign w:val="bottom"/>
          </w:tcPr>
          <w:p>
            <w:pPr>
              <w:ind w:left="200"/>
              <w:spacing w:after="0"/>
              <w:rPr>
                <w:sz w:val="20"/>
                <w:szCs w:val="20"/>
                <w:color w:val="auto"/>
              </w:rPr>
            </w:pPr>
            <w:r>
              <w:rPr>
                <w:rFonts w:ascii="Arial" w:cs="Arial" w:eastAsia="Arial" w:hAnsi="Arial"/>
                <w:sz w:val="18"/>
                <w:szCs w:val="18"/>
                <w:color w:val="auto"/>
              </w:rPr>
              <w:t>Malta</w:t>
            </w: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LTX-Credence Singapore Pte Ltd.</w:t>
            </w:r>
          </w:p>
        </w:tc>
        <w:tc>
          <w:tcPr>
            <w:tcW w:w="124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NPTest de Costa Rica SA.</w:t>
            </w:r>
          </w:p>
        </w:tc>
        <w:tc>
          <w:tcPr>
            <w:tcW w:w="1240" w:type="dxa"/>
            <w:vAlign w:val="bottom"/>
          </w:tcPr>
          <w:p>
            <w:pPr>
              <w:ind w:left="200"/>
              <w:spacing w:after="0"/>
              <w:rPr>
                <w:sz w:val="20"/>
                <w:szCs w:val="20"/>
                <w:color w:val="auto"/>
              </w:rPr>
            </w:pPr>
            <w:r>
              <w:rPr>
                <w:rFonts w:ascii="Arial" w:cs="Arial" w:eastAsia="Arial" w:hAnsi="Arial"/>
                <w:sz w:val="18"/>
                <w:szCs w:val="18"/>
                <w:color w:val="auto"/>
              </w:rPr>
              <w:t>Costa Rica</w:t>
            </w:r>
          </w:p>
        </w:tc>
      </w:tr>
      <w:tr>
        <w:trPr>
          <w:trHeight w:val="216"/>
        </w:trPr>
        <w:tc>
          <w:tcPr>
            <w:tcW w:w="320" w:type="dxa"/>
            <w:vAlign w:val="bottom"/>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rPr>
              <w:t>Test Solutions (Suzhou) Co., Ltd.</w:t>
            </w:r>
          </w:p>
        </w:tc>
        <w:tc>
          <w:tcPr>
            <w:tcW w:w="124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30"/>
        </w:trPr>
        <w:tc>
          <w:tcPr>
            <w:tcW w:w="320" w:type="dxa"/>
            <w:vAlign w:val="bottom"/>
          </w:tcPr>
          <w:p>
            <w:pPr>
              <w:spacing w:after="0"/>
              <w:rPr>
                <w:sz w:val="20"/>
                <w:szCs w:val="20"/>
                <w:color w:val="auto"/>
              </w:rPr>
            </w:pPr>
          </w:p>
        </w:tc>
        <w:tc>
          <w:tcPr>
            <w:tcW w:w="7620" w:type="dxa"/>
            <w:vAlign w:val="bottom"/>
          </w:tcPr>
          <w:p>
            <w:pPr>
              <w:ind w:left="220"/>
              <w:spacing w:after="0"/>
              <w:rPr>
                <w:sz w:val="20"/>
                <w:szCs w:val="20"/>
                <w:color w:val="auto"/>
              </w:rPr>
            </w:pPr>
            <w:r>
              <w:rPr>
                <w:rFonts w:ascii="Arial" w:cs="Arial" w:eastAsia="Arial" w:hAnsi="Arial"/>
                <w:sz w:val="18"/>
                <w:szCs w:val="18"/>
                <w:color w:val="auto"/>
                <w:w w:val="93"/>
              </w:rPr>
              <w:t>Cohu Semiconductor (Shenzhen) Co., Ltd (FKA:Everett Charles Technologies (Shenzhen) Limited)</w:t>
            </w:r>
          </w:p>
        </w:tc>
        <w:tc>
          <w:tcPr>
            <w:tcW w:w="1240" w:type="dxa"/>
            <w:vAlign w:val="bottom"/>
          </w:tcPr>
          <w:p>
            <w:pPr>
              <w:ind w:left="20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9879"/>
          </w:cols>
          <w:pgMar w:left="580" w:top="584"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Statements (Form S-8 Nos. 333-233080, 333-207016, 333-62803, 333-27663, 333-40610, 333-66466, 333-97449, 333-117554, 333-132605, 333-142579, 333-160760, 333-177453 and 333-186973) pertaining to the Cohu, Inc. 1996 and 1998 Stock Option Plans, 1996 Outside Directors Stock Option Plan, 1997 Employee Stock Purchase Plan, and 2005 Equity Incentive Plan of Cohu, Inc.; of our reports dated March 10, 2020, with respect to the consolidated financial statements and schedule of Cohu, Inc., and the effectiveness of internal control over financial reporting of Cohu, Inc., included in this Annual Report (Form 10-K) of Cohu, Inc. for the year ended December 28, 2019.</w:t>
      </w:r>
    </w:p>
    <w:p>
      <w:pPr>
        <w:spacing w:after="0" w:line="161"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2020</w:t>
      </w:r>
    </w:p>
    <w:p>
      <w:pPr>
        <w:sectPr>
          <w:pgSz w:w="11900" w:h="16838" w:orient="portrait"/>
          <w:cols w:equalWidth="0" w:num="1">
            <w:col w:w="11240"/>
          </w:cols>
          <w:pgMar w:left="320" w:top="12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Luis A. Müller, certify that:</w:t>
      </w:r>
    </w:p>
    <w:p>
      <w:pPr>
        <w:spacing w:after="0" w:line="225" w:lineRule="exact"/>
        <w:rPr>
          <w:sz w:val="20"/>
          <w:szCs w:val="20"/>
          <w:color w:val="auto"/>
        </w:rPr>
      </w:pPr>
    </w:p>
    <w:p>
      <w:pPr>
        <w:ind w:left="460" w:hanging="18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260" w:firstLine="278"/>
        <w:spacing w:after="0" w:line="342" w:lineRule="auto"/>
        <w:tabs>
          <w:tab w:leader="none" w:pos="45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278"/>
        <w:spacing w:after="0" w:line="277" w:lineRule="auto"/>
        <w:tabs>
          <w:tab w:leader="none" w:pos="4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hanging="182"/>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ind w:left="660" w:right="380" w:hanging="328"/>
        <w:spacing w:after="0" w:line="263"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278"/>
        <w:spacing w:after="0" w:line="308" w:lineRule="auto"/>
        <w:tabs>
          <w:tab w:leader="none" w:pos="45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25" w:lineRule="exact"/>
        <w:rPr>
          <w:sz w:val="20"/>
          <w:szCs w:val="20"/>
          <w:color w:val="auto"/>
        </w:rPr>
      </w:pPr>
    </w:p>
    <w:p>
      <w:pPr>
        <w:ind w:left="460" w:hanging="18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260" w:firstLine="278"/>
        <w:spacing w:after="0" w:line="342" w:lineRule="auto"/>
        <w:tabs>
          <w:tab w:leader="none" w:pos="45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278"/>
        <w:spacing w:after="0" w:line="277" w:lineRule="auto"/>
        <w:tabs>
          <w:tab w:leader="none" w:pos="4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hanging="182"/>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ind w:left="660" w:right="380" w:hanging="328"/>
        <w:spacing w:after="0" w:line="263"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278"/>
        <w:spacing w:after="0" w:line="308" w:lineRule="auto"/>
        <w:tabs>
          <w:tab w:leader="none" w:pos="45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229" w:lineRule="exact"/>
        <w:rPr>
          <w:sz w:val="20"/>
          <w:szCs w:val="20"/>
          <w:color w:val="auto"/>
        </w:rPr>
      </w:pPr>
    </w:p>
    <w:p>
      <w:pPr>
        <w:jc w:val="both"/>
        <w:ind w:right="240" w:firstLine="270"/>
        <w:spacing w:after="0" w:line="263"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28, 2019 (the "Report"), I, Luis A. Müller, President and Chief Executive Officer of the Company, certify, pursuant to 18 U.S.C. Section 1350, as adopted pursuant to Section 906 of the Sarbanes-Oxley Act of 2002, that, based on my knowledge:</w:t>
      </w:r>
    </w:p>
    <w:p>
      <w:pPr>
        <w:spacing w:after="0" w:line="184"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40" w:firstLine="8"/>
        <w:spacing w:after="0" w:line="500"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10,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229" w:lineRule="exact"/>
        <w:rPr>
          <w:sz w:val="20"/>
          <w:szCs w:val="20"/>
          <w:color w:val="auto"/>
        </w:rPr>
      </w:pPr>
    </w:p>
    <w:p>
      <w:pPr>
        <w:ind w:right="120" w:firstLine="270"/>
        <w:spacing w:after="0" w:line="263"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28, 2019 (the "Report"), I, Jeffrey D. Jones, Vice President Finance and Chief Financial Officer of the Company, certify, pursuant to 18 U.S.C. Section 1350, as adopted pursuant to Section 906 of the Sarbanes-Oxley Act of 2002, that, based on my knowledge:</w:t>
      </w:r>
    </w:p>
    <w:p>
      <w:pPr>
        <w:spacing w:after="0" w:line="184"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40" w:firstLine="8"/>
        <w:spacing w:after="0" w:line="500"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10,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amp;"/>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lowerLetter"/>
      <w:start w:val="1"/>
    </w:lvl>
    <w:lvl w:ilvl="1">
      <w:lvlJc w:val="left"/>
      <w:lvlText w:val="(%2)"/>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2"/>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4"/>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5"/>
    </w:lvl>
  </w:abstractNum>
  <w:abstractNum w:abstractNumId="30">
    <w:nsid w:val="580BD78F"/>
    <w:multiLevelType w:val="hybridMultilevel"/>
    <w:lvl w:ilvl="0">
      <w:lvlJc w:val="left"/>
      <w:lvlText w:val="%1."/>
      <w:numFmt w:val="decimal"/>
      <w:start w:val="6"/>
    </w:lvl>
  </w:abstractNum>
  <w:abstractNum w:abstractNumId="31">
    <w:nsid w:val="153EA438"/>
    <w:multiLevelType w:val="hybridMultilevel"/>
    <w:lvl w:ilvl="0">
      <w:lvlJc w:val="left"/>
      <w:lvlText w:val="%1."/>
      <w:numFmt w:val="decimal"/>
      <w:start w:val="7"/>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8"/>
    </w:lvl>
  </w:abstractNum>
  <w:abstractNum w:abstractNumId="34">
    <w:nsid w:val="6A2342EC"/>
    <w:multiLevelType w:val="hybridMultilevel"/>
    <w:lvl w:ilvl="0">
      <w:lvlJc w:val="left"/>
      <w:lvlText w:val="%1."/>
      <w:numFmt w:val="decimal"/>
      <w:start w:val="9"/>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1"/>
    </w:lvl>
  </w:abstractNum>
  <w:abstractNum w:abstractNumId="38">
    <w:nsid w:val="2CD89A32"/>
    <w:multiLevelType w:val="hybridMultilevel"/>
    <w:lvl w:ilvl="0">
      <w:lvlJc w:val="left"/>
      <w:lvlText w:val="%1."/>
      <w:numFmt w:val="decimal"/>
      <w:start w:val="13"/>
    </w:lvl>
  </w:abstractNum>
  <w:abstractNum w:abstractNumId="39">
    <w:nsid w:val="57E4CCAF"/>
    <w:multiLevelType w:val="hybridMultilevel"/>
    <w:lvl w:ilvl="0">
      <w:lvlJc w:val="left"/>
      <w:lvlText w:val="%1"/>
      <w:numFmt w:val="decimal"/>
      <w:start w:val="1"/>
    </w:lvl>
    <w:lvl w:ilvl="1">
      <w:lvlJc w:val="left"/>
      <w:lvlText w:val="(%2)"/>
      <w:numFmt w:val="decimal"/>
      <w:start w:val="1"/>
    </w:lvl>
  </w:abstractNum>
  <w:abstractNum w:abstractNumId="40">
    <w:nsid w:val="7A6D8D3C"/>
    <w:multiLevelType w:val="hybridMultilevel"/>
    <w:lvl w:ilvl="0">
      <w:lvlJc w:val="left"/>
      <w:lvlText w:val="%1."/>
      <w:numFmt w:val="decimal"/>
      <w:start w:val="14"/>
    </w:lvl>
    <w:lvl w:ilvl="1">
      <w:lvlJc w:val="left"/>
      <w:lvlText w:val="%2"/>
      <w:numFmt w:val="decimal"/>
      <w:start w:val="1"/>
    </w:lvl>
  </w:abstractNum>
  <w:abstractNum w:abstractNumId="41">
    <w:nsid w:val="4B588F54"/>
    <w:multiLevelType w:val="hybridMultilevel"/>
    <w:lvl w:ilvl="0">
      <w:lvlJc w:val="left"/>
      <w:lvlText w:val="%1."/>
      <w:numFmt w:val="decimal"/>
      <w:start w:val="15"/>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decimal"/>
      <w:start w:val="21"/>
    </w:lvl>
  </w:abstractNum>
  <w:abstractNum w:abstractNumId="44">
    <w:nsid w:val="38437FDB"/>
    <w:multiLevelType w:val="hybridMultilevel"/>
    <w:lvl w:ilvl="0">
      <w:lvlJc w:val="left"/>
      <w:lvlText w:val="%1"/>
      <w:numFmt w:val="decimal"/>
      <w:start w:val="23"/>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34" Type="http://schemas.openxmlformats.org/officeDocument/2006/relationships/hyperlink" Target="http://www.sec.gov/Archives/edgar/data/21535/000143774918008921/ex_113322.htm" TargetMode="External"/><Relationship Id="rId135" Type="http://schemas.openxmlformats.org/officeDocument/2006/relationships/hyperlink" Target="http://www.sec.gov/Archives/edgar/data/21535/000143774918010242/ex_114752.htm" TargetMode="External"/><Relationship Id="rId136" Type="http://schemas.openxmlformats.org/officeDocument/2006/relationships/hyperlink" Target="http://www.sec.gov/Archives/edgar/data/21535/000143774918010242/ex_114753.htm" TargetMode="External"/><Relationship Id="rId137" Type="http://schemas.openxmlformats.org/officeDocument/2006/relationships/hyperlink" Target="http://www.sec.gov/Archives/edgar/data/21535/000143774918019867/ex_127319.htm" TargetMode="External"/><Relationship Id="rId138" Type="http://schemas.openxmlformats.org/officeDocument/2006/relationships/hyperlink" Target="http://www.sec.gov/Archives/edgar/data/21535/000143774918019867/ex_128427.htm" TargetMode="External"/><Relationship Id="rId139" Type="http://schemas.openxmlformats.org/officeDocument/2006/relationships/hyperlink" Target="http://www.sec.gov/Archives/edgar/data/21535/000119312515186121/d925495dex101.htm" TargetMode="External"/><Relationship Id="rId140" Type="http://schemas.openxmlformats.org/officeDocument/2006/relationships/hyperlink" Target="http://www.sec.gov/Archives/edgar/data/21535/000119312515186121/d925495dex102.htm" TargetMode="External"/><Relationship Id="rId141" Type="http://schemas.openxmlformats.org/officeDocument/2006/relationships/hyperlink" Target="http://www.sec.gov/Archives/edgar/data/21535/000129993308006069/exhibit1.htm" TargetMode="External"/><Relationship Id="rId142" Type="http://schemas.openxmlformats.org/officeDocument/2006/relationships/hyperlink" Target="http://www.sec.gov/Archives/edgar/data/21535/000143774915014704/ex10-1.htm" TargetMode="External"/><Relationship Id="rId143" Type="http://schemas.openxmlformats.org/officeDocument/2006/relationships/hyperlink" Target="http://www.sec.gov/Archives/edgar/data/21535/000143774915014704/ex10-2.htm" TargetMode="External"/><Relationship Id="rId144" Type="http://schemas.openxmlformats.org/officeDocument/2006/relationships/hyperlink" Target="http://www.sec.gov/Archives/edgar/data/21535/000143774915014704/ex10-3.htm" TargetMode="External"/><Relationship Id="rId145" Type="http://schemas.openxmlformats.org/officeDocument/2006/relationships/hyperlink" Target="http://www.sec.gov/Archives/edgar/data/21535/000143774915014704/ex10-4.htm" TargetMode="External"/><Relationship Id="rId146" Type="http://schemas.openxmlformats.org/officeDocument/2006/relationships/hyperlink" Target="http://www.sec.gov/Archives/edgar/data/21535/000143774915014704/ex10-5.htm" TargetMode="External"/><Relationship Id="rId147" Type="http://schemas.openxmlformats.org/officeDocument/2006/relationships/hyperlink" Target="http://www.sec.gov/Archives/edgar/data/21535/000143774915014704/ex10-6.htm" TargetMode="External"/><Relationship Id="rId148" Type="http://schemas.openxmlformats.org/officeDocument/2006/relationships/hyperlink" Target="http://www.sec.gov/Archives/edgar/data/21535/000119312512328181/d389474dex991.htm" TargetMode="External"/><Relationship Id="rId149" Type="http://schemas.openxmlformats.org/officeDocument/2006/relationships/hyperlink" Target="http://www.sec.gov/Archives/edgar/data/21535/000143774918021982/ex_131577.htm" TargetMode="External"/><Relationship Id="rId150" Type="http://schemas.openxmlformats.org/officeDocument/2006/relationships/hyperlink" Target="http://www.sec.gov/Archives/edgar/data/21535/000129993308006069/exhibit2.htm" TargetMode="External"/><Relationship Id="rId151" Type="http://schemas.openxmlformats.org/officeDocument/2006/relationships/hyperlink" Target="http://www.sec.gov/Archives/edgar/data/21535/000129993308006069/exhibit3.htm" TargetMode="External"/><Relationship Id="rId152" Type="http://schemas.openxmlformats.org/officeDocument/2006/relationships/hyperlink" Target="http://www.sec.gov/Archives/edgar/data/21535/000143774916025855/ex10-14.htm" TargetMode="External"/><Relationship Id="rId153" Type="http://schemas.openxmlformats.org/officeDocument/2006/relationships/hyperlink" Target="http://www.sec.gov/Archives/edgar/data/21535/000143774919009301/ex_1434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2020-03-10T15:38:21Z</dcterms:created>
  <dcterms:modified xsi:type="dcterms:W3CDTF">2020-03-10T15:38:21Z</dcterms:modified>
</cp:coreProperties>
</file>