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jc w:val="center"/>
        <w:ind w:right="-11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August 5, 2019</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20" w:type="dxa"/>
            <w:vAlign w:val="bottom"/>
            <w:gridSpan w:val="4"/>
          </w:tcPr>
          <w:p>
            <w:pPr>
              <w:jc w:val="center"/>
              <w:ind w:left="490"/>
              <w:spacing w:after="0"/>
              <w:rPr>
                <w:sz w:val="20"/>
                <w:szCs w:val="20"/>
                <w:color w:val="auto"/>
              </w:rPr>
            </w:pPr>
            <w:r>
              <w:rPr>
                <w:rFonts w:ascii="Arial" w:cs="Arial" w:eastAsia="Arial" w:hAnsi="Arial"/>
                <w:sz w:val="18"/>
                <w:szCs w:val="18"/>
                <w:color w:val="auto"/>
                <w:w w:val="90"/>
              </w:rPr>
              <w:t>(Exact name of registrant as specified in its charter)</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1560" w:type="dxa"/>
            <w:vAlign w:val="bottom"/>
          </w:tcPr>
          <w:p>
            <w:pPr>
              <w:spacing w:after="0"/>
              <w:rPr>
                <w:sz w:val="24"/>
                <w:szCs w:val="24"/>
                <w:color w:val="auto"/>
              </w:rPr>
            </w:pPr>
          </w:p>
        </w:tc>
        <w:tc>
          <w:tcPr>
            <w:tcW w:w="3420" w:type="dxa"/>
            <w:vAlign w:val="bottom"/>
            <w:gridSpan w:val="2"/>
          </w:tcPr>
          <w:p>
            <w:pPr>
              <w:jc w:val="center"/>
              <w:ind w:right="2070"/>
              <w:spacing w:after="0"/>
              <w:rPr>
                <w:sz w:val="20"/>
                <w:szCs w:val="20"/>
                <w:color w:val="auto"/>
              </w:rPr>
            </w:pPr>
            <w:r>
              <w:rPr>
                <w:rFonts w:ascii="Arial" w:cs="Arial" w:eastAsia="Arial" w:hAnsi="Arial"/>
                <w:sz w:val="18"/>
                <w:szCs w:val="18"/>
                <w:color w:val="auto"/>
                <w:w w:val="92"/>
              </w:rPr>
              <w:t>Delaware</w:t>
            </w:r>
          </w:p>
        </w:tc>
        <w:tc>
          <w:tcPr>
            <w:tcW w:w="1880" w:type="dxa"/>
            <w:vAlign w:val="bottom"/>
            <w:gridSpan w:val="2"/>
          </w:tcPr>
          <w:p>
            <w:pPr>
              <w:jc w:val="right"/>
              <w:ind w:right="210"/>
              <w:spacing w:after="0"/>
              <w:rPr>
                <w:sz w:val="20"/>
                <w:szCs w:val="20"/>
                <w:color w:val="auto"/>
              </w:rPr>
            </w:pPr>
            <w:r>
              <w:rPr>
                <w:rFonts w:ascii="Arial" w:cs="Arial" w:eastAsia="Arial" w:hAnsi="Arial"/>
                <w:sz w:val="18"/>
                <w:szCs w:val="18"/>
                <w:color w:val="auto"/>
              </w:rPr>
              <w:t>001-04298</w:t>
            </w:r>
          </w:p>
        </w:tc>
        <w:tc>
          <w:tcPr>
            <w:tcW w:w="1080" w:type="dxa"/>
            <w:vAlign w:val="bottom"/>
          </w:tcPr>
          <w:p>
            <w:pPr>
              <w:spacing w:after="0"/>
              <w:rPr>
                <w:sz w:val="24"/>
                <w:szCs w:val="24"/>
                <w:color w:val="auto"/>
              </w:rPr>
            </w:pPr>
          </w:p>
        </w:tc>
        <w:tc>
          <w:tcPr>
            <w:tcW w:w="2320" w:type="dxa"/>
            <w:vAlign w:val="bottom"/>
            <w:gridSpan w:val="4"/>
          </w:tcPr>
          <w:p>
            <w:pPr>
              <w:jc w:val="center"/>
              <w:ind w:left="1090"/>
              <w:spacing w:after="0"/>
              <w:rPr>
                <w:sz w:val="20"/>
                <w:szCs w:val="20"/>
                <w:color w:val="auto"/>
              </w:rPr>
            </w:pPr>
            <w:r>
              <w:rPr>
                <w:rFonts w:ascii="Arial" w:cs="Arial" w:eastAsia="Arial" w:hAnsi="Arial"/>
                <w:sz w:val="18"/>
                <w:szCs w:val="18"/>
                <w:color w:val="auto"/>
                <w:w w:val="89"/>
              </w:rPr>
              <w:t>95-1934119</w:t>
            </w:r>
          </w:p>
        </w:tc>
        <w:tc>
          <w:tcPr>
            <w:tcW w:w="220" w:type="dxa"/>
            <w:vAlign w:val="bottom"/>
          </w:tcPr>
          <w:p>
            <w:pPr>
              <w:spacing w:after="0"/>
              <w:rPr>
                <w:sz w:val="24"/>
                <w:szCs w:val="24"/>
                <w:color w:val="auto"/>
              </w:rPr>
            </w:pPr>
          </w:p>
        </w:tc>
      </w:tr>
      <w:tr>
        <w:trPr>
          <w:trHeight w:val="216"/>
        </w:trPr>
        <w:tc>
          <w:tcPr>
            <w:tcW w:w="4980" w:type="dxa"/>
            <w:vAlign w:val="bottom"/>
            <w:gridSpan w:val="3"/>
          </w:tcPr>
          <w:p>
            <w:pPr>
              <w:jc w:val="right"/>
              <w:ind w:right="1750"/>
              <w:spacing w:after="0"/>
              <w:rPr>
                <w:sz w:val="20"/>
                <w:szCs w:val="20"/>
                <w:color w:val="auto"/>
              </w:rPr>
            </w:pPr>
            <w:r>
              <w:rPr>
                <w:rFonts w:ascii="Arial" w:cs="Arial" w:eastAsia="Arial" w:hAnsi="Arial"/>
                <w:sz w:val="18"/>
                <w:szCs w:val="18"/>
                <w:color w:val="auto"/>
              </w:rPr>
              <w:t>_____________________</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_____________</w:t>
            </w:r>
          </w:p>
        </w:tc>
        <w:tc>
          <w:tcPr>
            <w:tcW w:w="1080" w:type="dxa"/>
            <w:vAlign w:val="bottom"/>
          </w:tcPr>
          <w:p>
            <w:pPr>
              <w:spacing w:after="0"/>
              <w:rPr>
                <w:sz w:val="18"/>
                <w:szCs w:val="18"/>
                <w:color w:val="auto"/>
              </w:rPr>
            </w:pPr>
          </w:p>
        </w:tc>
        <w:tc>
          <w:tcPr>
            <w:tcW w:w="2540" w:type="dxa"/>
            <w:vAlign w:val="bottom"/>
            <w:gridSpan w:val="5"/>
          </w:tcPr>
          <w:p>
            <w:pPr>
              <w:jc w:val="center"/>
              <w:ind w:left="870"/>
              <w:spacing w:after="0"/>
              <w:rPr>
                <w:sz w:val="20"/>
                <w:szCs w:val="20"/>
                <w:color w:val="auto"/>
              </w:rPr>
            </w:pPr>
            <w:r>
              <w:rPr>
                <w:rFonts w:ascii="Arial" w:cs="Arial" w:eastAsia="Arial" w:hAnsi="Arial"/>
                <w:sz w:val="18"/>
                <w:szCs w:val="18"/>
                <w:color w:val="auto"/>
                <w:w w:val="89"/>
              </w:rPr>
              <w:t>______________</w:t>
            </w:r>
          </w:p>
        </w:tc>
      </w:tr>
      <w:tr>
        <w:trPr>
          <w:trHeight w:val="216"/>
        </w:trPr>
        <w:tc>
          <w:tcPr>
            <w:tcW w:w="498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(State or other jurisdiction</w:t>
            </w:r>
          </w:p>
        </w:tc>
        <w:tc>
          <w:tcPr>
            <w:tcW w:w="520" w:type="dxa"/>
            <w:vAlign w:val="bottom"/>
          </w:tcPr>
          <w:p>
            <w:pPr>
              <w:spacing w:after="0"/>
              <w:rPr>
                <w:sz w:val="18"/>
                <w:szCs w:val="18"/>
                <w:color w:val="auto"/>
              </w:rPr>
            </w:pPr>
          </w:p>
        </w:tc>
        <w:tc>
          <w:tcPr>
            <w:tcW w:w="2440" w:type="dxa"/>
            <w:vAlign w:val="bottom"/>
            <w:gridSpan w:val="2"/>
          </w:tcPr>
          <w:p>
            <w:pPr>
              <w:jc w:val="center"/>
              <w:ind w:right="1100"/>
              <w:spacing w:after="0"/>
              <w:rPr>
                <w:sz w:val="20"/>
                <w:szCs w:val="20"/>
                <w:color w:val="auto"/>
              </w:rPr>
            </w:pPr>
            <w:r>
              <w:rPr>
                <w:rFonts w:ascii="Arial" w:cs="Arial" w:eastAsia="Arial" w:hAnsi="Arial"/>
                <w:sz w:val="18"/>
                <w:szCs w:val="18"/>
                <w:color w:val="auto"/>
                <w:w w:val="93"/>
              </w:rPr>
              <w:t>(Commission</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1560" w:type="dxa"/>
            <w:vAlign w:val="bottom"/>
          </w:tcPr>
          <w:p>
            <w:pPr>
              <w:spacing w:after="0"/>
              <w:rPr>
                <w:sz w:val="20"/>
                <w:szCs w:val="20"/>
                <w:color w:val="auto"/>
              </w:rPr>
            </w:pPr>
          </w:p>
        </w:tc>
        <w:tc>
          <w:tcPr>
            <w:tcW w:w="3420" w:type="dxa"/>
            <w:vAlign w:val="bottom"/>
            <w:gridSpan w:val="2"/>
          </w:tcPr>
          <w:p>
            <w:pPr>
              <w:jc w:val="center"/>
              <w:ind w:right="2070"/>
              <w:spacing w:after="0"/>
              <w:rPr>
                <w:sz w:val="20"/>
                <w:szCs w:val="20"/>
                <w:color w:val="auto"/>
              </w:rPr>
            </w:pPr>
            <w:r>
              <w:rPr>
                <w:rFonts w:ascii="Arial" w:cs="Arial" w:eastAsia="Arial" w:hAnsi="Arial"/>
                <w:sz w:val="18"/>
                <w:szCs w:val="18"/>
                <w:color w:val="auto"/>
                <w:w w:val="93"/>
              </w:rPr>
              <w:t>of incorporation)</w:t>
            </w:r>
          </w:p>
        </w:tc>
        <w:tc>
          <w:tcPr>
            <w:tcW w:w="520" w:type="dxa"/>
            <w:vAlign w:val="bottom"/>
          </w:tcPr>
          <w:p>
            <w:pPr>
              <w:spacing w:after="0"/>
              <w:rPr>
                <w:sz w:val="20"/>
                <w:szCs w:val="20"/>
                <w:color w:val="auto"/>
              </w:rPr>
            </w:pPr>
          </w:p>
        </w:tc>
        <w:tc>
          <w:tcPr>
            <w:tcW w:w="2440" w:type="dxa"/>
            <w:vAlign w:val="bottom"/>
            <w:gridSpan w:val="2"/>
          </w:tcPr>
          <w:p>
            <w:pPr>
              <w:jc w:val="center"/>
              <w:ind w:right="1100"/>
              <w:spacing w:after="0"/>
              <w:rPr>
                <w:sz w:val="20"/>
                <w:szCs w:val="20"/>
                <w:color w:val="auto"/>
              </w:rPr>
            </w:pPr>
            <w:r>
              <w:rPr>
                <w:rFonts w:ascii="Arial" w:cs="Arial" w:eastAsia="Arial" w:hAnsi="Arial"/>
                <w:sz w:val="18"/>
                <w:szCs w:val="18"/>
                <w:color w:val="auto"/>
                <w:w w:val="94"/>
              </w:rPr>
              <w:t>File Number)</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980" w:type="dxa"/>
            <w:vAlign w:val="bottom"/>
            <w:gridSpan w:val="3"/>
          </w:tcPr>
          <w:p>
            <w:pPr>
              <w:jc w:val="center"/>
              <w:ind w:right="510"/>
              <w:spacing w:after="0"/>
              <w:rPr>
                <w:sz w:val="20"/>
                <w:szCs w:val="20"/>
                <w:color w:val="auto"/>
              </w:rPr>
            </w:pPr>
            <w:r>
              <w:rPr>
                <w:rFonts w:ascii="Arial" w:cs="Arial" w:eastAsia="Arial" w:hAnsi="Arial"/>
                <w:sz w:val="18"/>
                <w:szCs w:val="18"/>
                <w:color w:val="auto"/>
                <w:w w:val="91"/>
              </w:rPr>
              <w:t>12367 Crosthwaite Circle, Poway, California</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20" w:type="dxa"/>
            <w:vAlign w:val="bottom"/>
            <w:gridSpan w:val="4"/>
          </w:tcPr>
          <w:p>
            <w:pPr>
              <w:jc w:val="center"/>
              <w:ind w:left="1090"/>
              <w:spacing w:after="0"/>
              <w:rPr>
                <w:sz w:val="20"/>
                <w:szCs w:val="20"/>
                <w:color w:val="auto"/>
              </w:rPr>
            </w:pPr>
            <w:r>
              <w:rPr>
                <w:rFonts w:ascii="Arial" w:cs="Arial" w:eastAsia="Arial" w:hAnsi="Arial"/>
                <w:sz w:val="18"/>
                <w:szCs w:val="18"/>
                <w:color w:val="auto"/>
                <w:w w:val="91"/>
              </w:rPr>
              <w:t>92064</w:t>
            </w:r>
          </w:p>
        </w:tc>
        <w:tc>
          <w:tcPr>
            <w:tcW w:w="220" w:type="dxa"/>
            <w:vAlign w:val="bottom"/>
          </w:tcPr>
          <w:p>
            <w:pPr>
              <w:spacing w:after="0"/>
              <w:rPr>
                <w:sz w:val="24"/>
                <w:szCs w:val="24"/>
                <w:color w:val="auto"/>
              </w:rPr>
            </w:pPr>
          </w:p>
        </w:tc>
      </w:tr>
      <w:tr>
        <w:trPr>
          <w:trHeight w:val="216"/>
        </w:trPr>
        <w:tc>
          <w:tcPr>
            <w:tcW w:w="4980" w:type="dxa"/>
            <w:vAlign w:val="bottom"/>
            <w:gridSpan w:val="3"/>
          </w:tcPr>
          <w:p>
            <w:pPr>
              <w:jc w:val="right"/>
              <w:ind w:right="1210"/>
              <w:spacing w:after="0"/>
              <w:rPr>
                <w:sz w:val="20"/>
                <w:szCs w:val="20"/>
                <w:color w:val="auto"/>
              </w:rPr>
            </w:pPr>
            <w:r>
              <w:rPr>
                <w:rFonts w:ascii="Arial" w:cs="Arial" w:eastAsia="Arial" w:hAnsi="Arial"/>
                <w:sz w:val="18"/>
                <w:szCs w:val="18"/>
                <w:color w:val="auto"/>
              </w:rPr>
              <w:t>_________________________________</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20" w:type="dxa"/>
            <w:vAlign w:val="bottom"/>
            <w:gridSpan w:val="4"/>
          </w:tcPr>
          <w:p>
            <w:pPr>
              <w:jc w:val="center"/>
              <w:ind w:left="1090"/>
              <w:spacing w:after="0"/>
              <w:rPr>
                <w:sz w:val="20"/>
                <w:szCs w:val="20"/>
                <w:color w:val="auto"/>
              </w:rPr>
            </w:pPr>
            <w:r>
              <w:rPr>
                <w:rFonts w:ascii="Arial" w:cs="Arial" w:eastAsia="Arial" w:hAnsi="Arial"/>
                <w:sz w:val="18"/>
                <w:szCs w:val="18"/>
                <w:color w:val="auto"/>
                <w:w w:val="88"/>
              </w:rPr>
              <w:t>___________</w:t>
            </w:r>
          </w:p>
        </w:tc>
        <w:tc>
          <w:tcPr>
            <w:tcW w:w="220" w:type="dxa"/>
            <w:vAlign w:val="bottom"/>
          </w:tcPr>
          <w:p>
            <w:pPr>
              <w:spacing w:after="0"/>
              <w:rPr>
                <w:sz w:val="18"/>
                <w:szCs w:val="18"/>
                <w:color w:val="auto"/>
              </w:rPr>
            </w:pPr>
          </w:p>
        </w:tc>
      </w:tr>
      <w:tr>
        <w:trPr>
          <w:trHeight w:val="230"/>
        </w:trPr>
        <w:tc>
          <w:tcPr>
            <w:tcW w:w="498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(Address of principal executive offices)</w:t>
            </w: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4980" w:type="dxa"/>
            <w:vAlign w:val="bottom"/>
            <w:gridSpan w:val="3"/>
          </w:tcPr>
          <w:p>
            <w:pPr>
              <w:ind w:left="1060"/>
              <w:spacing w:after="0"/>
              <w:rPr>
                <w:sz w:val="20"/>
                <w:szCs w:val="20"/>
                <w:color w:val="auto"/>
              </w:rPr>
            </w:pPr>
            <w:r>
              <w:rPr>
                <w:rFonts w:ascii="Arial" w:cs="Arial" w:eastAsia="Arial" w:hAnsi="Arial"/>
                <w:sz w:val="18"/>
                <w:szCs w:val="18"/>
                <w:color w:val="auto"/>
                <w:w w:val="93"/>
              </w:rPr>
              <w:t>Registrant’s telephone number, including area code:</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color w:val="auto"/>
              </w:rPr>
              <w:t>858-848-8100</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8"/>
        </w:trPr>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60" w:type="dxa"/>
            <w:vAlign w:val="bottom"/>
            <w:gridSpan w:val="3"/>
          </w:tcPr>
          <w:p>
            <w:pPr>
              <w:jc w:val="center"/>
              <w:ind w:right="1500"/>
              <w:spacing w:after="0"/>
              <w:rPr>
                <w:sz w:val="20"/>
                <w:szCs w:val="20"/>
                <w:color w:val="auto"/>
              </w:rPr>
            </w:pPr>
            <w:r>
              <w:rPr>
                <w:rFonts w:ascii="Arial" w:cs="Arial" w:eastAsia="Arial" w:hAnsi="Arial"/>
                <w:sz w:val="18"/>
                <w:szCs w:val="18"/>
                <w:color w:val="auto"/>
                <w:w w:val="94"/>
              </w:rPr>
              <w:t>Not Applicable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940" w:type="dxa"/>
            <w:vAlign w:val="bottom"/>
            <w:gridSpan w:val="6"/>
          </w:tcPr>
          <w:p>
            <w:pPr>
              <w:jc w:val="center"/>
              <w:ind w:left="3390"/>
              <w:spacing w:after="0"/>
              <w:rPr>
                <w:sz w:val="20"/>
                <w:szCs w:val="20"/>
                <w:color w:val="auto"/>
              </w:rPr>
            </w:pPr>
            <w:r>
              <w:rPr>
                <w:rFonts w:ascii="Arial" w:cs="Arial" w:eastAsia="Arial" w:hAnsi="Arial"/>
                <w:sz w:val="18"/>
                <w:szCs w:val="18"/>
                <w:color w:val="auto"/>
                <w:w w:val="89"/>
              </w:rPr>
              <w:t>______________________________________________</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20" w:type="dxa"/>
            <w:vAlign w:val="bottom"/>
            <w:gridSpan w:val="4"/>
          </w:tcPr>
          <w:p>
            <w:pPr>
              <w:jc w:val="center"/>
              <w:ind w:left="47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49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2"/>
        </w:trPr>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Name of exchange on which</w:t>
            </w:r>
          </w:p>
        </w:tc>
      </w:tr>
      <w:tr>
        <w:trPr>
          <w:trHeight w:val="196"/>
        </w:trPr>
        <w:tc>
          <w:tcPr>
            <w:tcW w:w="1560" w:type="dxa"/>
            <w:vAlign w:val="bottom"/>
          </w:tcPr>
          <w:p>
            <w:pPr>
              <w:spacing w:after="0"/>
              <w:rPr>
                <w:sz w:val="17"/>
                <w:szCs w:val="17"/>
                <w:color w:val="auto"/>
              </w:rPr>
            </w:pPr>
          </w:p>
        </w:tc>
        <w:tc>
          <w:tcPr>
            <w:tcW w:w="3420" w:type="dxa"/>
            <w:vAlign w:val="bottom"/>
            <w:gridSpan w:val="2"/>
          </w:tcPr>
          <w:p>
            <w:pPr>
              <w:jc w:val="center"/>
              <w:ind w:right="1970"/>
              <w:spacing w:after="0" w:line="196" w:lineRule="exact"/>
              <w:rPr>
                <w:sz w:val="20"/>
                <w:szCs w:val="20"/>
                <w:color w:val="auto"/>
              </w:rPr>
            </w:pPr>
            <w:r>
              <w:rPr>
                <w:rFonts w:ascii="Arial" w:cs="Arial" w:eastAsia="Arial" w:hAnsi="Arial"/>
                <w:sz w:val="18"/>
                <w:szCs w:val="18"/>
                <w:color w:val="auto"/>
                <w:w w:val="90"/>
              </w:rPr>
              <w:t>Title of Each Class</w:t>
            </w:r>
          </w:p>
        </w:tc>
        <w:tc>
          <w:tcPr>
            <w:tcW w:w="5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680"/>
              <w:spacing w:after="0" w:line="196" w:lineRule="exact"/>
              <w:rPr>
                <w:sz w:val="20"/>
                <w:szCs w:val="20"/>
                <w:color w:val="auto"/>
              </w:rPr>
            </w:pPr>
            <w:r>
              <w:rPr>
                <w:rFonts w:ascii="Arial" w:cs="Arial" w:eastAsia="Arial" w:hAnsi="Arial"/>
                <w:sz w:val="18"/>
                <w:szCs w:val="18"/>
                <w:color w:val="auto"/>
                <w:w w:val="87"/>
              </w:rPr>
              <w:t>registered</w:t>
            </w:r>
          </w:p>
        </w:tc>
        <w:tc>
          <w:tcPr>
            <w:tcW w:w="22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980" w:type="dxa"/>
            <w:vAlign w:val="bottom"/>
            <w:gridSpan w:val="3"/>
          </w:tcPr>
          <w:p>
            <w:pPr>
              <w:jc w:val="center"/>
              <w:ind w:right="410"/>
              <w:spacing w:after="0"/>
              <w:rPr>
                <w:sz w:val="20"/>
                <w:szCs w:val="20"/>
                <w:color w:val="auto"/>
              </w:rPr>
            </w:pPr>
            <w:r>
              <w:rPr>
                <w:rFonts w:ascii="Arial" w:cs="Arial" w:eastAsia="Arial" w:hAnsi="Arial"/>
                <w:sz w:val="18"/>
                <w:szCs w:val="18"/>
                <w:color w:val="auto"/>
                <w:w w:val="90"/>
              </w:rPr>
              <w:t>Common Stock, $1.00 par value</w:t>
            </w:r>
          </w:p>
        </w:tc>
        <w:tc>
          <w:tcPr>
            <w:tcW w:w="520" w:type="dxa"/>
            <w:vAlign w:val="bottom"/>
          </w:tcPr>
          <w:p>
            <w:pPr>
              <w:spacing w:after="0"/>
              <w:rPr>
                <w:sz w:val="20"/>
                <w:szCs w:val="20"/>
                <w:color w:val="auto"/>
              </w:rPr>
            </w:pPr>
          </w:p>
        </w:tc>
        <w:tc>
          <w:tcPr>
            <w:tcW w:w="2440" w:type="dxa"/>
            <w:vAlign w:val="bottom"/>
            <w:gridSpan w:val="2"/>
          </w:tcPr>
          <w:p>
            <w:pPr>
              <w:jc w:val="center"/>
              <w:ind w:right="1080"/>
              <w:spacing w:after="0"/>
              <w:rPr>
                <w:sz w:val="20"/>
                <w:szCs w:val="20"/>
                <w:color w:val="auto"/>
              </w:rPr>
            </w:pPr>
            <w:r>
              <w:rPr>
                <w:rFonts w:ascii="Arial" w:cs="Arial" w:eastAsia="Arial" w:hAnsi="Arial"/>
                <w:sz w:val="18"/>
                <w:szCs w:val="18"/>
                <w:color w:val="auto"/>
                <w:w w:val="98"/>
              </w:rPr>
              <w:t>COHU</w:t>
            </w:r>
          </w:p>
        </w:tc>
        <w:tc>
          <w:tcPr>
            <w:tcW w:w="2540" w:type="dxa"/>
            <w:vAlign w:val="bottom"/>
            <w:gridSpan w:val="5"/>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On August 5, 2019, Cohu, Inc. (the “Company”) issued a press release regarding its financial results for the second quarter ended June 29, 2019. The Company’s press release is attached as Exhibit 99.1 to this Current Report on Form 8-K and incorporated by reference herein.</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press release refers to financial information determined by methods other than in accordance with GAAP, including non-GAAP Gross Margin/Profit, Income and Income (adjusted earnings) per share, and Operating Expense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including favorable/unfavorable lease adjustments, restructuring costs, manufacturing and sales transition and severance costs, acquisition-related costs and associated professional fees, fair value adjustment to contingent consideration,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w:t>
      </w:r>
    </w:p>
    <w:p>
      <w:pPr>
        <w:spacing w:after="0" w:line="16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targets; additional cost savings and expense reductions; design-wins; new products and solutions; solutions for global satellite networks; 5G and automotive opportunities; incremental sales opportunities; semiconductor market conditions in 2019; PCB test demand; business model for FY’20 and mid-term model; Cohu’s third quarter 2019 sales forecast, guidance, non-GAAP operating expenses, gross margin, adjusted EBITDA and effective tax rate, and cash and shares outstanding;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 export restrictions; ERP system implementation issues; the seasonal, volatile and unpredictable nature of capital expenditures by semiconductor manufacturers and the late 2018 and 2019 significantly weakened demand in this market; ongoing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w:t>
      </w:r>
    </w:p>
    <w:p>
      <w:pPr>
        <w:spacing w:after="0" w:line="12" w:lineRule="exact"/>
        <w:rPr>
          <w:sz w:val="20"/>
          <w:szCs w:val="20"/>
          <w:color w:val="auto"/>
        </w:rPr>
      </w:pPr>
    </w:p>
    <w:p>
      <w:pPr>
        <w:ind w:firstLine="8"/>
        <w:spacing w:after="0" w:line="267" w:lineRule="auto"/>
        <w:tabs>
          <w:tab w:leader="none" w:pos="26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possibility that other anticipated benefits of the acquisition will not be realized, (iii) litigation relating to the acquisition that still could be instituted against Cohu and/or Xcerra, (iv) the possibility that restructuring charges will significantly exceed estimates, (v) the ability of Cohu or Xcerra to retain, attract and hire key personnel, (vi) potential adverse reactions or changes to relationships with customers, employees, suppliers or other parties resulting from the acquisition, (vii) potential disruptions, expenses and lost revenue associated with the transition to direct sales in China and Taiwan; (viii) the discovery of liabilities, product return issues or deficiencies associated with Xcerra that were not identified in advance, (ix) potential failures to maintain adequate internal controls over financial reporting given the significant increase in size, number of employees, global operations and complexity of Cohu’s business, (x) mandatory ongoing impairment evaluation of goodwill and other intangibles whereby Cohu could be required to write off some or all of this goodwill and other intangibles, (xi) the adverse impact to Cohu’s operating results and potential inability to pay cash dividends due to interest expense on the financing debt, rising interest rates, and any restrictions on operations related to such debt, and (xii) continued availability of capital and financing and rating agency actions, and limited market access given our high debt levels. These and other risks and uncertainties are discussed more fully in Cohu’s filings with the Securities and Exchange Commission,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10100" w:firstLine="8"/>
        <w:spacing w:after="0" w:line="53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8"/>
          <w:szCs w:val="18"/>
          <w:color w:val="auto"/>
        </w:rPr>
      </w:pPr>
      <w:r>
        <w:rPr>
          <w:rFonts w:ascii="Arial" w:cs="Arial" w:eastAsia="Arial" w:hAnsi="Arial"/>
          <w:sz w:val="18"/>
          <w:szCs w:val="18"/>
          <w:color w:val="auto"/>
        </w:rPr>
        <w:t xml:space="preserve">Description – </w:t>
      </w:r>
      <w:hyperlink w:anchor="page6">
        <w:r>
          <w:rPr>
            <w:rFonts w:ascii="Arial" w:cs="Arial" w:eastAsia="Arial" w:hAnsi="Arial"/>
            <w:sz w:val="18"/>
            <w:szCs w:val="18"/>
            <w:u w:val="single" w:color="auto"/>
            <w:color w:val="0000EE"/>
          </w:rPr>
          <w:t>Second Quarter 2019 Earnings Release, dated August 5, 2019,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520" w:val="left"/>
          <w:tab w:leader="none" w:pos="6480" w:val="left"/>
        </w:tabs>
        <w:rPr>
          <w:sz w:val="20"/>
          <w:szCs w:val="20"/>
          <w:color w:val="auto"/>
        </w:rPr>
      </w:pPr>
      <w:r>
        <w:rPr>
          <w:rFonts w:ascii="Arial" w:cs="Arial" w:eastAsia="Arial" w:hAnsi="Arial"/>
          <w:sz w:val="18"/>
          <w:szCs w:val="18"/>
          <w:i w:val="1"/>
          <w:iCs w:val="1"/>
          <w:color w:val="auto"/>
        </w:rPr>
        <w:t>August 5, 2019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3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-130175</wp:posOffset>
            </wp:positionV>
            <wp:extent cx="3232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60" w:type="dxa"/>
            <w:vAlign w:val="bottom"/>
          </w:tcPr>
          <w:p>
            <w:pPr>
              <w:ind w:left="20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648"/>
        </w:trPr>
        <w:tc>
          <w:tcPr>
            <w:tcW w:w="28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20" w:type="dxa"/>
            <w:vAlign w:val="bottom"/>
          </w:tcPr>
          <w:p>
            <w:pPr>
              <w:spacing w:after="0"/>
              <w:rPr>
                <w:sz w:val="24"/>
                <w:szCs w:val="24"/>
                <w:color w:val="auto"/>
              </w:rPr>
            </w:pPr>
          </w:p>
        </w:tc>
        <w:tc>
          <w:tcPr>
            <w:tcW w:w="8260" w:type="dxa"/>
            <w:vAlign w:val="bottom"/>
          </w:tcPr>
          <w:p>
            <w:pPr>
              <w:ind w:left="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tcPr>
          <w:p>
            <w:pPr>
              <w:spacing w:after="0"/>
              <w:rPr>
                <w:sz w:val="18"/>
                <w:szCs w:val="18"/>
                <w:color w:val="auto"/>
              </w:rPr>
            </w:pPr>
          </w:p>
        </w:tc>
        <w:tc>
          <w:tcPr>
            <w:tcW w:w="320" w:type="dxa"/>
            <w:vAlign w:val="bottom"/>
            <w:vMerge w:val="restart"/>
          </w:tcPr>
          <w:p>
            <w:pPr>
              <w:spacing w:after="0"/>
              <w:rPr>
                <w:sz w:val="18"/>
                <w:szCs w:val="18"/>
                <w:color w:val="auto"/>
              </w:rPr>
            </w:pPr>
          </w:p>
        </w:tc>
        <w:tc>
          <w:tcPr>
            <w:tcW w:w="8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vMerge w:val="continue"/>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Description – Second Quarter 2019 Earnings Release, dated August 5, 2019, of Cohu,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154940</wp:posOffset>
            </wp:positionV>
            <wp:extent cx="3129915"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-121920</wp:posOffset>
            </wp:positionV>
            <wp:extent cx="26035" cy="196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35" cy="1964055"/>
                    </a:xfrm>
                    <a:prstGeom prst="rect">
                      <a:avLst/>
                    </a:prstGeom>
                    <a:noFill/>
                  </pic:spPr>
                </pic:pic>
              </a:graphicData>
            </a:graphic>
          </wp:anchor>
        </w:drawing>
      </w:r>
    </w:p>
    <w:p>
      <w:pPr>
        <w:spacing w:after="0" w:line="3"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12367 CROSTHWAITE</w:t>
      </w:r>
    </w:p>
    <w:p>
      <w:pPr>
        <w:spacing w:after="0" w:line="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CIRCLE</w:t>
      </w:r>
    </w:p>
    <w:p>
      <w:pPr>
        <w:spacing w:after="0" w:line="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(858) 848-8185</w:t>
      </w:r>
    </w:p>
    <w:p>
      <w:pPr>
        <w:spacing w:after="0" w:line="200" w:lineRule="exact"/>
        <w:rPr>
          <w:sz w:val="20"/>
          <w:szCs w:val="20"/>
          <w:color w:val="auto"/>
        </w:rPr>
      </w:pPr>
    </w:p>
    <w:p>
      <w:pPr>
        <w:spacing w:after="0" w:line="376"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PHONE</w:t>
      </w:r>
    </w:p>
    <w:p>
      <w:pPr>
        <w:spacing w:after="0" w:line="23"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(858) 858-8100</w:t>
      </w:r>
    </w:p>
    <w:p>
      <w:pPr>
        <w:spacing w:after="0" w:line="200" w:lineRule="exact"/>
        <w:rPr>
          <w:sz w:val="20"/>
          <w:szCs w:val="20"/>
          <w:color w:val="auto"/>
        </w:rPr>
      </w:pPr>
    </w:p>
    <w:p>
      <w:pPr>
        <w:spacing w:after="0" w:line="362"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www.cohu.com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Second Quarter 2019 Results</w:t>
      </w:r>
    </w:p>
    <w:p>
      <w:pPr>
        <w:spacing w:after="0" w:line="229" w:lineRule="exact"/>
        <w:rPr>
          <w:sz w:val="20"/>
          <w:szCs w:val="20"/>
          <w:color w:val="auto"/>
        </w:rPr>
      </w:pPr>
    </w:p>
    <w:p>
      <w:pPr>
        <w:ind w:left="480" w:hanging="242"/>
        <w:spacing w:after="0"/>
        <w:tabs>
          <w:tab w:leader="none" w:pos="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First half 2019 sales of $297.8 million driven by the Xcerra acquisition</w:t>
      </w:r>
    </w:p>
    <w:p>
      <w:pPr>
        <w:spacing w:after="0" w:line="225" w:lineRule="exact"/>
        <w:rPr>
          <w:rFonts w:ascii="Arial" w:cs="Arial" w:eastAsia="Arial" w:hAnsi="Arial"/>
          <w:sz w:val="18"/>
          <w:szCs w:val="18"/>
          <w:i w:val="1"/>
          <w:iCs w:val="1"/>
          <w:color w:val="auto"/>
        </w:rPr>
      </w:pPr>
    </w:p>
    <w:p>
      <w:pPr>
        <w:ind w:left="480" w:hanging="242"/>
        <w:spacing w:after="0"/>
        <w:tabs>
          <w:tab w:leader="none" w:pos="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Second quarter GAAP gross margin of 41.6%; non-GAAP gross margin of 41.3%</w:t>
      </w:r>
    </w:p>
    <w:p>
      <w:pPr>
        <w:spacing w:after="0" w:line="225" w:lineRule="exact"/>
        <w:rPr>
          <w:rFonts w:ascii="Arial" w:cs="Arial" w:eastAsia="Arial" w:hAnsi="Arial"/>
          <w:sz w:val="18"/>
          <w:szCs w:val="18"/>
          <w:i w:val="1"/>
          <w:iCs w:val="1"/>
          <w:color w:val="auto"/>
        </w:rPr>
      </w:pPr>
    </w:p>
    <w:p>
      <w:pPr>
        <w:ind w:left="480" w:hanging="242"/>
        <w:spacing w:after="0"/>
        <w:tabs>
          <w:tab w:leader="none" w:pos="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Delivering complete test cell solution for next generation RF devices</w:t>
      </w:r>
    </w:p>
    <w:p>
      <w:pPr>
        <w:spacing w:after="0" w:line="22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 xml:space="preserve">POWAY, Calif., August 5, 2019 -- Cohu, Inc. (NASDAQ: COHU), a global leader in back-end semiconductor equipment and services, today reported fiscal 2019 second quarter net sales of $150.0 million and GAAP loss of $19.4 million or $0.47 per share. Net sales for the first six months of 2019 were $297.8 million and GAAP loss was $42.2 million or $1.03 per share. </w:t>
      </w:r>
      <w:r>
        <w:rPr>
          <w:rFonts w:ascii="Arial" w:cs="Arial" w:eastAsia="Arial" w:hAnsi="Arial"/>
          <w:sz w:val="30"/>
          <w:szCs w:val="30"/>
          <w:color w:val="auto"/>
          <w:vertAlign w:val="superscript"/>
        </w:rPr>
        <w:t>(1)</w:t>
      </w:r>
    </w:p>
    <w:p>
      <w:pPr>
        <w:spacing w:after="0" w:line="54"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 xml:space="preserve">Cohu also reported non-GAAP results, with second quarter 2019 income of $0.8 million or $0.02 per share and loss of $0.6 million or $0.01 per share for the first six months of 2019. </w:t>
      </w:r>
      <w:r>
        <w:rPr>
          <w:rFonts w:ascii="Arial" w:cs="Arial" w:eastAsia="Arial" w:hAnsi="Arial"/>
          <w:sz w:val="30"/>
          <w:szCs w:val="30"/>
          <w:color w:val="auto"/>
          <w:vertAlign w:val="superscript"/>
        </w:rPr>
        <w:t>(1)</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740" w:type="dxa"/>
            <w:vAlign w:val="bottom"/>
            <w:tcBorders>
              <w:top w:val="single" w:sz="8" w:color="auto"/>
              <w:left w:val="single" w:sz="8" w:color="auto"/>
            </w:tcBorders>
          </w:tcPr>
          <w:p>
            <w:pPr>
              <w:ind w:left="180"/>
              <w:spacing w:after="0" w:line="272" w:lineRule="exact"/>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30"/>
                <w:szCs w:val="30"/>
                <w:b w:val="1"/>
                <w:bCs w:val="1"/>
                <w:color w:val="auto"/>
                <w:vertAlign w:val="superscript"/>
              </w:rPr>
              <w:t>(1)</w:t>
            </w: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Q2 FY 2019</w:t>
            </w: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4"/>
              </w:rPr>
              <w:t>Q1 FY 2019</w:t>
            </w:r>
          </w:p>
        </w:tc>
        <w:tc>
          <w:tcPr>
            <w:tcW w:w="1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8"/>
                <w:szCs w:val="18"/>
                <w:b w:val="1"/>
                <w:bCs w:val="1"/>
                <w:color w:val="auto"/>
                <w:w w:val="94"/>
              </w:rPr>
              <w:t>Q2 FY 2018</w:t>
            </w:r>
          </w:p>
        </w:tc>
        <w:tc>
          <w:tcPr>
            <w:tcW w:w="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4"/>
            <w:vMerge w:val="restart"/>
          </w:tcPr>
          <w:p>
            <w:pPr>
              <w:jc w:val="right"/>
              <w:ind w:right="140"/>
              <w:spacing w:after="0"/>
              <w:rPr>
                <w:sz w:val="20"/>
                <w:szCs w:val="20"/>
                <w:color w:val="auto"/>
              </w:rPr>
            </w:pPr>
            <w:r>
              <w:rPr>
                <w:rFonts w:ascii="Arial" w:cs="Arial" w:eastAsia="Arial" w:hAnsi="Arial"/>
                <w:sz w:val="18"/>
                <w:szCs w:val="18"/>
                <w:b w:val="1"/>
                <w:bCs w:val="1"/>
                <w:color w:val="auto"/>
                <w:w w:val="91"/>
              </w:rPr>
              <w:t>6 Months 2019</w:t>
            </w: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320" w:type="dxa"/>
            <w:vAlign w:val="bottom"/>
            <w:tcBorders>
              <w:top w:val="single" w:sz="8" w:color="auto"/>
              <w:right w:val="single" w:sz="8" w:color="auto"/>
            </w:tcBorders>
            <w:gridSpan w:val="4"/>
            <w:vMerge w:val="restart"/>
          </w:tcPr>
          <w:p>
            <w:pPr>
              <w:ind w:left="40"/>
              <w:spacing w:after="0"/>
              <w:rPr>
                <w:sz w:val="20"/>
                <w:szCs w:val="20"/>
                <w:color w:val="auto"/>
              </w:rPr>
            </w:pPr>
            <w:r>
              <w:rPr>
                <w:rFonts w:ascii="Arial" w:cs="Arial" w:eastAsia="Arial" w:hAnsi="Arial"/>
                <w:sz w:val="18"/>
                <w:szCs w:val="18"/>
                <w:b w:val="1"/>
                <w:bCs w:val="1"/>
                <w:color w:val="auto"/>
                <w:w w:val="99"/>
              </w:rPr>
              <w:t>6 Months 2018</w:t>
            </w:r>
          </w:p>
        </w:tc>
        <w:tc>
          <w:tcPr>
            <w:tcW w:w="0" w:type="dxa"/>
            <w:vAlign w:val="bottom"/>
          </w:tcPr>
          <w:p>
            <w:pPr>
              <w:spacing w:after="0"/>
              <w:rPr>
                <w:sz w:val="1"/>
                <w:szCs w:val="1"/>
                <w:color w:val="auto"/>
              </w:rPr>
            </w:pPr>
          </w:p>
        </w:tc>
      </w:tr>
      <w:tr>
        <w:trPr>
          <w:trHeight w:val="217"/>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97"/>
              </w:rPr>
              <w:t>150.0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297.8</w:t>
            </w:r>
          </w:p>
        </w:tc>
        <w:tc>
          <w:tcPr>
            <w:tcW w:w="5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Income (loss)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700"/>
              <w:spacing w:after="0"/>
              <w:rPr>
                <w:sz w:val="20"/>
                <w:szCs w:val="20"/>
                <w:color w:val="auto"/>
              </w:rPr>
            </w:pPr>
            <w:r>
              <w:rPr>
                <w:rFonts w:ascii="Arial" w:cs="Arial" w:eastAsia="Arial" w:hAnsi="Arial"/>
                <w:sz w:val="18"/>
                <w:szCs w:val="18"/>
                <w:color w:val="auto"/>
                <w:w w:val="89"/>
              </w:rPr>
              <w:t>(19.4)</w:t>
            </w:r>
          </w:p>
        </w:tc>
        <w:tc>
          <w:tcPr>
            <w:tcW w:w="1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11.6</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(42.2)</w:t>
            </w:r>
          </w:p>
        </w:tc>
        <w:tc>
          <w:tcPr>
            <w:tcW w:w="5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4"/>
        </w:trPr>
        <w:tc>
          <w:tcPr>
            <w:tcW w:w="3740" w:type="dxa"/>
            <w:vAlign w:val="bottom"/>
            <w:tcBorders>
              <w:left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 (loss) per share</w:t>
            </w:r>
          </w:p>
        </w:tc>
        <w:tc>
          <w:tcPr>
            <w:tcW w:w="2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CEEFF"/>
          </w:tcPr>
          <w:p>
            <w:pPr>
              <w:ind w:left="700"/>
              <w:spacing w:after="0"/>
              <w:rPr>
                <w:sz w:val="20"/>
                <w:szCs w:val="20"/>
                <w:color w:val="auto"/>
              </w:rPr>
            </w:pPr>
            <w:r>
              <w:rPr>
                <w:rFonts w:ascii="Arial" w:cs="Arial" w:eastAsia="Arial" w:hAnsi="Arial"/>
                <w:sz w:val="18"/>
                <w:szCs w:val="18"/>
                <w:color w:val="auto"/>
                <w:w w:val="89"/>
              </w:rPr>
              <w:t>(0.47)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50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5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740" w:type="dxa"/>
            <w:vAlign w:val="bottom"/>
            <w:tcBorders>
              <w:left w:val="single" w:sz="8" w:color="auto"/>
            </w:tcBorders>
          </w:tcPr>
          <w:p>
            <w:pPr>
              <w:ind w:left="180"/>
              <w:spacing w:after="0" w:line="252" w:lineRule="exact"/>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29"/>
                <w:szCs w:val="29"/>
                <w:b w:val="1"/>
                <w:bCs w:val="1"/>
                <w:color w:val="auto"/>
                <w:vertAlign w:val="superscript"/>
              </w:rPr>
              <w:t>(1)</w:t>
            </w:r>
          </w:p>
        </w:tc>
        <w:tc>
          <w:tcPr>
            <w:tcW w:w="142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Q2 FY 2019</w:t>
            </w:r>
          </w:p>
        </w:tc>
        <w:tc>
          <w:tcPr>
            <w:tcW w:w="120" w:type="dxa"/>
            <w:vAlign w:val="bottom"/>
          </w:tcPr>
          <w:p>
            <w:pPr>
              <w:spacing w:after="0"/>
              <w:rPr>
                <w:sz w:val="21"/>
                <w:szCs w:val="21"/>
                <w:color w:val="auto"/>
              </w:rPr>
            </w:pPr>
          </w:p>
        </w:tc>
        <w:tc>
          <w:tcPr>
            <w:tcW w:w="13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Q1 FY 2019</w:t>
            </w:r>
          </w:p>
        </w:tc>
        <w:tc>
          <w:tcPr>
            <w:tcW w:w="120" w:type="dxa"/>
            <w:vAlign w:val="bottom"/>
          </w:tcPr>
          <w:p>
            <w:pPr>
              <w:spacing w:after="0"/>
              <w:rPr>
                <w:sz w:val="21"/>
                <w:szCs w:val="21"/>
                <w:color w:val="auto"/>
              </w:rPr>
            </w:pPr>
          </w:p>
        </w:tc>
        <w:tc>
          <w:tcPr>
            <w:tcW w:w="1320" w:type="dxa"/>
            <w:vAlign w:val="bottom"/>
            <w:gridSpan w:val="4"/>
            <w:vMerge w:val="restart"/>
          </w:tcPr>
          <w:p>
            <w:pPr>
              <w:jc w:val="right"/>
              <w:ind w:right="380"/>
              <w:spacing w:after="0"/>
              <w:rPr>
                <w:sz w:val="20"/>
                <w:szCs w:val="20"/>
                <w:color w:val="auto"/>
              </w:rPr>
            </w:pPr>
            <w:r>
              <w:rPr>
                <w:rFonts w:ascii="Arial" w:cs="Arial" w:eastAsia="Arial" w:hAnsi="Arial"/>
                <w:sz w:val="18"/>
                <w:szCs w:val="18"/>
                <w:b w:val="1"/>
                <w:bCs w:val="1"/>
                <w:color w:val="auto"/>
                <w:w w:val="94"/>
              </w:rPr>
              <w:t>Q2 FY 2018</w:t>
            </w:r>
          </w:p>
        </w:tc>
        <w:tc>
          <w:tcPr>
            <w:tcW w:w="1380" w:type="dxa"/>
            <w:vAlign w:val="bottom"/>
            <w:gridSpan w:val="5"/>
            <w:vMerge w:val="restart"/>
          </w:tcPr>
          <w:p>
            <w:pPr>
              <w:jc w:val="right"/>
              <w:ind w:right="220"/>
              <w:spacing w:after="0"/>
              <w:rPr>
                <w:sz w:val="20"/>
                <w:szCs w:val="20"/>
                <w:color w:val="auto"/>
              </w:rPr>
            </w:pPr>
            <w:r>
              <w:rPr>
                <w:rFonts w:ascii="Arial" w:cs="Arial" w:eastAsia="Arial" w:hAnsi="Arial"/>
                <w:sz w:val="18"/>
                <w:szCs w:val="18"/>
                <w:b w:val="1"/>
                <w:bCs w:val="1"/>
                <w:color w:val="auto"/>
                <w:w w:val="91"/>
              </w:rPr>
              <w:t>6 Months 2019</w:t>
            </w:r>
          </w:p>
        </w:tc>
        <w:tc>
          <w:tcPr>
            <w:tcW w:w="40" w:type="dxa"/>
            <w:vAlign w:val="bottom"/>
          </w:tcPr>
          <w:p>
            <w:pPr>
              <w:spacing w:after="0"/>
              <w:rPr>
                <w:sz w:val="21"/>
                <w:szCs w:val="21"/>
                <w:color w:val="auto"/>
              </w:rPr>
            </w:pPr>
          </w:p>
        </w:tc>
        <w:tc>
          <w:tcPr>
            <w:tcW w:w="138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8"/>
                <w:szCs w:val="18"/>
                <w:b w:val="1"/>
                <w:bCs w:val="1"/>
                <w:color w:val="auto"/>
              </w:rPr>
              <w:t>6 Months 2018</w:t>
            </w:r>
          </w:p>
        </w:tc>
        <w:tc>
          <w:tcPr>
            <w:tcW w:w="0" w:type="dxa"/>
            <w:vAlign w:val="bottom"/>
          </w:tcPr>
          <w:p>
            <w:pPr>
              <w:spacing w:after="0"/>
              <w:rPr>
                <w:sz w:val="1"/>
                <w:szCs w:val="1"/>
                <w:color w:val="auto"/>
              </w:rPr>
            </w:pPr>
          </w:p>
        </w:tc>
      </w:tr>
      <w:tr>
        <w:trPr>
          <w:trHeight w:val="217"/>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14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138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Borders>
              <w:right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Income (loss) per share</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0.02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0.64</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-1176020</wp:posOffset>
            </wp:positionV>
            <wp:extent cx="68605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0540" cy="1371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-147320</wp:posOffset>
            </wp:positionV>
            <wp:extent cx="68605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0540" cy="137160"/>
                    </a:xfrm>
                    <a:prstGeom prst="rect">
                      <a:avLst/>
                    </a:prstGeom>
                    <a:noFill/>
                  </pic:spPr>
                </pic:pic>
              </a:graphicData>
            </a:graphic>
          </wp:anchor>
        </w:drawing>
      </w:r>
    </w:p>
    <w:p>
      <w:pPr>
        <w:spacing w:after="0" w:line="178" w:lineRule="exact"/>
        <w:rPr>
          <w:sz w:val="20"/>
          <w:szCs w:val="20"/>
          <w:color w:val="auto"/>
        </w:rPr>
      </w:pPr>
    </w:p>
    <w:p>
      <w:pPr>
        <w:ind w:right="1620" w:firstLine="170"/>
        <w:spacing w:after="0" w:line="501" w:lineRule="auto"/>
        <w:tabs>
          <w:tab w:leader="none" w:pos="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amounts presented are from continuing operations. FY 2019 results include Xcerra Corporation acquired on October 1, 2018. Total cash and investments at the end of second quarter 2019 were $143.6 million.</w:t>
      </w:r>
    </w:p>
    <w:p>
      <w:pPr>
        <w:ind w:right="100"/>
        <w:spacing w:after="0" w:line="257" w:lineRule="auto"/>
        <w:rPr>
          <w:sz w:val="20"/>
          <w:szCs w:val="20"/>
          <w:color w:val="auto"/>
        </w:rPr>
      </w:pPr>
      <w:r>
        <w:rPr>
          <w:rFonts w:ascii="Arial" w:cs="Arial" w:eastAsia="Arial" w:hAnsi="Arial"/>
          <w:sz w:val="18"/>
          <w:szCs w:val="18"/>
          <w:color w:val="auto"/>
        </w:rPr>
        <w:t>“While gross margin was higher than expected in the second quarter, revenue was at the low end of guidance due to the impact of export restrictions to Huawei on our customers and continued softness in mobility,” said Cohu President and CEO Luis Müller. “Cohu is focused on delivering the targeted Xcerra acquisition synergies by the end of this year, implementing additional actions to reduce expenses and improve profitability, and securing customer design-wins. We recently qualified a new vision inspection platform at two large mobility customers and started shipping a complete solution for testing next generation RF devices used in a new global satellite network.”</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Cohu expects third quarter 2019 sales to be approximately $143 million. Cohu's Board of Directors approved a quarterly cash dividend of $0.06 per share payable on October 18, 2019 to shareholders of record on August 23,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will host a live conference call and webcast with slides to discuss second quarter 2019 results at 1:30 p.m. Pacific Time/4:30 p.m. Eastern Time on August 5, 2019. Interested investors and analysts are invited to dial into the conference call by using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1-866-434-5330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(domestic)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+1-213-660-0873</w:t>
      </w:r>
    </w:p>
    <w:p>
      <w:pPr>
        <w:sectPr>
          <w:pgSz w:w="11900" w:h="16838" w:orient="portrait"/>
          <w:cols w:equalWidth="0" w:num="1">
            <w:col w:w="11420"/>
          </w:cols>
          <w:pgMar w:left="240" w:top="121" w:right="239" w:bottom="250" w:gutter="0" w:footer="0" w:header="0"/>
        </w:sectPr>
      </w:pPr>
    </w:p>
    <w:bookmarkStart w:id="6" w:name="page7"/>
    <w:bookmarkEnd w:id="6"/>
    <w:p>
      <w:pPr>
        <w:spacing w:after="0" w:line="274" w:lineRule="auto"/>
        <w:rPr>
          <w:sz w:val="20"/>
          <w:szCs w:val="20"/>
          <w:color w:val="auto"/>
        </w:rPr>
      </w:pPr>
      <w:r>
        <w:rPr>
          <w:rFonts w:ascii="Arial" w:cs="Arial" w:eastAsia="Arial" w:hAnsi="Arial"/>
          <w:sz w:val="21"/>
          <w:szCs w:val="21"/>
          <w:color w:val="auto"/>
        </w:rPr>
        <w:t xml:space="preserve">(international) and entering the pass code 1069198. Webcast access will be available on the Investor Information section of the company’s website at </w:t>
      </w:r>
      <w:r>
        <w:rPr>
          <w:rFonts w:ascii="Arial" w:cs="Arial" w:eastAsia="Arial" w:hAnsi="Arial"/>
          <w:sz w:val="21"/>
          <w:szCs w:val="21"/>
          <w:u w:val="single" w:color="auto"/>
          <w:color w:val="auto"/>
        </w:rPr>
        <w:t>www.cohu.com</w:t>
      </w:r>
      <w:r>
        <w:rPr>
          <w:rFonts w:ascii="Arial" w:cs="Arial" w:eastAsia="Arial" w:hAnsi="Arial"/>
          <w:sz w:val="21"/>
          <w:szCs w:val="21"/>
          <w:color w:val="auto"/>
        </w:rPr>
        <w:t>. Replays of the call can be accessed at www.cohu.com.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118" w:right="6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Included within this press release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including favorable/unfavorable lease adjustments, restructuring costs, manufacturing and sales transition and severance costs, acquisition-related costs and associated professional fees, fair value adjustment to contingent consideration,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w:t>
      </w:r>
    </w:p>
    <w:p>
      <w:pPr>
        <w:spacing w:after="0" w:line="18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targets; additional cost savings and expense reductions; design-wins; new products and solutions; solutions for global satellite networks; 5G and automotive opportunities; incremental sales opportunities; semiconductor market conditions in 2019; PCB test demand; business model for FY’20 and mid-term model; Cohu’s third quarter 2019 sales forecast, guidance, non-GAAP operating expenses, gross margin, adjusted EBITDA and effective tax rate, and cash and shares outstanding;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 export restrictions; ERP system implementation issues; the seasonal, volatile and unpredictable nature of capital expenditures by semiconductor manufacturers and the late 2018 and 2019 significantly weakened demand in this market; ongoing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w:t>
      </w:r>
    </w:p>
    <w:p>
      <w:pPr>
        <w:spacing w:after="0" w:line="12" w:lineRule="exact"/>
        <w:rPr>
          <w:sz w:val="20"/>
          <w:szCs w:val="20"/>
          <w:color w:val="auto"/>
        </w:rPr>
      </w:pPr>
    </w:p>
    <w:p>
      <w:pPr>
        <w:ind w:firstLine="8"/>
        <w:spacing w:after="0" w:line="267"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other anticipated benefits of the acquisition will not be realized, (iii) litigation relating to the acquisition that still could be instituted against Cohu and/or Xcerra, (iv) the possibility that restructuring charges will significantly exceed estimates, (v) the ability of Cohu or Xcerra to retain, attract and hire key personnel, (vi) potential adverse reactions or changes to relationships with customers, employees, suppliers or other parties resulting from the acquisition, (vii) potential disruptions, expenses and lost revenue associated with the transition to direct sales in China and Taiwan; (viii) the discovery of liabilities, product return issues or deficiencies associated with Xcerra that were not identified in advance, (ix) potential failures to maintain adequate internal controls over financial reporting given the significant increase in size, number of employees, global operations and complexity of Cohu’s business, (x) mandatory ongoing impairment evaluation of goodwill and other intangibles whereby Cohu could be required to write off some or all of this goodwill and other intangibles, (xi) the adverse impact to Cohu’s operating results and potential inability to pay cash dividends due to interest expense on the financing debt, rising interest rates, and any restrictions on operations related to such debt, and (xii) continued availability of capital and financing and rating agency actions, and limited market access given our high debt levels. These and other risks and uncertainties are discussed more fully in Cohu’s filings with the Securities and Exchange Commission,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color w:val="auto"/>
                <w:w w:val="99"/>
              </w:rPr>
              <w:t xml:space="preserve">Three Months Ended </w:t>
            </w:r>
            <w:r>
              <w:rPr>
                <w:rFonts w:ascii="Arial" w:cs="Arial" w:eastAsia="Arial" w:hAnsi="Arial"/>
                <w:sz w:val="30"/>
                <w:szCs w:val="30"/>
                <w:color w:val="auto"/>
                <w:w w:val="99"/>
                <w:vertAlign w:val="superscript"/>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color w:val="auto"/>
              </w:rPr>
              <w:t xml:space="preserve">Six Months Ended </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June 29,</w:t>
            </w:r>
          </w:p>
        </w:tc>
        <w:tc>
          <w:tcPr>
            <w:tcW w:w="2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June 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June 29,</w:t>
            </w:r>
          </w:p>
        </w:tc>
        <w:tc>
          <w:tcPr>
            <w:tcW w:w="2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99,817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297,820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Cost and expenses: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Cost of sales (excludes amortization shown below) </w:t>
            </w:r>
            <w:r>
              <w:rPr>
                <w:rFonts w:ascii="Arial" w:cs="Arial" w:eastAsia="Arial" w:hAnsi="Arial"/>
                <w:sz w:val="29"/>
                <w:szCs w:val="29"/>
                <w:color w:val="auto"/>
                <w:vertAlign w:val="superscript"/>
              </w:rPr>
              <w:t>(2)</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87,605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57,677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180,999</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22,108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44,841</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22,826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29"/>
                <w:szCs w:val="29"/>
                <w:color w:val="auto"/>
                <w:vertAlign w:val="superscript"/>
              </w:rPr>
              <w:t>(3)</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36,428</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74,714</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9,987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20,006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9,906</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164,673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89,050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330,466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(14,662)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(32,646)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(10,789)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413</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Foreign transaction gain (loss) and other</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(20,299)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(43,350)</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(1,116)</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(19,383)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(42,234)</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19,770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Discontinued operations: </w:t>
            </w:r>
            <w:r>
              <w:rPr>
                <w:rFonts w:ascii="Arial" w:cs="Arial" w:eastAsia="Arial" w:hAnsi="Arial"/>
                <w:sz w:val="28"/>
                <w:szCs w:val="28"/>
                <w:color w:val="auto"/>
                <w:vertAlign w:val="superscript"/>
              </w:rPr>
              <w:t>(4)</w:t>
            </w:r>
          </w:p>
        </w:tc>
        <w:tc>
          <w:tcPr>
            <w:tcW w:w="1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Income from discontinued operations before taxes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(19,359)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(42,046)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Cohu</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(19,323)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11,648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(41,966)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19,770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 before noncontrolling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Arial" w:cs="Arial" w:eastAsia="Arial" w:hAnsi="Arial"/>
                <w:sz w:val="18"/>
                <w:szCs w:val="18"/>
                <w:color w:val="auto"/>
              </w:rPr>
              <w:t>Net income (loss) attributable to Cohu</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noncontrolling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Net income (loss) attributable to Cohu</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40" w:type="dxa"/>
            <w:vAlign w:val="bottom"/>
          </w:tcPr>
          <w:p>
            <w:pPr>
              <w:spacing w:after="0" w:line="256" w:lineRule="exact"/>
              <w:rPr>
                <w:sz w:val="20"/>
                <w:szCs w:val="20"/>
                <w:color w:val="auto"/>
              </w:rPr>
            </w:pPr>
            <w:r>
              <w:rPr>
                <w:rFonts w:ascii="Arial" w:cs="Arial" w:eastAsia="Arial" w:hAnsi="Arial"/>
                <w:sz w:val="18"/>
                <w:szCs w:val="18"/>
                <w:color w:val="auto"/>
                <w:w w:val="99"/>
              </w:rPr>
              <w:t xml:space="preserve">Weighted average shares used in computing income (loss) per share: </w:t>
            </w:r>
            <w:r>
              <w:rPr>
                <w:rFonts w:ascii="Arial" w:cs="Arial" w:eastAsia="Arial" w:hAnsi="Arial"/>
                <w:sz w:val="29"/>
                <w:szCs w:val="29"/>
                <w:color w:val="auto"/>
                <w:w w:val="99"/>
                <w:vertAlign w:val="superscript"/>
              </w:rPr>
              <w:t>(5)</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41,125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28,893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40,999</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41,125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29,651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40,999</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three- and six-month periods ended June 29, 2019 and June 30, 2018 were both comprised of 13 weeks and 26 weeks, respectively. The Company’s results for the three- and six-month periods ended June 29, 2019, include the results of Xcerra which was acquired on October 1, 2018.</w:t>
      </w:r>
    </w:p>
    <w:p>
      <w:pPr>
        <w:ind w:left="660" w:right="38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conjunction with the acquisition of Xcerra the Company assessed the need to realign its historical financial statement presentation and certain statement of operations classifications were reclassified to conform to current period presentation. The changes made were as follows:</w:t>
      </w:r>
    </w:p>
    <w:p>
      <w:pPr>
        <w:spacing w:after="0" w:line="1" w:lineRule="exact"/>
        <w:rPr>
          <w:rFonts w:ascii="Arial" w:cs="Arial" w:eastAsia="Arial" w:hAnsi="Arial"/>
          <w:sz w:val="16"/>
          <w:szCs w:val="16"/>
          <w:color w:val="auto"/>
        </w:rPr>
      </w:pPr>
    </w:p>
    <w:p>
      <w:pPr>
        <w:ind w:left="980" w:right="160" w:hanging="324"/>
        <w:spacing w:after="0" w:line="265"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Amortization of intangibles previously were presented in cost of sales and SG&amp;A. These amounts are now presented as a separate line item “Amortization of purchased intangible assets” within operating expenses. Amounts associated with purchased intangible assets that previously would have been included in cost of sales are $7.6 million and $15.3 million for the three- and six-month periods ended June 29, 2019, respectively. Amounts previously presented in cost of sales that have been reclassified to conform with the Company’s revised presentation for the three- and six-month periods ended June 30, 2018 are $0.6 million and $1.3 million, respectively.</w:t>
      </w:r>
    </w:p>
    <w:p>
      <w:pPr>
        <w:spacing w:after="0" w:line="1" w:lineRule="exact"/>
        <w:rPr>
          <w:rFonts w:ascii="Arial" w:cs="Arial" w:eastAsia="Arial" w:hAnsi="Arial"/>
          <w:sz w:val="17"/>
          <w:szCs w:val="17"/>
          <w:color w:val="auto"/>
        </w:rPr>
      </w:pPr>
    </w:p>
    <w:p>
      <w:pPr>
        <w:ind w:left="980" w:right="60" w:hanging="324"/>
        <w:spacing w:after="0" w:line="250"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Historically, gains and losses associated with foreign currency translation and remeasurement were included within SG&amp;A which resulted in fluctuations in expenses as foreign exchange rates change. These amounts will now be presented within foreign transaction gain (loss) and other as it will provide investors more insight into the Company’s operating expenses.</w:t>
      </w:r>
    </w:p>
    <w:p>
      <w:pPr>
        <w:spacing w:after="0" w:line="1" w:lineRule="exact"/>
        <w:rPr>
          <w:rFonts w:ascii="Arial" w:cs="Arial" w:eastAsia="Arial" w:hAnsi="Arial"/>
          <w:sz w:val="18"/>
          <w:szCs w:val="18"/>
          <w:color w:val="auto"/>
        </w:rPr>
      </w:pPr>
    </w:p>
    <w:p>
      <w:pPr>
        <w:jc w:val="both"/>
        <w:ind w:left="660" w:right="34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 for the three- and six-month periods ended June 29, 2019 include Xcerra transaction costs totaling $0.2 million and $0.4 million, respectively. For the three- and six-month periods ended June 30, 2018 Xcerra transaction costs were $3.8 million and $4.1 million, respectively.</w:t>
      </w:r>
    </w:p>
    <w:p>
      <w:pPr>
        <w:spacing w:after="0" w:line="1" w:lineRule="exact"/>
        <w:rPr>
          <w:rFonts w:ascii="Arial" w:cs="Arial" w:eastAsia="Arial" w:hAnsi="Arial"/>
          <w:sz w:val="16"/>
          <w:szCs w:val="16"/>
          <w:color w:val="auto"/>
        </w:rPr>
      </w:pPr>
    </w:p>
    <w:p>
      <w:pPr>
        <w:ind w:left="660" w:right="1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October 1, 2018, the Company made the decision to sell the fixtures business acquired from Xcerra, and, as a result, the operating results of the fixtures business have been presented as discontinued operations.</w:t>
      </w:r>
    </w:p>
    <w:p>
      <w:pPr>
        <w:ind w:left="660" w:right="8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three- and six-month periods ended June 29, 2019,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ectPr>
          <w:pgSz w:w="11900" w:h="16838" w:orient="portrait"/>
          <w:cols w:equalWidth="0" w:num="1">
            <w:col w:w="11420"/>
          </w:cols>
          <w:pgMar w:left="240" w:top="580" w:right="239" w:bottom="0" w:gutter="0" w:footer="0" w:header="0"/>
        </w:sectPr>
      </w:pPr>
    </w:p>
    <w:bookmarkStart w:id="9" w:name="page10"/>
    <w:bookmarkEnd w:id="9"/>
    <w:p>
      <w:pPr>
        <w:spacing w:after="0" w:line="271"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29,</w:t>
            </w: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December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134,435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23,448</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442,807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71,776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241,466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242,127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297,211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tcPr>
          <w:p>
            <w:pPr>
              <w:spacing w:after="0" w:line="256" w:lineRule="exact"/>
              <w:rPr>
                <w:sz w:val="20"/>
                <w:szCs w:val="20"/>
                <w:color w:val="auto"/>
              </w:rPr>
            </w:pPr>
            <w:r>
              <w:rPr>
                <w:rFonts w:ascii="Arial" w:cs="Arial" w:eastAsia="Arial" w:hAnsi="Arial"/>
                <w:sz w:val="18"/>
                <w:szCs w:val="18"/>
                <w:color w:val="auto"/>
              </w:rPr>
              <w:t xml:space="preserve">Operating lease right of use assets </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35,224</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14,955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1,103,504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1,134,002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Current installments of long-term debt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131,657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146,931</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160,589</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341,978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tcPr>
          <w:p>
            <w:pPr>
              <w:spacing w:after="0" w:line="256" w:lineRule="exact"/>
              <w:rPr>
                <w:sz w:val="20"/>
                <w:szCs w:val="20"/>
                <w:color w:val="auto"/>
              </w:rPr>
            </w:pPr>
            <w:r>
              <w:rPr>
                <w:rFonts w:ascii="Arial" w:cs="Arial" w:eastAsia="Arial" w:hAnsi="Arial"/>
                <w:sz w:val="18"/>
                <w:szCs w:val="18"/>
                <w:color w:val="auto"/>
              </w:rPr>
              <w:t xml:space="preserve">Non-current operating lease liabilities </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32,773</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67,373</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Cohu stockholders’ equity</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514,805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546,243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 &amp;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1,103,504</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1,134,002</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7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200" w:hanging="330"/>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Cohu adopted ASU 2016-02, Leases (Topic 842), as of December 30, 2018. Upon adoption, we recorded operating lease assets and operating lease liabilities based on the present value of future lease obligations. We applied the practical expedient available in this guidance, which does not require the restatement of prior year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June 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March 30,</w:t>
            </w:r>
          </w:p>
        </w:tc>
        <w:tc>
          <w:tcPr>
            <w:tcW w:w="28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ind w:left="200"/>
              <w:spacing w:after="0" w:line="266"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90"/>
              <w:spacing w:after="0" w:line="266"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(1)</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(14,662)</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included in (b):</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Cost of sales (COS)</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(R&amp;D)</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2,930</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 (c)</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9,987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10,019</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 related to inventory adjustments in COS (d)</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Restructuring charges included in operating expenses (d)</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8,545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1,361</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Manufacturing and sales transition costs included in (e):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 (COS)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Adjustment to contingent consideration included in SG&amp;A (f)</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 included in SG&amp;A (g)</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Inventory step-up included in COS (h)</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6,038</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PP&amp;E step-up included in SG&amp;A (i)</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Income from operations - non-GAAP basis (j)</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8,858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5,835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(loss) from continuing operations - GAAP basis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(19,383)</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(22,851)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23,819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Tax effect of non-GAAP adjustments (k)</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(3,348)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(2,358)</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 non-GAAP basis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continuing operations per share - 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(loss) from continuing operations per share - diluted (l)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Includes operating results from Xcerra acquired on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adjustments for inventory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2"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(9.8)%, (12.2)% and 10.8% of net sales, respectively.</w:t>
      </w:r>
    </w:p>
    <w:p>
      <w:pPr>
        <w:spacing w:after="0" w:line="21"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fair value adjustment to contingent consideration related to the acquisition of Kita.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acquisitions.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the acquisition of Xcerra.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the accelerated depreciation from the property, plant &amp; equipment step-up related to the acquisition of Xcerra.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5.9%, 3.9% and 18.3%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ind w:left="500" w:right="120" w:hanging="330"/>
        <w:spacing w:after="0" w:line="31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three months ended June 29, 2019 was computed using 41,534 shares outstanding as the effect of dilutive securities was excluded from GAAP diluted common shares due to the reported net loss under GAAP, but are included for non-GAAP diluted common shares since the Company has non-GAAP net income. All other periods presented were computed using number of GAAP diluted shares outstanding for each period.</w:t>
      </w:r>
    </w:p>
    <w:p>
      <w:pPr>
        <w:sectPr>
          <w:pgSz w:w="11900" w:h="16838" w:orient="portrait"/>
          <w:cols w:equalWidth="0" w:num="1">
            <w:col w:w="11420"/>
          </w:cols>
          <w:pgMar w:left="240" w:top="580" w:right="239" w:bottom="0" w:gutter="0" w:footer="0" w:header="0"/>
        </w:sectPr>
      </w:pPr>
    </w:p>
    <w:bookmarkStart w:id="12" w:name="page13"/>
    <w:bookmarkEnd w:id="12"/>
    <w:p>
      <w:pPr>
        <w:spacing w:after="0" w:line="312"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1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June 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ind w:left="180"/>
              <w:spacing w:after="0" w:line="266"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(32,646)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Non-GAAP adjustments: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included in (b):</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Cost of sales (COS)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(R&amp;D)</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5,608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 (c)</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20,006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 related to inventory adjustments in COS (d)</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Restructuring charges included in operating expenses (d)</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9,906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Manufacturing and sales transition costs included in (e):</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Cost of sales (COS)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SG&amp;A</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included in SG&amp;A (f)</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Acquisition costs included in SG&amp;A (g)</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step-up included in COS (h)</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PP&amp;E step-up included in SG&amp;A (i)</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non-GAAP basis (j)</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 GAAP basis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(42,234)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47,339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 of non-GAAP adjustments (k)</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 non-GAAP basis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GAAP income (loss) per share from continuing operations - diluted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Non-GAAP income (loss) per share - diluted (l)</w:t>
            </w:r>
          </w:p>
        </w:tc>
        <w:tc>
          <w:tcPr>
            <w:tcW w:w="1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(0.01)</w:t>
            </w: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1"/>
        </w:trPr>
        <w:tc>
          <w:tcPr>
            <w:tcW w:w="6580" w:type="dxa"/>
            <w:vAlign w:val="bottom"/>
            <w:gridSpan w:val="2"/>
          </w:tcPr>
          <w:p>
            <w:pPr>
              <w:spacing w:after="0"/>
              <w:rPr>
                <w:sz w:val="20"/>
                <w:szCs w:val="20"/>
                <w:color w:val="auto"/>
              </w:rPr>
            </w:pPr>
            <w:r>
              <w:rPr>
                <w:rFonts w:ascii="Arial" w:cs="Arial" w:eastAsia="Arial" w:hAnsi="Arial"/>
                <w:sz w:val="18"/>
                <w:szCs w:val="18"/>
                <w:color w:val="auto"/>
              </w:rPr>
              <w:t>(1) Includes operating results from Xcerra acquired on October 1, 2018</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1"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adjustments for inventory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(11.0)% and 11.5% of net sales, respectively.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fair value adjustment to contingent consideration related to the acquisition of Kita.</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the acquisitions.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acquisitions.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the property, plant &amp; equipment step-up depreciation accelerated related to the acquisition of Xcerra.</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 and 16.8% of net sales, respectively.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periods presented were computed using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91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June 29,</w:t>
            </w:r>
          </w:p>
        </w:tc>
        <w:tc>
          <w:tcPr>
            <w:tcW w:w="240" w:type="dxa"/>
            <w:vAlign w:val="bottom"/>
          </w:tcPr>
          <w:p>
            <w:pPr>
              <w:spacing w:after="0"/>
              <w:rPr>
                <w:sz w:val="19"/>
                <w:szCs w:val="19"/>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March 30,</w:t>
            </w:r>
          </w:p>
        </w:tc>
        <w:tc>
          <w:tcPr>
            <w:tcW w:w="260" w:type="dxa"/>
            <w:vAlign w:val="bottom"/>
          </w:tcPr>
          <w:p>
            <w:pPr>
              <w:spacing w:after="0"/>
              <w:rPr>
                <w:sz w:val="19"/>
                <w:szCs w:val="19"/>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70"/>
              <w:spacing w:after="0" w:line="266"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(1)</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350"/>
              <w:spacing w:after="0" w:line="266"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(1)</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20" w:type="dxa"/>
            <w:vAlign w:val="bottom"/>
          </w:tcPr>
          <w:p>
            <w:pPr>
              <w:ind w:left="160"/>
              <w:spacing w:after="0" w:line="256" w:lineRule="exact"/>
              <w:rPr>
                <w:sz w:val="20"/>
                <w:szCs w:val="20"/>
                <w:color w:val="auto"/>
              </w:rPr>
            </w:pPr>
            <w:r>
              <w:rPr>
                <w:rFonts w:ascii="Arial" w:cs="Arial" w:eastAsia="Arial" w:hAnsi="Arial"/>
                <w:sz w:val="18"/>
                <w:szCs w:val="18"/>
                <w:color w:val="auto"/>
              </w:rPr>
              <w:t>Gross profit - GAAP basis (excluding amortization)</w:t>
            </w:r>
            <w:r>
              <w:rPr>
                <w:rFonts w:ascii="Arial" w:cs="Arial" w:eastAsia="Arial" w:hAnsi="Arial"/>
                <w:sz w:val="29"/>
                <w:szCs w:val="29"/>
                <w:color w:val="auto"/>
                <w:vertAlign w:val="superscript"/>
              </w:rPr>
              <w:t>(2)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62,406</w:t>
            </w:r>
          </w:p>
        </w:tc>
        <w:tc>
          <w:tcPr>
            <w:tcW w:w="26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54,415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61,915</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61,279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42,302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gross profit as a percentage of net sales</w:t>
            </w:r>
          </w:p>
        </w:tc>
        <w:tc>
          <w:tcPr>
            <w:tcW w:w="26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Net income (loss) attributable to Cohu - GAAP Basis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(19,323)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(22,643)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(916)</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10,019</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5,020</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non-GAAP adjustments (as scheduled above)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11,783</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9,723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Adjusted EBITDA as a percentage of net sales</w:t>
            </w:r>
          </w:p>
        </w:tc>
        <w:tc>
          <w:tcPr>
            <w:tcW w:w="26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Operating Expense - GAAP basis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77,068</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72,399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operating expenses (as scheduled above)</w:t>
            </w: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(24,011)</w:t>
            </w:r>
          </w:p>
        </w:tc>
        <w:tc>
          <w:tcPr>
            <w:tcW w:w="2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Operating Expenses - Non-GAAP basis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53,057</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55,444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6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operating results from Xcerra acquired on October 1, 2018</w:t>
      </w:r>
    </w:p>
    <w:p>
      <w:pPr>
        <w:spacing w:after="0" w:line="36" w:lineRule="exact"/>
        <w:rPr>
          <w:rFonts w:ascii="Arial" w:cs="Arial" w:eastAsia="Arial" w:hAnsi="Arial"/>
          <w:sz w:val="18"/>
          <w:szCs w:val="18"/>
          <w:color w:val="auto"/>
        </w:rPr>
      </w:pPr>
    </w:p>
    <w:p>
      <w:pPr>
        <w:ind w:left="500" w:right="40" w:hanging="330"/>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amortization of $7,625 for the three months ending June 29, 2019, $7,641 for the three months ending March 30, 2019 and $639 for the three months ended June 30,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jc w:val="right"/>
              <w:ind w:right="11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June 29,</w:t>
            </w:r>
          </w:p>
        </w:tc>
        <w:tc>
          <w:tcPr>
            <w:tcW w:w="26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gridSpan w:val="2"/>
          </w:tcPr>
          <w:p>
            <w:pPr>
              <w:jc w:val="right"/>
              <w:ind w:right="700"/>
              <w:spacing w:after="0" w:line="266" w:lineRule="exact"/>
              <w:rPr>
                <w:sz w:val="20"/>
                <w:szCs w:val="20"/>
                <w:color w:val="auto"/>
              </w:rPr>
            </w:pPr>
            <w:r>
              <w:rPr>
                <w:rFonts w:ascii="Arial" w:cs="Arial" w:eastAsia="Arial" w:hAnsi="Arial"/>
                <w:sz w:val="18"/>
                <w:szCs w:val="18"/>
                <w:color w:val="auto"/>
              </w:rPr>
              <w:t xml:space="preserve">a2019 </w:t>
            </w:r>
            <w:r>
              <w:rPr>
                <w:rFonts w:ascii="Arial" w:cs="Arial" w:eastAsia="Arial" w:hAnsi="Arial"/>
                <w:sz w:val="30"/>
                <w:szCs w:val="30"/>
                <w:color w:val="auto"/>
                <w:vertAlign w:val="superscript"/>
              </w:rPr>
              <w:t>(1)</w:t>
            </w:r>
          </w:p>
        </w:tc>
        <w:tc>
          <w:tcPr>
            <w:tcW w:w="260" w:type="dxa"/>
            <w:vAlign w:val="bottom"/>
          </w:tcPr>
          <w:p>
            <w:pPr>
              <w:spacing w:after="0"/>
              <w:rPr>
                <w:sz w:val="23"/>
                <w:szCs w:val="23"/>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20" w:type="dxa"/>
            <w:vAlign w:val="bottom"/>
          </w:tcPr>
          <w:p>
            <w:pPr>
              <w:ind w:left="160"/>
              <w:spacing w:after="0" w:line="256" w:lineRule="exact"/>
              <w:rPr>
                <w:sz w:val="20"/>
                <w:szCs w:val="20"/>
                <w:color w:val="auto"/>
              </w:rPr>
            </w:pPr>
            <w:r>
              <w:rPr>
                <w:rFonts w:ascii="Arial" w:cs="Arial" w:eastAsia="Arial" w:hAnsi="Arial"/>
                <w:sz w:val="18"/>
                <w:szCs w:val="18"/>
                <w:color w:val="auto"/>
              </w:rPr>
              <w:t>Gross profit - GAAP basis (excluding amortization)</w:t>
            </w:r>
            <w:r>
              <w:rPr>
                <w:rFonts w:ascii="Arial" w:cs="Arial" w:eastAsia="Arial" w:hAnsi="Arial"/>
                <w:sz w:val="29"/>
                <w:szCs w:val="29"/>
                <w:color w:val="auto"/>
                <w:vertAlign w:val="superscript"/>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116,821</w:t>
            </w:r>
          </w:p>
        </w:tc>
        <w:tc>
          <w:tcPr>
            <w:tcW w:w="28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123,194</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profit as a percentage of net sales</w:t>
            </w:r>
          </w:p>
        </w:tc>
        <w:tc>
          <w:tcPr>
            <w:tcW w:w="26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Net income (loss) attributable to Cohu -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(41,966)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(1,116)</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non-GAAP adjustments (as scheduled above)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21,506</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36,963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Adjusted EBITDA as a percentage of net sales</w:t>
            </w:r>
          </w:p>
        </w:tc>
        <w:tc>
          <w:tcPr>
            <w:tcW w:w="26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Operating Expense -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149,467</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operating expenses (as scheduled above)</w:t>
            </w:r>
          </w:p>
        </w:tc>
        <w:tc>
          <w:tcPr>
            <w:tcW w:w="2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(40,966)</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Operating Expenses - Non-GAAP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108,501</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49,920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7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operating results from Xcerra acquired on October 1, 2018</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amortization of $15,266 for the six months ending June 29, 2019 and $1,315 for the six months ended June 30,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Roman"/>
      <w:start w:val="2"/>
    </w:lvl>
  </w:abstractNum>
  <w:abstractNum w:abstractNumId="2">
    <w:nsid w:val="79E2A9E3"/>
    <w:multiLevelType w:val="hybridMultilevel"/>
    <w:lvl w:ilvl="0">
      <w:lvlJc w:val="left"/>
      <w:lvlText w:val="(%1)"/>
      <w:numFmt w:val="lowerLetter"/>
      <w:start w:val="4"/>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Roman"/>
      <w:start w:val="2"/>
    </w:lvl>
  </w:abstractNum>
  <w:abstractNum w:abstractNumId="6">
    <w:nsid w:val="12200854"/>
    <w:multiLevelType w:val="hybridMultilevel"/>
    <w:lvl w:ilvl="0">
      <w:lvlJc w:val="left"/>
      <w:lvlText w:val="(%1)"/>
      <w:numFmt w:val="decimal"/>
      <w:start w:val="1"/>
    </w:lvl>
    <w:lvl w:ilvl="1">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2019-12-28T08:12:33Z</dcterms:created>
  <dcterms:modified xsi:type="dcterms:W3CDTF">2019-12-28T08:12:33Z</dcterms:modified>
</cp:coreProperties>
</file>