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 2018</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4580" w:type="dxa"/>
            <w:vAlign w:val="bottom"/>
          </w:tcPr>
          <w:p>
            <w:pPr>
              <w:jc w:val="center"/>
              <w:ind w:right="1510"/>
              <w:spacing w:after="0"/>
              <w:rPr>
                <w:sz w:val="20"/>
                <w:szCs w:val="20"/>
                <w:color w:val="auto"/>
              </w:rPr>
            </w:pPr>
            <w:r>
              <w:rPr>
                <w:rFonts w:ascii="Arial" w:cs="Arial" w:eastAsia="Arial" w:hAnsi="Arial"/>
                <w:sz w:val="18"/>
                <w:szCs w:val="18"/>
                <w:color w:val="auto"/>
                <w:w w:val="92"/>
              </w:rPr>
              <w:t>Delaware</w:t>
            </w:r>
          </w:p>
        </w:tc>
        <w:tc>
          <w:tcPr>
            <w:tcW w:w="2240" w:type="dxa"/>
            <w:vAlign w:val="bottom"/>
          </w:tcPr>
          <w:p>
            <w:pPr>
              <w:jc w:val="right"/>
              <w:ind w:right="1070"/>
              <w:spacing w:after="0"/>
              <w:rPr>
                <w:sz w:val="20"/>
                <w:szCs w:val="20"/>
                <w:color w:val="auto"/>
              </w:rPr>
            </w:pPr>
            <w:r>
              <w:rPr>
                <w:rFonts w:ascii="Arial" w:cs="Arial" w:eastAsia="Arial" w:hAnsi="Arial"/>
                <w:sz w:val="18"/>
                <w:szCs w:val="18"/>
                <w:color w:val="auto"/>
              </w:rPr>
              <w:t>001-04298</w:t>
            </w:r>
          </w:p>
        </w:tc>
        <w:tc>
          <w:tcPr>
            <w:tcW w:w="2880" w:type="dxa"/>
            <w:vAlign w:val="bottom"/>
          </w:tcPr>
          <w:p>
            <w:pPr>
              <w:jc w:val="center"/>
              <w:ind w:left="1450"/>
              <w:spacing w:after="0"/>
              <w:rPr>
                <w:sz w:val="20"/>
                <w:szCs w:val="20"/>
                <w:color w:val="auto"/>
              </w:rPr>
            </w:pPr>
            <w:r>
              <w:rPr>
                <w:rFonts w:ascii="Arial" w:cs="Arial" w:eastAsia="Arial" w:hAnsi="Arial"/>
                <w:sz w:val="18"/>
                <w:szCs w:val="18"/>
                <w:color w:val="auto"/>
                <w:w w:val="89"/>
              </w:rPr>
              <w:t>95-1934119</w:t>
            </w:r>
          </w:p>
        </w:tc>
      </w:tr>
      <w:tr>
        <w:trPr>
          <w:trHeight w:val="216"/>
        </w:trPr>
        <w:tc>
          <w:tcPr>
            <w:tcW w:w="4580" w:type="dxa"/>
            <w:vAlign w:val="bottom"/>
          </w:tcPr>
          <w:p>
            <w:pPr>
              <w:jc w:val="right"/>
              <w:ind w:right="2050"/>
              <w:spacing w:after="0"/>
              <w:rPr>
                <w:sz w:val="20"/>
                <w:szCs w:val="20"/>
                <w:color w:val="auto"/>
              </w:rPr>
            </w:pPr>
            <w:r>
              <w:rPr>
                <w:rFonts w:ascii="Arial" w:cs="Arial" w:eastAsia="Arial" w:hAnsi="Arial"/>
                <w:sz w:val="18"/>
                <w:szCs w:val="18"/>
                <w:color w:val="auto"/>
              </w:rPr>
              <w:t>_____________________</w:t>
            </w:r>
          </w:p>
        </w:tc>
        <w:tc>
          <w:tcPr>
            <w:tcW w:w="2240" w:type="dxa"/>
            <w:vAlign w:val="bottom"/>
          </w:tcPr>
          <w:p>
            <w:pPr>
              <w:jc w:val="right"/>
              <w:ind w:right="890"/>
              <w:spacing w:after="0"/>
              <w:rPr>
                <w:sz w:val="20"/>
                <w:szCs w:val="20"/>
                <w:color w:val="auto"/>
              </w:rPr>
            </w:pPr>
            <w:r>
              <w:rPr>
                <w:rFonts w:ascii="Arial" w:cs="Arial" w:eastAsia="Arial" w:hAnsi="Arial"/>
                <w:sz w:val="18"/>
                <w:szCs w:val="18"/>
                <w:color w:val="auto"/>
                <w:w w:val="95"/>
              </w:rPr>
              <w:t>_____________</w:t>
            </w:r>
          </w:p>
        </w:tc>
        <w:tc>
          <w:tcPr>
            <w:tcW w:w="2880" w:type="dxa"/>
            <w:vAlign w:val="bottom"/>
          </w:tcPr>
          <w:p>
            <w:pPr>
              <w:jc w:val="center"/>
              <w:ind w:left="1450"/>
              <w:spacing w:after="0"/>
              <w:rPr>
                <w:sz w:val="20"/>
                <w:szCs w:val="20"/>
                <w:color w:val="auto"/>
              </w:rPr>
            </w:pPr>
            <w:r>
              <w:rPr>
                <w:rFonts w:ascii="Arial" w:cs="Arial" w:eastAsia="Arial" w:hAnsi="Arial"/>
                <w:sz w:val="18"/>
                <w:szCs w:val="18"/>
                <w:color w:val="auto"/>
                <w:w w:val="89"/>
              </w:rPr>
              <w:t>______________</w:t>
            </w:r>
          </w:p>
        </w:tc>
      </w:tr>
      <w:tr>
        <w:trPr>
          <w:trHeight w:val="216"/>
        </w:trPr>
        <w:tc>
          <w:tcPr>
            <w:tcW w:w="45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w:t>
            </w:r>
          </w:p>
        </w:tc>
        <w:tc>
          <w:tcPr>
            <w:tcW w:w="2240" w:type="dxa"/>
            <w:vAlign w:val="bottom"/>
          </w:tcPr>
          <w:p>
            <w:pPr>
              <w:jc w:val="center"/>
              <w:ind w:right="790"/>
              <w:spacing w:after="0"/>
              <w:rPr>
                <w:sz w:val="20"/>
                <w:szCs w:val="20"/>
                <w:color w:val="auto"/>
              </w:rPr>
            </w:pPr>
            <w:r>
              <w:rPr>
                <w:rFonts w:ascii="Arial" w:cs="Arial" w:eastAsia="Arial" w:hAnsi="Arial"/>
                <w:sz w:val="18"/>
                <w:szCs w:val="18"/>
                <w:color w:val="auto"/>
                <w:w w:val="91"/>
              </w:rPr>
              <w:t>(Commission</w:t>
            </w:r>
          </w:p>
        </w:tc>
        <w:tc>
          <w:tcPr>
            <w:tcW w:w="288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580" w:type="dxa"/>
            <w:vAlign w:val="bottom"/>
          </w:tcPr>
          <w:p>
            <w:pPr>
              <w:jc w:val="center"/>
              <w:ind w:right="1510"/>
              <w:spacing w:after="0"/>
              <w:rPr>
                <w:sz w:val="20"/>
                <w:szCs w:val="20"/>
                <w:color w:val="auto"/>
              </w:rPr>
            </w:pPr>
            <w:r>
              <w:rPr>
                <w:rFonts w:ascii="Arial" w:cs="Arial" w:eastAsia="Arial" w:hAnsi="Arial"/>
                <w:sz w:val="18"/>
                <w:szCs w:val="18"/>
                <w:color w:val="auto"/>
                <w:w w:val="93"/>
              </w:rPr>
              <w:t>of incorporation)</w:t>
            </w:r>
          </w:p>
        </w:tc>
        <w:tc>
          <w:tcPr>
            <w:tcW w:w="2240" w:type="dxa"/>
            <w:vAlign w:val="bottom"/>
          </w:tcPr>
          <w:p>
            <w:pPr>
              <w:jc w:val="center"/>
              <w:ind w:right="790"/>
              <w:spacing w:after="0"/>
              <w:rPr>
                <w:sz w:val="20"/>
                <w:szCs w:val="20"/>
                <w:color w:val="auto"/>
              </w:rPr>
            </w:pPr>
            <w:r>
              <w:rPr>
                <w:rFonts w:ascii="Arial" w:cs="Arial" w:eastAsia="Arial" w:hAnsi="Arial"/>
                <w:sz w:val="18"/>
                <w:szCs w:val="18"/>
                <w:color w:val="auto"/>
                <w:w w:val="92"/>
              </w:rPr>
              <w:t>File Number)</w:t>
            </w:r>
          </w:p>
        </w:tc>
        <w:tc>
          <w:tcPr>
            <w:tcW w:w="2880" w:type="dxa"/>
            <w:vAlign w:val="bottom"/>
          </w:tcPr>
          <w:p>
            <w:pPr>
              <w:jc w:val="center"/>
              <w:ind w:left="14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580" w:type="dxa"/>
            <w:vAlign w:val="bottom"/>
          </w:tcPr>
          <w:p>
            <w:pPr>
              <w:jc w:val="center"/>
              <w:ind w:right="1510"/>
              <w:spacing w:after="0"/>
              <w:rPr>
                <w:sz w:val="20"/>
                <w:szCs w:val="20"/>
                <w:color w:val="auto"/>
              </w:rPr>
            </w:pPr>
            <w:r>
              <w:rPr>
                <w:rFonts w:ascii="Arial" w:cs="Arial" w:eastAsia="Arial" w:hAnsi="Arial"/>
                <w:sz w:val="18"/>
                <w:szCs w:val="18"/>
                <w:color w:val="auto"/>
                <w:w w:val="91"/>
              </w:rPr>
              <w:t>12367 Crosthwaite Circle, Poway,</w:t>
            </w:r>
          </w:p>
        </w:tc>
        <w:tc>
          <w:tcPr>
            <w:tcW w:w="2240" w:type="dxa"/>
            <w:vAlign w:val="bottom"/>
          </w:tcPr>
          <w:p>
            <w:pPr>
              <w:spacing w:after="0"/>
              <w:rPr>
                <w:sz w:val="24"/>
                <w:szCs w:val="24"/>
                <w:color w:val="auto"/>
              </w:rPr>
            </w:pPr>
          </w:p>
        </w:tc>
        <w:tc>
          <w:tcPr>
            <w:tcW w:w="2880" w:type="dxa"/>
            <w:vAlign w:val="bottom"/>
          </w:tcPr>
          <w:p>
            <w:pPr>
              <w:jc w:val="center"/>
              <w:ind w:left="1430"/>
              <w:spacing w:after="0"/>
              <w:rPr>
                <w:sz w:val="20"/>
                <w:szCs w:val="20"/>
                <w:color w:val="auto"/>
              </w:rPr>
            </w:pPr>
            <w:r>
              <w:rPr>
                <w:rFonts w:ascii="Arial" w:cs="Arial" w:eastAsia="Arial" w:hAnsi="Arial"/>
                <w:sz w:val="18"/>
                <w:szCs w:val="18"/>
                <w:color w:val="auto"/>
                <w:w w:val="87"/>
              </w:rPr>
              <w:t>92064</w:t>
            </w:r>
          </w:p>
        </w:tc>
      </w:tr>
      <w:tr>
        <w:trPr>
          <w:trHeight w:val="216"/>
        </w:trPr>
        <w:tc>
          <w:tcPr>
            <w:tcW w:w="4580" w:type="dxa"/>
            <w:vAlign w:val="bottom"/>
          </w:tcPr>
          <w:p>
            <w:pPr>
              <w:jc w:val="center"/>
              <w:ind w:right="1510"/>
              <w:spacing w:after="0"/>
              <w:rPr>
                <w:sz w:val="20"/>
                <w:szCs w:val="20"/>
                <w:color w:val="auto"/>
              </w:rPr>
            </w:pPr>
            <w:r>
              <w:rPr>
                <w:rFonts w:ascii="Arial" w:cs="Arial" w:eastAsia="Arial" w:hAnsi="Arial"/>
                <w:sz w:val="18"/>
                <w:szCs w:val="18"/>
                <w:color w:val="auto"/>
                <w:w w:val="97"/>
              </w:rPr>
              <w:t>California</w:t>
            </w:r>
          </w:p>
        </w:tc>
        <w:tc>
          <w:tcPr>
            <w:tcW w:w="22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4580" w:type="dxa"/>
            <w:vAlign w:val="bottom"/>
          </w:tcPr>
          <w:p>
            <w:pPr>
              <w:jc w:val="right"/>
              <w:ind w:right="1510"/>
              <w:spacing w:after="0"/>
              <w:rPr>
                <w:sz w:val="20"/>
                <w:szCs w:val="20"/>
                <w:color w:val="auto"/>
              </w:rPr>
            </w:pPr>
            <w:r>
              <w:rPr>
                <w:rFonts w:ascii="Arial" w:cs="Arial" w:eastAsia="Arial" w:hAnsi="Arial"/>
                <w:sz w:val="18"/>
                <w:szCs w:val="18"/>
                <w:color w:val="auto"/>
                <w:w w:val="89"/>
              </w:rPr>
              <w:t>_________________________________</w:t>
            </w:r>
          </w:p>
        </w:tc>
        <w:tc>
          <w:tcPr>
            <w:tcW w:w="2240" w:type="dxa"/>
            <w:vAlign w:val="bottom"/>
          </w:tcPr>
          <w:p>
            <w:pPr>
              <w:spacing w:after="0"/>
              <w:rPr>
                <w:sz w:val="18"/>
                <w:szCs w:val="18"/>
                <w:color w:val="auto"/>
              </w:rPr>
            </w:pPr>
          </w:p>
        </w:tc>
        <w:tc>
          <w:tcPr>
            <w:tcW w:w="2880" w:type="dxa"/>
            <w:vAlign w:val="bottom"/>
          </w:tcPr>
          <w:p>
            <w:pPr>
              <w:jc w:val="center"/>
              <w:ind w:left="1430"/>
              <w:spacing w:after="0"/>
              <w:rPr>
                <w:sz w:val="20"/>
                <w:szCs w:val="20"/>
                <w:color w:val="auto"/>
              </w:rPr>
            </w:pPr>
            <w:r>
              <w:rPr>
                <w:rFonts w:ascii="Arial" w:cs="Arial" w:eastAsia="Arial" w:hAnsi="Arial"/>
                <w:sz w:val="18"/>
                <w:szCs w:val="18"/>
                <w:color w:val="auto"/>
                <w:w w:val="90"/>
              </w:rPr>
              <w:t>___________</w:t>
            </w:r>
          </w:p>
        </w:tc>
      </w:tr>
      <w:tr>
        <w:trPr>
          <w:trHeight w:val="230"/>
        </w:trPr>
        <w:tc>
          <w:tcPr>
            <w:tcW w:w="4580" w:type="dxa"/>
            <w:vAlign w:val="bottom"/>
          </w:tcPr>
          <w:p>
            <w:pPr>
              <w:jc w:val="center"/>
              <w:ind w:right="1510"/>
              <w:spacing w:after="0"/>
              <w:rPr>
                <w:sz w:val="20"/>
                <w:szCs w:val="20"/>
                <w:color w:val="auto"/>
              </w:rPr>
            </w:pPr>
            <w:r>
              <w:rPr>
                <w:rFonts w:ascii="Arial" w:cs="Arial" w:eastAsia="Arial" w:hAnsi="Arial"/>
                <w:sz w:val="18"/>
                <w:szCs w:val="18"/>
                <w:color w:val="auto"/>
                <w:w w:val="92"/>
              </w:rPr>
              <w:t>(Address of principal executive offices)</w:t>
            </w:r>
          </w:p>
        </w:tc>
        <w:tc>
          <w:tcPr>
            <w:tcW w:w="2240" w:type="dxa"/>
            <w:vAlign w:val="bottom"/>
          </w:tcPr>
          <w:p>
            <w:pPr>
              <w:spacing w:after="0"/>
              <w:rPr>
                <w:sz w:val="20"/>
                <w:szCs w:val="20"/>
                <w:color w:val="auto"/>
              </w:rPr>
            </w:pPr>
          </w:p>
        </w:tc>
        <w:tc>
          <w:tcPr>
            <w:tcW w:w="288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r>
        <w:trPr>
          <w:trHeight w:val="432"/>
        </w:trPr>
        <w:tc>
          <w:tcPr>
            <w:tcW w:w="4580" w:type="dxa"/>
            <w:vAlign w:val="bottom"/>
          </w:tcPr>
          <w:p>
            <w:pPr>
              <w:ind w:left="740"/>
              <w:spacing w:after="0"/>
              <w:rPr>
                <w:sz w:val="20"/>
                <w:szCs w:val="20"/>
                <w:color w:val="auto"/>
              </w:rPr>
            </w:pPr>
            <w:r>
              <w:rPr>
                <w:rFonts w:ascii="Arial" w:cs="Arial" w:eastAsia="Arial" w:hAnsi="Arial"/>
                <w:sz w:val="18"/>
                <w:szCs w:val="18"/>
                <w:color w:val="auto"/>
                <w:w w:val="91"/>
              </w:rPr>
              <w:t>Registrant’s telephone number, including area code:</w:t>
            </w:r>
          </w:p>
        </w:tc>
        <w:tc>
          <w:tcPr>
            <w:tcW w:w="2240" w:type="dxa"/>
            <w:vAlign w:val="bottom"/>
          </w:tcPr>
          <w:p>
            <w:pPr>
              <w:spacing w:after="0"/>
              <w:rPr>
                <w:sz w:val="24"/>
                <w:szCs w:val="24"/>
                <w:color w:val="auto"/>
              </w:rPr>
            </w:pPr>
          </w:p>
        </w:tc>
        <w:tc>
          <w:tcPr>
            <w:tcW w:w="2880" w:type="dxa"/>
            <w:vAlign w:val="bottom"/>
          </w:tcPr>
          <w:p>
            <w:pPr>
              <w:jc w:val="right"/>
              <w:ind w:right="790"/>
              <w:spacing w:after="0"/>
              <w:rPr>
                <w:sz w:val="20"/>
                <w:szCs w:val="20"/>
                <w:color w:val="auto"/>
              </w:rPr>
            </w:pPr>
            <w:r>
              <w:rPr>
                <w:rFonts w:ascii="Arial" w:cs="Arial" w:eastAsia="Arial" w:hAnsi="Arial"/>
                <w:sz w:val="18"/>
                <w:szCs w:val="18"/>
                <w:color w:val="auto"/>
              </w:rPr>
              <w:t>858-848-8100</w:t>
            </w:r>
          </w:p>
        </w:tc>
      </w:tr>
      <w:tr>
        <w:trPr>
          <w:trHeight w:val="432"/>
        </w:trPr>
        <w:tc>
          <w:tcPr>
            <w:tcW w:w="4580" w:type="dxa"/>
            <w:vAlign w:val="bottom"/>
          </w:tcPr>
          <w:p>
            <w:pPr>
              <w:spacing w:after="0"/>
              <w:rPr>
                <w:sz w:val="24"/>
                <w:szCs w:val="24"/>
                <w:color w:val="auto"/>
              </w:rPr>
            </w:pPr>
          </w:p>
        </w:tc>
        <w:tc>
          <w:tcPr>
            <w:tcW w:w="2240" w:type="dxa"/>
            <w:vAlign w:val="bottom"/>
          </w:tcPr>
          <w:p>
            <w:pPr>
              <w:jc w:val="center"/>
              <w:ind w:right="810"/>
              <w:spacing w:after="0"/>
              <w:rPr>
                <w:sz w:val="20"/>
                <w:szCs w:val="20"/>
                <w:color w:val="auto"/>
              </w:rPr>
            </w:pPr>
            <w:r>
              <w:rPr>
                <w:rFonts w:ascii="Arial" w:cs="Arial" w:eastAsia="Arial" w:hAnsi="Arial"/>
                <w:sz w:val="18"/>
                <w:szCs w:val="18"/>
                <w:color w:val="auto"/>
                <w:w w:val="94"/>
              </w:rPr>
              <w:t>Not Applicable</w:t>
            </w:r>
          </w:p>
        </w:tc>
        <w:tc>
          <w:tcPr>
            <w:tcW w:w="2880" w:type="dxa"/>
            <w:vAlign w:val="bottom"/>
          </w:tcPr>
          <w:p>
            <w:pPr>
              <w:spacing w:after="0"/>
              <w:rPr>
                <w:sz w:val="24"/>
                <w:szCs w:val="24"/>
                <w:color w:val="auto"/>
              </w:rPr>
            </w:pPr>
          </w:p>
        </w:tc>
      </w:tr>
    </w:tbl>
    <w:p>
      <w:pPr>
        <w:ind w:left="364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Pursuant 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dated as of May 7, 2018 among Cohu,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Cohu</w:t>
      </w:r>
      <w:r>
        <w:rPr>
          <w:rFonts w:ascii="Arial" w:cs="Arial" w:eastAsia="Arial" w:hAnsi="Arial"/>
          <w:sz w:val="17"/>
          <w:szCs w:val="17"/>
          <w:color w:val="auto"/>
        </w:rPr>
        <w:t>”), Xcerra Corporation, a Massachusetts corporation (“</w:t>
      </w:r>
      <w:r>
        <w:rPr>
          <w:rFonts w:ascii="Arial" w:cs="Arial" w:eastAsia="Arial" w:hAnsi="Arial"/>
          <w:sz w:val="17"/>
          <w:szCs w:val="17"/>
          <w:u w:val="single" w:color="auto"/>
          <w:color w:val="auto"/>
        </w:rPr>
        <w:t>Xcerra</w:t>
      </w:r>
      <w:r>
        <w:rPr>
          <w:rFonts w:ascii="Arial" w:cs="Arial" w:eastAsia="Arial" w:hAnsi="Arial"/>
          <w:sz w:val="17"/>
          <w:szCs w:val="17"/>
          <w:color w:val="auto"/>
        </w:rPr>
        <w:t>”), and Xavier Acquisition Corporation, a Delaware corporation and a wholly owned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subsidiary of Cohu (“</w:t>
      </w:r>
      <w:r>
        <w:rPr>
          <w:rFonts w:ascii="Arial" w:cs="Arial" w:eastAsia="Arial" w:hAnsi="Arial"/>
          <w:sz w:val="17"/>
          <w:szCs w:val="17"/>
          <w:u w:val="single" w:color="auto"/>
          <w:color w:val="auto"/>
        </w:rPr>
        <w:t>Merger Sub</w:t>
      </w:r>
      <w:r>
        <w:rPr>
          <w:rFonts w:ascii="Arial" w:cs="Arial" w:eastAsia="Arial" w:hAnsi="Arial"/>
          <w:sz w:val="17"/>
          <w:szCs w:val="17"/>
          <w:color w:val="auto"/>
        </w:rPr>
        <w:t>”), Merger Sub merged with and into Xcerra (the “</w:t>
      </w:r>
      <w:r>
        <w:rPr>
          <w:rFonts w:ascii="Arial" w:cs="Arial" w:eastAsia="Arial" w:hAnsi="Arial"/>
          <w:sz w:val="17"/>
          <w:szCs w:val="17"/>
          <w:u w:val="single" w:color="auto"/>
          <w:color w:val="auto"/>
        </w:rPr>
        <w:t>Merger</w:t>
      </w:r>
      <w:r>
        <w:rPr>
          <w:rFonts w:ascii="Arial" w:cs="Arial" w:eastAsia="Arial" w:hAnsi="Arial"/>
          <w:sz w:val="17"/>
          <w:szCs w:val="17"/>
          <w:color w:val="auto"/>
        </w:rPr>
        <w:t>”), with Xcerra surviving such merger as a wholly owned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subsidiary of Cohu. The Merger became effective on October 1, 2018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On October 1, 2018, Cohu entered into a Credit and Guaranty Agreement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with Cohu, as borrower, certain of its subsidiaries as guarantor subsidiaries, the financial institutions party thereto from time to time as lenders, and Deutsche Bank AG New York Branch, as administrative agent and collateral agent, providing for a $350.0 million secured term loan facility (the “</w:t>
      </w:r>
      <w:r>
        <w:rPr>
          <w:rFonts w:ascii="Arial" w:cs="Arial" w:eastAsia="Arial" w:hAnsi="Arial"/>
          <w:sz w:val="16"/>
          <w:szCs w:val="16"/>
          <w:u w:val="single" w:color="auto"/>
          <w:color w:val="auto"/>
        </w:rPr>
        <w:t>Credit Facility</w:t>
      </w:r>
      <w:r>
        <w:rPr>
          <w:rFonts w:ascii="Arial" w:cs="Arial" w:eastAsia="Arial" w:hAnsi="Arial"/>
          <w:sz w:val="16"/>
          <w:szCs w:val="16"/>
          <w:color w:val="auto"/>
        </w:rPr>
        <w:t>”). Cohu’s obligations under the Credit Facility are (and will be) guaranteed by certain of its existing and subsequently acquired or formed material wholly-owned domestic subsidiaries (subject to certain exceptions and exclusions) guarantee the obligations under the Credit Facility (the “</w:t>
      </w:r>
      <w:r>
        <w:rPr>
          <w:rFonts w:ascii="Arial" w:cs="Arial" w:eastAsia="Arial" w:hAnsi="Arial"/>
          <w:sz w:val="16"/>
          <w:szCs w:val="16"/>
          <w:u w:val="single" w:color="auto"/>
          <w:color w:val="auto"/>
        </w:rPr>
        <w:t>Guarantors</w:t>
      </w:r>
      <w:r>
        <w:rPr>
          <w:rFonts w:ascii="Arial" w:cs="Arial" w:eastAsia="Arial" w:hAnsi="Arial"/>
          <w:sz w:val="16"/>
          <w:szCs w:val="16"/>
          <w:color w:val="auto"/>
        </w:rPr>
        <w:t>”). The Credit Facility is secured by a security interest in substantially all existing and after-acquired assets and property (subject to certain exceptions and exclusions) of Cohu and the Guarantors.</w:t>
      </w:r>
    </w:p>
    <w:p>
      <w:pPr>
        <w:spacing w:after="0" w:line="16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On October 1, 2018, Cohu borrowed the entire amount of the Credit Facility. The proceeds of the Credit Facility were used, along with cash and cash equivalents on hand of Cohu and Xcerra, to pay the Cash Consideration (as defined below) and to pay certain fees and expenses related to the Merger and the Credit Agreement.</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Loans under the Credit Facility amortize in equal quarterly installments equal to 0.25% of the original principal amount thereof, with the balance payable at maturity. Subject to certain exceptions and thresholds, the Credit Facility will also require mandatory prepayments in connection with (i) excess cash flow, (ii) non-ordinary course asset sales and other dispositions and (iii) the issuance of certain debt obligations, among other things. Cohu has the right to prepay loans under the Credit Agreement in whole or in part at any time, without premium or penalty other than a 1.00% prepayment fee in connection with certain “repricing” transactions on or before the sixth month anniversary of the closing date of the Credit Agreement. Amounts repaid in respect of loans under the Credit Facility may not be reborrowed. All outstanding principal and interest in respect of the Credit Facility must be repaid on or before October 1, 2025.</w:t>
      </w:r>
    </w:p>
    <w:p>
      <w:pPr>
        <w:spacing w:after="0" w:line="189"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The loans under the Term Loan Facility bear interest, at Cohu’s option, at a floating annual rate equal to either the LIBOR plus a margin of 3.00% or base rate plus a margin of 2.00%. While a payment or bankruptcy event of default exists, Cohu is obligated to pay a per annum default rate of interest of</w:t>
      </w:r>
    </w:p>
    <w:p>
      <w:pPr>
        <w:ind w:right="240"/>
        <w:spacing w:after="0" w:line="261" w:lineRule="auto"/>
        <w:rPr>
          <w:sz w:val="20"/>
          <w:szCs w:val="20"/>
          <w:color w:val="auto"/>
        </w:rPr>
      </w:pPr>
      <w:r>
        <w:rPr>
          <w:rFonts w:ascii="Arial" w:cs="Arial" w:eastAsia="Arial" w:hAnsi="Arial"/>
          <w:sz w:val="18"/>
          <w:szCs w:val="18"/>
          <w:color w:val="auto"/>
        </w:rPr>
        <w:t>2.00% in excess of the interest rate otherwise payable with respect to the overdue principal amount of any loans outstanding and overdue interest payments and other overdue fees and amounts.</w:t>
      </w:r>
    </w:p>
    <w:p>
      <w:pPr>
        <w:spacing w:after="0" w:line="184"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The Credit Agreement has incremental facility capacity in an aggregate amount of the greater of $145 million and 100% of consolidated EBITDA, with an additional $35 million available for revolving facilities, subject to certain conditions. Once Cohu’s first lien net leverage ratio is below a certain threshold, incremental facilities may be utilized in an unlimited amount.</w:t>
      </w:r>
    </w:p>
    <w:p>
      <w:pPr>
        <w:spacing w:after="0" w:line="181" w:lineRule="exact"/>
        <w:rPr>
          <w:sz w:val="20"/>
          <w:szCs w:val="20"/>
          <w:color w:val="auto"/>
        </w:rPr>
      </w:pPr>
    </w:p>
    <w:p>
      <w:pPr>
        <w:ind w:right="620" w:firstLine="486"/>
        <w:spacing w:after="0" w:line="312" w:lineRule="auto"/>
        <w:rPr>
          <w:sz w:val="20"/>
          <w:szCs w:val="20"/>
          <w:color w:val="auto"/>
        </w:rPr>
      </w:pPr>
      <w:r>
        <w:rPr>
          <w:rFonts w:ascii="Arial" w:cs="Arial" w:eastAsia="Arial" w:hAnsi="Arial"/>
          <w:sz w:val="16"/>
          <w:szCs w:val="16"/>
          <w:color w:val="auto"/>
        </w:rPr>
        <w:t>The Credit Agreement contains certain customary affirmative and negative covenants, including covenants that limit the ability of Cohu and its subsidiaries to, among other things, grant liens, incur debt, dispose of assets, make loans and investments, make acquisitions, make certain restricted payments, merge or consolidate or change their business, in each case subject to customary exceptions for a credit facility of this size and type.</w:t>
      </w:r>
    </w:p>
    <w:p>
      <w:pPr>
        <w:spacing w:after="0" w:line="14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Credit Agreement includes customary events of default that include, among other things, non-payment of principal, interest or fees, inaccuracy of representations and warranties, breach of covenants, cross-default to certain material indebtedness, bankruptcy and insolvency and change of control. Upon the occurrence and during the continuance of an event of default, the lenders may declare all outstanding principal and accrued but unpaid interest under the Credit Agreement immediately due and payable and may exercise the other rights and remedies provided under the Credit Agreement and related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right="440" w:firstLine="486"/>
        <w:spacing w:after="0" w:line="342" w:lineRule="auto"/>
        <w:rPr>
          <w:sz w:val="20"/>
          <w:szCs w:val="20"/>
          <w:color w:val="auto"/>
        </w:rPr>
      </w:pPr>
      <w:r>
        <w:rPr>
          <w:rFonts w:ascii="Arial" w:cs="Arial" w:eastAsia="Arial" w:hAnsi="Arial"/>
          <w:sz w:val="16"/>
          <w:szCs w:val="16"/>
          <w:color w:val="auto"/>
        </w:rPr>
        <w:t>The description of the Credit Agreement contained herein is not intended to be complete and is qualified in its entirety by reference to each of the Credit Agreement and the Pledge and Security Agreement, copies of which will be filed as Exhibits to Cohu’s next quarterly report on Form 10-Q.</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As described above, on October 1, 2018, Merger Sub merged with and into Xcerra. As a result of the Merger, Xcerra became a wholly owned subsidiary of Cohu.</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At the Effective Time, each share of Xcerra’s common stock, par value $0.05 per share (“</w:t>
      </w:r>
      <w:r>
        <w:rPr>
          <w:rFonts w:ascii="Arial" w:cs="Arial" w:eastAsia="Arial" w:hAnsi="Arial"/>
          <w:sz w:val="18"/>
          <w:szCs w:val="18"/>
          <w:u w:val="single" w:color="auto"/>
          <w:color w:val="auto"/>
        </w:rPr>
        <w:t>Xcerra Common Stock</w:t>
      </w:r>
      <w:r>
        <w:rPr>
          <w:rFonts w:ascii="Arial" w:cs="Arial" w:eastAsia="Arial" w:hAnsi="Arial"/>
          <w:sz w:val="18"/>
          <w:szCs w:val="18"/>
          <w:color w:val="auto"/>
        </w:rPr>
        <w:t>”), issued and outstanding immediately prior to the Effective Time other than dissenting shares and shares held by Cohu, Merger Sub, Xcerra or any direct or indirect wholly owned subsidiary of Cohu or Xcerra was converted into the right to receive (i) $9.00 in cash, without interest, (the “</w:t>
      </w:r>
      <w:r>
        <w:rPr>
          <w:rFonts w:ascii="Arial" w:cs="Arial" w:eastAsia="Arial" w:hAnsi="Arial"/>
          <w:sz w:val="18"/>
          <w:szCs w:val="18"/>
          <w:u w:val="single" w:color="auto"/>
          <w:color w:val="auto"/>
        </w:rPr>
        <w:t>Cash Consideration</w:t>
      </w:r>
      <w:r>
        <w:rPr>
          <w:rFonts w:ascii="Arial" w:cs="Arial" w:eastAsia="Arial" w:hAnsi="Arial"/>
          <w:sz w:val="18"/>
          <w:szCs w:val="18"/>
          <w:color w:val="auto"/>
        </w:rPr>
        <w:t>”) and (ii) 0.2109 of a validly issued, fully paid and nonassessable share of common stock of Cohu, par value $1.00 per share (“</w:t>
      </w:r>
      <w:r>
        <w:rPr>
          <w:rFonts w:ascii="Arial" w:cs="Arial" w:eastAsia="Arial" w:hAnsi="Arial"/>
          <w:sz w:val="18"/>
          <w:szCs w:val="18"/>
          <w:u w:val="single" w:color="auto"/>
          <w:color w:val="auto"/>
        </w:rPr>
        <w:t>Cohu Common Stock</w:t>
      </w:r>
      <w:r>
        <w:rPr>
          <w:rFonts w:ascii="Arial" w:cs="Arial" w:eastAsia="Arial" w:hAnsi="Arial"/>
          <w:sz w:val="18"/>
          <w:szCs w:val="18"/>
          <w:color w:val="auto"/>
        </w:rPr>
        <w:t>”), (the “</w:t>
      </w:r>
      <w:r>
        <w:rPr>
          <w:rFonts w:ascii="Arial" w:cs="Arial" w:eastAsia="Arial" w:hAnsi="Arial"/>
          <w:sz w:val="18"/>
          <w:szCs w:val="18"/>
          <w:u w:val="single" w:color="auto"/>
          <w:color w:val="auto"/>
        </w:rPr>
        <w:t>Stock Consideration</w:t>
      </w:r>
      <w:r>
        <w:rPr>
          <w:rFonts w:ascii="Arial" w:cs="Arial" w:eastAsia="Arial" w:hAnsi="Arial"/>
          <w:sz w:val="18"/>
          <w:szCs w:val="18"/>
          <w:color w:val="auto"/>
        </w:rPr>
        <w:t>” and, together with the Cash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No fractional shares of Cohu Common Stock will be issued in the Merger, and Xcerra’s former stockholders will receive an amount of cash in lieu of fractional shares, if any, of Cohu Common Stock calculated in accordance with Section 2.11 of the Merger Agreement. The sources of funds used in connection with the merger include cash and cash equivalents on hand of Cohu and Xcerra and the proceeds from the Credit Facility.</w:t>
      </w:r>
    </w:p>
    <w:p>
      <w:pPr>
        <w:spacing w:after="0" w:line="192"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The foregoing description of the Merger does not purport to be complete and is subject to, and qualified in its entirety, by reference to the Merger Agreement, which was attached as Exhibit 2.1 to Cohu’s Current Report on Form 8-K filed on May 8, 2018, and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set forth under Item 1.01 above regarding the Credit Facility is incorporated herein by reference.</w:t>
      </w:r>
    </w:p>
    <w:p>
      <w:pPr>
        <w:spacing w:after="0" w:line="221" w:lineRule="exact"/>
        <w:rPr>
          <w:sz w:val="20"/>
          <w:szCs w:val="20"/>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 Appointment of Certain Officers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Christopher Bohrson has been appointed Vice President and General Manager, Test Handler Group. Mr. Bohrson’s responsibilities have expanded to include all Test Handler businesses: Pick and Place, Turret and Inspection, and Gravity, Test in Strip and Sensors. Ian von Fellenberg has been appointed Vice President Integration. Mr. von Fellenberg was previously Vice President, Analog Test Handlers, and will act as interim General Manager of the Turret and Inspection handler business as well as overseeing merger integration activities associated with the Xcerra acquisition. These changes were effective October 1, 2018, and there were no changes to either executive’s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 Appointment of New Directors</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August 14, 2018, Mr. Jim Donahue, Chairman of the Cohu board of directors (the “</w:t>
      </w:r>
      <w:r>
        <w:rPr>
          <w:rFonts w:ascii="Arial" w:cs="Arial" w:eastAsia="Arial" w:hAnsi="Arial"/>
          <w:sz w:val="18"/>
          <w:szCs w:val="18"/>
          <w:u w:val="single" w:color="auto"/>
          <w:color w:val="auto"/>
        </w:rPr>
        <w:t>Cohu Board</w:t>
      </w:r>
      <w:r>
        <w:rPr>
          <w:rFonts w:ascii="Arial" w:cs="Arial" w:eastAsia="Arial" w:hAnsi="Arial"/>
          <w:sz w:val="18"/>
          <w:szCs w:val="18"/>
          <w:color w:val="auto"/>
        </w:rPr>
        <w:t>”) formally invited David G. Tacelli and Jorge L. Titinger to join the Cohu Board following the Effective Time. As of the Effective Time, each of Messrs. Tacelli and Titinger accepted such invitation and the Cohu Board appointed Mr. Tacelli to serve as a Class 3 member of the Cohu Board until Cohu’s 2019 annual meeting of stockholders or until the earlier of his death, resignation or removal, and Mr. Titinger was appointed to serve as a Class 2 member of the Cohu Board until Cohu’s 2021 annual meeting of stockholders or until the earlier of his death, resignation or removal. Mr. Titinger was also appointed to the Audit and Compensation Committees. Messrs. Tacelli and Titinger were appointed pursuant to the terms of the Merger Agreement, which required Cohu to take action necessary to cause two individuals who were members of Xcerra’s board of directors immediately prior to the Effective Time to become members of the Cohu Board immediately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ind w:right="340" w:firstLine="486"/>
        <w:spacing w:after="0" w:line="342" w:lineRule="auto"/>
        <w:rPr>
          <w:sz w:val="20"/>
          <w:szCs w:val="20"/>
          <w:color w:val="auto"/>
        </w:rPr>
      </w:pPr>
      <w:r>
        <w:rPr>
          <w:rFonts w:ascii="Arial" w:cs="Arial" w:eastAsia="Arial" w:hAnsi="Arial"/>
          <w:sz w:val="16"/>
          <w:szCs w:val="16"/>
          <w:color w:val="auto"/>
        </w:rPr>
        <w:t>Messrs. Tacelli and Titinger will be compensated in accordance with the director compensation program as described in Cohu’s definitive Proxy Statement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April 3, 2018, the description of which is incorporated herein by reference.</w:t>
      </w:r>
    </w:p>
    <w:p>
      <w:pPr>
        <w:spacing w:after="0" w:line="3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On October 1, 2018, Cohu issued a press release announcing the completion of the Merger and the appointment of Messrs. Tacelli and Titinger to the Cohu Board. A copy of such press release is furnished herewith as Exhibit 99.1.</w:t>
      </w:r>
    </w:p>
    <w:p>
      <w:pPr>
        <w:spacing w:after="0" w:line="170"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and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be subject to the liabilities of that section, nor shall it be deemed to be incorporated by reference in any filing under the Securities Act of 1933, as amended, or the Exchange Act.</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 Acquired</w:t>
      </w:r>
      <w:r>
        <w:rPr>
          <w:rFonts w:ascii="Arial" w:cs="Arial" w:eastAsia="Arial" w:hAnsi="Arial"/>
          <w:sz w:val="18"/>
          <w:szCs w:val="18"/>
          <w:color w:val="auto"/>
        </w:rPr>
        <w: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financial statements of Xcerra required by this Item are not included in this Current Report on Form 8-K. Such financial statements will be filed no later than 71 calendar days after the date that this Current Report on Form 8-K is required to be filed.</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r>
        <w:rPr>
          <w:rFonts w:ascii="Arial" w:cs="Arial" w:eastAsia="Arial" w:hAnsi="Arial"/>
          <w:sz w:val="18"/>
          <w:szCs w:val="18"/>
          <w:color w:val="auto"/>
        </w:rPr>
        <w:t>.</w:t>
      </w:r>
    </w:p>
    <w:p>
      <w:pPr>
        <w:spacing w:after="0" w:line="225" w:lineRule="exact"/>
        <w:rPr>
          <w:sz w:val="20"/>
          <w:szCs w:val="20"/>
          <w:color w:val="auto"/>
        </w:rPr>
      </w:pPr>
    </w:p>
    <w:p>
      <w:pPr>
        <w:ind w:right="680" w:firstLine="486"/>
        <w:spacing w:after="0" w:line="308" w:lineRule="auto"/>
        <w:rPr>
          <w:sz w:val="20"/>
          <w:szCs w:val="20"/>
          <w:color w:val="auto"/>
        </w:rPr>
      </w:pPr>
      <w:r>
        <w:rPr>
          <w:rFonts w:ascii="Arial" w:cs="Arial" w:eastAsia="Arial" w:hAnsi="Arial"/>
          <w:sz w:val="17"/>
          <w:szCs w:val="17"/>
          <w:color w:val="auto"/>
        </w:rPr>
        <w:t>Pro forma financial information relative to the acquired business is not included in this Current Report on Form 8-K. Such pro forma financial information will be filed no later than 71 calendar days after the date that this Current Report on Form 8-K is required to be filed.</w:t>
      </w:r>
    </w:p>
    <w:p>
      <w:pPr>
        <w:spacing w:after="0" w:line="14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exhibits to this report are listed in Item 8.01 above and in the Index of Exhibits that precedes the signature line.</w:t>
      </w:r>
    </w:p>
    <w:p>
      <w:pPr>
        <w:spacing w:after="0" w:line="225"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Pursuant to the rules and regulations of the SEC, Cohu has filed certain agreements as exhibits to this Current Report on Form 8-K. These agreements may contain representations and warranties by the parties. The representations, warranties and covenants of the parties contained in these agreements have been made solely for the benefit of the other party or parties to such agreements. In addition, such representations, warranties and covenants (i) have been made only for purposes of such agreements; (ii) may have been qualified by certain matters specifically disclosed in any reports filed by the other party or parties to such agreement with the SEC and confidential disclosures made to the other party or parties in connection with the negotiations of such agreements;</w:t>
      </w:r>
    </w:p>
    <w:p>
      <w:pPr>
        <w:spacing w:after="0" w:line="2" w:lineRule="exact"/>
        <w:rPr>
          <w:sz w:val="20"/>
          <w:szCs w:val="20"/>
          <w:color w:val="auto"/>
        </w:rPr>
      </w:pPr>
    </w:p>
    <w:p>
      <w:pPr>
        <w:ind w:right="20" w:firstLine="8"/>
        <w:spacing w:after="0" w:line="286"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are subject to materiality and other qualifications contained in such agreements that may differ from what may be viewed as material by investors; (iv) were made only as of the date of such agreement or agreements or such other date as is specified in such agreements; and (v) have been included in such agreements for the purpose of allocating risk between the contracting parties rather than establishing matters as fact. Accordingly, the agreements are included with this filing only to provide investors with information regarding the terms of the agreements, and not to provide investors with any other factual information regarding Cohu and its business or Xcerra and its business. Investors should not rely on the representations, warranties and covenants or any descriptions thereof as characterizations of the actual state of facts or condition of Cohu, Xcerra or any of their respective subsidiaries or affiliates. Moreover, information concerning the subject matter of the representations and warranties may change after the date of the respective agreement or agreements, which subsequent information may or may not be fully reflected in Cohu’s or Xcerra’s public disclosures. Any agreement should not be read alone, but should instead be read in conjunction with the other information regarding Cohu and Xcerra that is or will be contained in, or incorporated by reference into, the Forms 10-K, Forms 10-Q and Forms 8-K and other documents that Cohu or Xcerra files or has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34"/>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160" w:type="dxa"/>
            <w:vAlign w:val="bottom"/>
            <w:tcBorders>
              <w:bottom w:val="single" w:sz="8" w:color="0000EE"/>
            </w:tcBorders>
            <w:gridSpan w:val="3"/>
          </w:tcPr>
          <w:p>
            <w:pPr>
              <w:spacing w:after="0"/>
              <w:rPr>
                <w:rFonts w:ascii="Arial" w:cs="Arial" w:eastAsia="Arial" w:hAnsi="Arial"/>
                <w:sz w:val="18"/>
                <w:szCs w:val="18"/>
                <w:color w:val="0000EE"/>
                <w:w w:val="91"/>
              </w:rPr>
            </w:pPr>
            <w:hyperlink r:id="rId12">
              <w:r>
                <w:rPr>
                  <w:rFonts w:ascii="Arial" w:cs="Arial" w:eastAsia="Arial" w:hAnsi="Arial"/>
                  <w:sz w:val="18"/>
                  <w:szCs w:val="18"/>
                  <w:color w:val="0000EE"/>
                  <w:w w:val="91"/>
                </w:rPr>
                <w:t>Agreement and Plan of Merger by and among Cohu, Inc., Xavier Acquisition Corporation, and Xcerra Corporation, dated as of May 7, 2018,</w:t>
              </w:r>
            </w:hyperlink>
          </w:p>
        </w:tc>
      </w:tr>
      <w:tr>
        <w:trPr>
          <w:trHeight w:val="19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
              <w:r>
                <w:rPr>
                  <w:rFonts w:ascii="Arial" w:cs="Arial" w:eastAsia="Arial" w:hAnsi="Arial"/>
                  <w:sz w:val="18"/>
                  <w:szCs w:val="18"/>
                  <w:color w:val="0000EE"/>
                  <w:w w:val="91"/>
                </w:rPr>
                <w:t>incorporated herein by reference to Exhibit 2.1 from the Cohu, Inc. Form 8-K filed with the Securities and Exchange Commission on May 8,</w:t>
              </w:r>
            </w:hyperlink>
          </w:p>
        </w:tc>
      </w:tr>
      <w:tr>
        <w:trPr>
          <w:trHeight w:val="19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2">
              <w:r>
                <w:rPr>
                  <w:rFonts w:ascii="Arial" w:cs="Arial" w:eastAsia="Arial" w:hAnsi="Arial"/>
                  <w:sz w:val="18"/>
                  <w:szCs w:val="18"/>
                  <w:color w:val="0000EE"/>
                  <w:w w:val="84"/>
                </w:rPr>
                <w:t>2018</w:t>
              </w:r>
            </w:hyperlink>
          </w:p>
        </w:tc>
        <w:tc>
          <w:tcPr>
            <w:tcW w:w="33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0000EE"/>
              </w:rPr>
              <w:t>Press Release of Cohu, Inc., dated October 1, 2018</w:t>
            </w:r>
          </w:p>
        </w:tc>
      </w:tr>
      <w:tr>
        <w:trPr>
          <w:trHeight w:val="595"/>
        </w:trPr>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Date: October 1, 2018</w:t>
            </w:r>
          </w:p>
        </w:tc>
        <w:tc>
          <w:tcPr>
            <w:tcW w:w="8060" w:type="dxa"/>
            <w:vAlign w:val="bottom"/>
            <w:gridSpan w:val="2"/>
          </w:tcPr>
          <w:p>
            <w:pPr>
              <w:ind w:left="1740"/>
              <w:spacing w:after="0"/>
              <w:rPr>
                <w:sz w:val="20"/>
                <w:szCs w:val="20"/>
                <w:color w:val="auto"/>
              </w:rPr>
            </w:pPr>
            <w:r>
              <w:rPr>
                <w:rFonts w:ascii="Arial" w:cs="Arial" w:eastAsia="Arial" w:hAnsi="Arial"/>
                <w:sz w:val="18"/>
                <w:szCs w:val="18"/>
                <w:color w:val="auto"/>
              </w:rPr>
              <w:t>Cohu, Inc.</w:t>
            </w:r>
          </w:p>
        </w:tc>
      </w:tr>
      <w:tr>
        <w:trPr>
          <w:trHeight w:val="216"/>
        </w:trPr>
        <w:tc>
          <w:tcPr>
            <w:tcW w:w="3360" w:type="dxa"/>
            <w:vAlign w:val="bottom"/>
          </w:tcPr>
          <w:p>
            <w:pPr>
              <w:spacing w:after="0"/>
              <w:rPr>
                <w:sz w:val="18"/>
                <w:szCs w:val="18"/>
                <w:color w:val="auto"/>
              </w:rPr>
            </w:pPr>
          </w:p>
        </w:tc>
        <w:tc>
          <w:tcPr>
            <w:tcW w:w="8060" w:type="dxa"/>
            <w:vAlign w:val="bottom"/>
            <w:gridSpan w:val="2"/>
          </w:tcPr>
          <w:p>
            <w:pPr>
              <w:ind w:left="1740"/>
              <w:spacing w:after="0"/>
              <w:rPr>
                <w:sz w:val="20"/>
                <w:szCs w:val="20"/>
                <w:color w:val="auto"/>
              </w:rPr>
            </w:pPr>
            <w:r>
              <w:rPr>
                <w:rFonts w:ascii="Arial" w:cs="Arial" w:eastAsia="Arial" w:hAnsi="Arial"/>
                <w:sz w:val="18"/>
                <w:szCs w:val="18"/>
                <w:color w:val="auto"/>
              </w:rPr>
              <w:t>By:</w:t>
            </w:r>
          </w:p>
        </w:tc>
      </w:tr>
      <w:tr>
        <w:trPr>
          <w:trHeight w:val="230"/>
        </w:trPr>
        <w:tc>
          <w:tcPr>
            <w:tcW w:w="3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r>
      <w:tr>
        <w:trPr>
          <w:trHeight w:val="195"/>
        </w:trPr>
        <w:tc>
          <w:tcPr>
            <w:tcW w:w="3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60" w:type="dxa"/>
            <w:vAlign w:val="bottom"/>
          </w:tcPr>
          <w:p>
            <w:pPr>
              <w:spacing w:after="0" w:line="195" w:lineRule="exact"/>
              <w:rPr>
                <w:sz w:val="20"/>
                <w:szCs w:val="20"/>
                <w:color w:val="auto"/>
              </w:rPr>
            </w:pPr>
            <w:r>
              <w:rPr>
                <w:rFonts w:ascii="Arial" w:cs="Arial" w:eastAsia="Arial" w:hAnsi="Arial"/>
                <w:sz w:val="18"/>
                <w:szCs w:val="18"/>
                <w:color w:val="auto"/>
              </w:rPr>
              <w:t>Name:Jeffrey D. Jones</w:t>
            </w:r>
          </w:p>
        </w:tc>
      </w:tr>
      <w:tr>
        <w:trPr>
          <w:trHeight w:val="230"/>
        </w:trPr>
        <w:tc>
          <w:tcPr>
            <w:tcW w:w="3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Title: VP Finance and Chief Financial Officer</w:t>
            </w:r>
          </w:p>
        </w:tc>
      </w:tr>
    </w:tbl>
    <w:p>
      <w:pPr>
        <w:sectPr>
          <w:pgSz w:w="11900" w:h="16838" w:orient="portrait"/>
          <w:cols w:equalWidth="0" w:num="1">
            <w:col w:w="11420"/>
          </w:cols>
          <w:pgMar w:left="240" w:top="5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154940</wp:posOffset>
            </wp:positionV>
            <wp:extent cx="3147060" cy="1457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14706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Completes Acquisition of Xcerra</w:t>
      </w:r>
    </w:p>
    <w:p>
      <w:pPr>
        <w:spacing w:after="0" w:line="200" w:lineRule="exact"/>
        <w:rPr>
          <w:sz w:val="20"/>
          <w:szCs w:val="20"/>
          <w:color w:val="auto"/>
        </w:rPr>
      </w:pPr>
    </w:p>
    <w:p>
      <w:pPr>
        <w:spacing w:after="0" w:line="24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POWAY, Calif., October 1, 2018 -- Cohu, Inc. (NASDAQ: COHU) today announced the completion of its acquisition of Xcerra Corporation. The combination creates a global leader in back-end semiconductor equipment and services, and printed circuit board test with a breadth of products that are unmatched in the industry.</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acquisition of Xcerra accelerates our strategy to diversify our product offerings and customer base, expanding Cohu’s addressable market to approximately $5 billion across semiconductor test and handling equipment, thermal subsystems, test contacting, vision inspection, MEMS and PCB test. This combination also further strengthens our ability to fully capitalize on the growth opportunities in our key target markets of automotive, industrial, IoT and communications,” said Luis Müller, Cohu's President and CEO. “Although softening in the mobility market combined with current geopolitical uncertainty are creating near-term headwinds, we remain confident about the long-term growth opportunities in these markets as well as our ability to deliver on our synergy goals and to profitably grow Cohu in the years ahead,” added Müller.</w:t>
      </w:r>
    </w:p>
    <w:p>
      <w:pPr>
        <w:spacing w:after="0" w:line="17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transaction is expected to be immediately accretive to non-GAAP earnings per share and generate over $20 million of annual run-rate cost synergies within 2 years of closing, excluding stock-based compensation and other charges. Cohu expects to achieve an additional $20 million of annual run-rate synergies over the three to five-year mid-term from products and facilities consolidation.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conference call to discuss Cohu’s third quarter financial results, the go-forward strategy and fourth quarter guidance for the combined company will be held in early November.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Two New Directors to Cohu’s Board of Directors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Cohu also announced that David G. Tacelli and Jorge L. Titinger have been appointed to the Cohu Board of Directors, with Mr. Tacelli to serve as a Class III Director and Mr. Titinger to serve as a Class II Director, effective immediately in conjunction with the completed acquisition.</w:t>
      </w:r>
    </w:p>
    <w:p>
      <w:pPr>
        <w:spacing w:after="0" w:line="14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are pleased to welcome Dave Tacelli and Jorge Titinger to our Board," said James Donahue, Cohu’s Chairman of the Board. "Their extensive semiconductor equipment expertise will add significant value to our Board of Directors."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Tacelli served as Chief Executive Officer and as a director of Xcerra since November 2005. He also served as President of Xcerra since May 2002 and served as Chief Operating Officer from May 2002 to November 2005. Prior to that, he was Executive Vice President from December 1999 to May 2002. Prior to that, from 1990 to 2002, Mr. Tacelli served in various management positions with Xcerra. Prior to joining Xcerra, Mr. Tacelli was employed by Texas Instruments for seven years in various management positions.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Mr. Titinger served as a director of Xcerra since August 2012. Mr. Titinger currently serves as a director of CalAmp Corp, a position he has held since June 2015; and as a director of Hercules Capital, Inc., a position he has held since October 2017. From February 2012 to November 2016, he was President and Chief Executive Officer of Silicon Graphics International Corp. (“SGI”). After SGI was acquired by Hewlett Packard Enterprise, Mr. Titinger founded Titinger Consulting, a firm focused on providing strategy, corporate transformation, and culture advice to its clients. Mr. Titinger also served as President and Chief Executive Officer of Verigy Ltd. (“Verigy”) from January 2011 until October 2011, as its President and Chief Operating Officer from July 2010 to January 2011, and as its Chief Operating Officer from June 2008 to July 2010. Prior to his service at Verigy, Mr. Titinger held executive positions with FormFactor, Inc. from November 2007 to June 2008, and KLA-Tencor Corporation from December 2002 to November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With the addition of Tacelli and Titinger, the Cohu Board of Directors expands to eight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Additional Transaction Details:</w:t>
      </w:r>
    </w:p>
    <w:p>
      <w:pPr>
        <w:spacing w:after="0" w:line="2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Cohu and Xcerra shareholders previously voted to approve proposals related to the acquisition on August 30, 2018. At the effective time of the acquisition, the outstanding shares of Xcerra common stock were each cancelled and converted into the right to receive $9.00 in cash, without interest, and 0.2109 of a share of Cohu common stock. The total consideration payable on the cancelled shares consists of approximately 11.8 million shares of Cohu common stock and approximately $503 million in cash to former Xcerra shareholders. As a result of the completed acquisition, Xcerra shares will cease to be traded on the NASDAQ Global Market effective today, October 1, 2018.</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acquisition, Cohu and certain of its subsidiaries entered into a Credit and Guaranty Agreement with Deutsche Bank AG New York Branch, and other lenders that may from time to time be a party to the Credit and Guaranty Agreement. Pursuant to the Credit and Guaranty Agreement, the lenders have provided Cohu with a senior secured term loan facility of $350 million to finance a portion of the cash used to complete the transaction and to pay related costs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served as the exclusive financial advisor to Cohu and Cleary Gottlieb Steen &amp; Hamilton LLP served as Cohu’s legal advisor.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contained in this release may be considered forward-looking statements within the meaning of the U.S. Private Securities Litigation Reform Act of 1995, including statements regarding the Xcerra acquisition; our business strategy; the addressable market; near-term market conditions and uncertainties; future growth and synergy opportunities; capturing new customers;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geopolitical issues; ERP system implementation issues; the seasonal, volatile and unpredictable nature of capital expenditures by semiconductor manufacturers; rapid technological change; and significant risks associated with the Xcerra acquisition including but not limited to (i) the ability of Cohu and Xcerra to integrate their businesses successfully and to achieve anticipated synergies, (ii) the possibility that other anticipated benefits of the transaction will not be realized, (iii) litigation relating to the transaction that has been or could be instituted against Cohu, Xcerra, or their respective directors, (iv) possible disruptions from the transaction that could harm Cohu’s and/or Xcerra’s respective businesses, (v) the ability of Cohu or Xcerra to retain, attract and hire key personnel, (vi) potential adverse reactions or changes to relationships with customers, employees, suppliers or other parties resulting from the completion of the acquisition, (vii) the adverse impact to Cohu’s operating results from interest expense on the financing debt, rising interest rates, and any restrictions on operations related to such debt, and (viii) continued availability of capital and financing and rating agency actions. These and other risks and uncertainties are discussed more fully in Cohu's filings with the Securities and Exchange Commission, including the most recently filed Form 10-K and Form 10-Q, in the Registration Statement on Form S-4 that has been filed by Cohu with the SEC containing a prospectus with respect to the Cohu common stock being issued in the transaction and a joint proxy statement of Cohu and Xcerra in connection with the transaction that is contained therein,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 xml:space="preserve">For press releases and other information of interest to investors, please visit Cohu’s website at </w:t>
      </w:r>
      <w:r>
        <w:rPr>
          <w:rFonts w:ascii="Arial" w:cs="Arial" w:eastAsia="Arial" w:hAnsi="Arial"/>
          <w:sz w:val="16"/>
          <w:szCs w:val="16"/>
          <w:u w:val="single" w:color="auto"/>
          <w:color w:val="auto"/>
        </w:rPr>
        <w:t>www.cohu.com</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Yerganian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781.467.5063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rich.yerganian@cohu.com</w:t>
      </w:r>
    </w:p>
    <w:sectPr>
      <w:pgSz w:w="11900" w:h="16838" w:orient="portrait"/>
      <w:cols w:equalWidth="0" w:num="1">
        <w:col w:w="10219"/>
      </w:cols>
      <w:pgMar w:left="2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www.sec.gov/Archives/edgar/data/21535/000143774918008921/ex_113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2019-12-05T04:05:43Z</dcterms:created>
  <dcterms:modified xsi:type="dcterms:W3CDTF">2019-12-05T04:05:43Z</dcterms:modified>
</cp:coreProperties>
</file>