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AND EXCHANGE COMMISSION</w:t>
      </w: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5, 2018</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2"/>
              </w:rPr>
              <w:t>Delaware</w:t>
            </w:r>
          </w:p>
        </w:tc>
        <w:tc>
          <w:tcPr>
            <w:tcW w:w="3160" w:type="dxa"/>
            <w:vAlign w:val="bottom"/>
          </w:tcPr>
          <w:p>
            <w:pPr>
              <w:jc w:val="right"/>
              <w:ind w:right="1490"/>
              <w:spacing w:after="0"/>
              <w:rPr>
                <w:sz w:val="20"/>
                <w:szCs w:val="20"/>
                <w:color w:val="auto"/>
              </w:rPr>
            </w:pPr>
            <w:r>
              <w:rPr>
                <w:rFonts w:ascii="Arial" w:cs="Arial" w:eastAsia="Arial" w:hAnsi="Arial"/>
                <w:sz w:val="18"/>
                <w:szCs w:val="18"/>
                <w:color w:val="auto"/>
              </w:rPr>
              <w:t>001-04298</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89"/>
              </w:rPr>
              <w:t>95-1934119</w:t>
            </w:r>
          </w:p>
        </w:tc>
      </w:tr>
      <w:tr>
        <w:trPr>
          <w:trHeight w:val="216"/>
        </w:trPr>
        <w:tc>
          <w:tcPr>
            <w:tcW w:w="4280" w:type="dxa"/>
            <w:vAlign w:val="bottom"/>
          </w:tcPr>
          <w:p>
            <w:pPr>
              <w:jc w:val="right"/>
              <w:ind w:right="1750"/>
              <w:spacing w:after="0"/>
              <w:rPr>
                <w:sz w:val="20"/>
                <w:szCs w:val="20"/>
                <w:color w:val="auto"/>
              </w:rPr>
            </w:pPr>
            <w:r>
              <w:rPr>
                <w:rFonts w:ascii="Arial" w:cs="Arial" w:eastAsia="Arial" w:hAnsi="Arial"/>
                <w:sz w:val="18"/>
                <w:szCs w:val="18"/>
                <w:color w:val="auto"/>
              </w:rPr>
              <w:t>_____________________</w:t>
            </w:r>
          </w:p>
        </w:tc>
        <w:tc>
          <w:tcPr>
            <w:tcW w:w="3160" w:type="dxa"/>
            <w:vAlign w:val="bottom"/>
          </w:tcPr>
          <w:p>
            <w:pPr>
              <w:jc w:val="right"/>
              <w:ind w:right="1290"/>
              <w:spacing w:after="0"/>
              <w:rPr>
                <w:sz w:val="20"/>
                <w:szCs w:val="20"/>
                <w:color w:val="auto"/>
              </w:rPr>
            </w:pPr>
            <w:r>
              <w:rPr>
                <w:rFonts w:ascii="Arial" w:cs="Arial" w:eastAsia="Arial" w:hAnsi="Arial"/>
                <w:sz w:val="18"/>
                <w:szCs w:val="18"/>
                <w:color w:val="auto"/>
              </w:rPr>
              <w:t>_____________</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89"/>
              </w:rPr>
              <w:t>______________</w:t>
            </w:r>
          </w:p>
        </w:tc>
      </w:tr>
      <w:tr>
        <w:trPr>
          <w:trHeight w:val="216"/>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2"/>
              </w:rPr>
              <w:t>(State or other jurisdiction</w:t>
            </w:r>
          </w:p>
        </w:tc>
        <w:tc>
          <w:tcPr>
            <w:tcW w:w="3160" w:type="dxa"/>
            <w:vAlign w:val="bottom"/>
          </w:tcPr>
          <w:p>
            <w:pPr>
              <w:ind w:left="700"/>
              <w:spacing w:after="0"/>
              <w:rPr>
                <w:sz w:val="20"/>
                <w:szCs w:val="20"/>
                <w:color w:val="auto"/>
              </w:rPr>
            </w:pPr>
            <w:r>
              <w:rPr>
                <w:rFonts w:ascii="Arial" w:cs="Arial" w:eastAsia="Arial" w:hAnsi="Arial"/>
                <w:sz w:val="18"/>
                <w:szCs w:val="18"/>
                <w:color w:val="auto"/>
              </w:rPr>
              <w:t>(Commission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3"/>
              </w:rPr>
              <w:t>of incorporation)</w:t>
            </w:r>
          </w:p>
        </w:tc>
        <w:tc>
          <w:tcPr>
            <w:tcW w:w="3160" w:type="dxa"/>
            <w:vAlign w:val="bottom"/>
          </w:tcPr>
          <w:p>
            <w:pPr>
              <w:ind w:left="700"/>
              <w:spacing w:after="0"/>
              <w:rPr>
                <w:sz w:val="20"/>
                <w:szCs w:val="20"/>
                <w:color w:val="auto"/>
              </w:rPr>
            </w:pPr>
            <w:r>
              <w:rPr>
                <w:rFonts w:ascii="Arial" w:cs="Arial" w:eastAsia="Arial" w:hAnsi="Arial"/>
                <w:sz w:val="18"/>
                <w:szCs w:val="18"/>
                <w:color w:val="auto"/>
              </w:rPr>
              <w:t>File Number)</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1"/>
              </w:rPr>
              <w:t>12367 Crosthwaite Circle, Poway,</w:t>
            </w:r>
          </w:p>
        </w:tc>
        <w:tc>
          <w:tcPr>
            <w:tcW w:w="3160" w:type="dxa"/>
            <w:vAlign w:val="bottom"/>
          </w:tcPr>
          <w:p>
            <w:pPr>
              <w:spacing w:after="0"/>
              <w:rPr>
                <w:sz w:val="24"/>
                <w:szCs w:val="24"/>
                <w:color w:val="auto"/>
              </w:rPr>
            </w:pP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1"/>
              </w:rPr>
              <w:t>92064</w:t>
            </w:r>
          </w:p>
        </w:tc>
      </w:tr>
      <w:tr>
        <w:trPr>
          <w:trHeight w:val="216"/>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7"/>
              </w:rPr>
              <w:t>California</w:t>
            </w:r>
          </w:p>
        </w:tc>
        <w:tc>
          <w:tcPr>
            <w:tcW w:w="3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4280" w:type="dxa"/>
            <w:vAlign w:val="bottom"/>
          </w:tcPr>
          <w:p>
            <w:pPr>
              <w:jc w:val="right"/>
              <w:ind w:right="1210"/>
              <w:spacing w:after="0"/>
              <w:rPr>
                <w:sz w:val="20"/>
                <w:szCs w:val="20"/>
                <w:color w:val="auto"/>
              </w:rPr>
            </w:pPr>
            <w:r>
              <w:rPr>
                <w:rFonts w:ascii="Arial" w:cs="Arial" w:eastAsia="Arial" w:hAnsi="Arial"/>
                <w:sz w:val="18"/>
                <w:szCs w:val="18"/>
                <w:color w:val="auto"/>
                <w:w w:val="89"/>
              </w:rPr>
              <w:t>_________________________________</w:t>
            </w:r>
          </w:p>
        </w:tc>
        <w:tc>
          <w:tcPr>
            <w:tcW w:w="3160" w:type="dxa"/>
            <w:vAlign w:val="bottom"/>
          </w:tcPr>
          <w:p>
            <w:pPr>
              <w:spacing w:after="0"/>
              <w:rPr>
                <w:sz w:val="18"/>
                <w:szCs w:val="18"/>
                <w:color w:val="auto"/>
              </w:rPr>
            </w:pP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88"/>
              </w:rPr>
              <w:t>___________</w:t>
            </w:r>
          </w:p>
        </w:tc>
      </w:tr>
      <w:tr>
        <w:trPr>
          <w:trHeight w:val="230"/>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spacing w:after="0"/>
              <w:rPr>
                <w:sz w:val="20"/>
                <w:szCs w:val="20"/>
                <w:color w:val="auto"/>
              </w:rPr>
            </w:pP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1"/>
              </w:rPr>
              <w:t>(Zip Code)</w:t>
            </w:r>
          </w:p>
        </w:tc>
      </w:tr>
      <w:tr>
        <w:trPr>
          <w:trHeight w:val="432"/>
        </w:trPr>
        <w:tc>
          <w:tcPr>
            <w:tcW w:w="4280" w:type="dxa"/>
            <w:vAlign w:val="bottom"/>
          </w:tcPr>
          <w:p>
            <w:pPr>
              <w:ind w:left="340"/>
              <w:spacing w:after="0"/>
              <w:rPr>
                <w:sz w:val="20"/>
                <w:szCs w:val="20"/>
                <w:color w:val="auto"/>
              </w:rPr>
            </w:pPr>
            <w:r>
              <w:rPr>
                <w:rFonts w:ascii="Arial" w:cs="Arial" w:eastAsia="Arial" w:hAnsi="Arial"/>
                <w:sz w:val="18"/>
                <w:szCs w:val="18"/>
                <w:color w:val="auto"/>
                <w:w w:val="94"/>
              </w:rPr>
              <w:t>Registrant’s telephone number, including area code:</w:t>
            </w:r>
          </w:p>
        </w:tc>
        <w:tc>
          <w:tcPr>
            <w:tcW w:w="3160" w:type="dxa"/>
            <w:vAlign w:val="bottom"/>
          </w:tcPr>
          <w:p>
            <w:pPr>
              <w:spacing w:after="0"/>
              <w:rPr>
                <w:sz w:val="24"/>
                <w:szCs w:val="24"/>
                <w:color w:val="auto"/>
              </w:rPr>
            </w:pPr>
          </w:p>
        </w:tc>
        <w:tc>
          <w:tcPr>
            <w:tcW w:w="2220" w:type="dxa"/>
            <w:vAlign w:val="bottom"/>
          </w:tcPr>
          <w:p>
            <w:pPr>
              <w:jc w:val="right"/>
              <w:ind w:right="850"/>
              <w:spacing w:after="0"/>
              <w:rPr>
                <w:sz w:val="20"/>
                <w:szCs w:val="20"/>
                <w:color w:val="auto"/>
              </w:rPr>
            </w:pPr>
            <w:r>
              <w:rPr>
                <w:rFonts w:ascii="Arial" w:cs="Arial" w:eastAsia="Arial" w:hAnsi="Arial"/>
                <w:sz w:val="18"/>
                <w:szCs w:val="18"/>
                <w:color w:val="auto"/>
              </w:rPr>
              <w:t>858-848-8100</w:t>
            </w:r>
          </w:p>
        </w:tc>
      </w:tr>
      <w:tr>
        <w:trPr>
          <w:trHeight w:val="418"/>
        </w:trPr>
        <w:tc>
          <w:tcPr>
            <w:tcW w:w="4280" w:type="dxa"/>
            <w:vAlign w:val="bottom"/>
          </w:tcPr>
          <w:p>
            <w:pPr>
              <w:spacing w:after="0"/>
              <w:rPr>
                <w:sz w:val="24"/>
                <w:szCs w:val="24"/>
                <w:color w:val="auto"/>
              </w:rPr>
            </w:pPr>
          </w:p>
        </w:tc>
        <w:tc>
          <w:tcPr>
            <w:tcW w:w="3160" w:type="dxa"/>
            <w:vAlign w:val="bottom"/>
          </w:tcPr>
          <w:p>
            <w:pPr>
              <w:jc w:val="center"/>
              <w:ind w:right="1610"/>
              <w:spacing w:after="0"/>
              <w:rPr>
                <w:sz w:val="20"/>
                <w:szCs w:val="20"/>
                <w:color w:val="auto"/>
              </w:rPr>
            </w:pPr>
            <w:r>
              <w:rPr>
                <w:rFonts w:ascii="Arial" w:cs="Arial" w:eastAsia="Arial" w:hAnsi="Arial"/>
                <w:sz w:val="18"/>
                <w:szCs w:val="18"/>
                <w:color w:val="auto"/>
                <w:w w:val="94"/>
              </w:rPr>
              <w:t>Not Applicable</w:t>
            </w:r>
          </w:p>
        </w:tc>
        <w:tc>
          <w:tcPr>
            <w:tcW w:w="2220" w:type="dxa"/>
            <w:vAlign w:val="bottom"/>
          </w:tcPr>
          <w:p>
            <w:pPr>
              <w:spacing w:after="0"/>
              <w:rPr>
                <w:sz w:val="24"/>
                <w:szCs w:val="24"/>
                <w:color w:val="auto"/>
              </w:rPr>
            </w:pPr>
          </w:p>
        </w:tc>
      </w:tr>
      <w:tr>
        <w:trPr>
          <w:trHeight w:val="216"/>
        </w:trPr>
        <w:tc>
          <w:tcPr>
            <w:tcW w:w="7440" w:type="dxa"/>
            <w:vAlign w:val="bottom"/>
            <w:gridSpan w:val="2"/>
          </w:tcPr>
          <w:p>
            <w:pPr>
              <w:jc w:val="center"/>
              <w:ind w:left="2490"/>
              <w:spacing w:after="0"/>
              <w:rPr>
                <w:sz w:val="20"/>
                <w:szCs w:val="20"/>
                <w:color w:val="auto"/>
              </w:rPr>
            </w:pPr>
            <w:r>
              <w:rPr>
                <w:rFonts w:ascii="Arial" w:cs="Arial" w:eastAsia="Arial" w:hAnsi="Arial"/>
                <w:sz w:val="18"/>
                <w:szCs w:val="18"/>
                <w:color w:val="auto"/>
                <w:w w:val="89"/>
              </w:rPr>
              <w:t>______________________________________________</w:t>
            </w:r>
          </w:p>
        </w:tc>
        <w:tc>
          <w:tcPr>
            <w:tcW w:w="2220" w:type="dxa"/>
            <w:vAlign w:val="bottom"/>
          </w:tcPr>
          <w:p>
            <w:pPr>
              <w:spacing w:after="0"/>
              <w:rPr>
                <w:sz w:val="18"/>
                <w:szCs w:val="18"/>
                <w:color w:val="auto"/>
              </w:rPr>
            </w:pPr>
          </w:p>
        </w:tc>
      </w:tr>
      <w:tr>
        <w:trPr>
          <w:trHeight w:val="230"/>
        </w:trPr>
        <w:tc>
          <w:tcPr>
            <w:tcW w:w="7440" w:type="dxa"/>
            <w:vAlign w:val="bottom"/>
            <w:gridSpan w:val="2"/>
          </w:tcPr>
          <w:p>
            <w:pPr>
              <w:jc w:val="center"/>
              <w:ind w:left="249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22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40" w:firstLine="8"/>
        <w:spacing w:after="0" w:line="291" w:lineRule="auto"/>
        <w:tabs>
          <w:tab w:leader="none" w:pos="29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 ] Soliciting material pursuant to Rule 14a-12 under the Exchange Act (17 CFR 240.14a-12)</w:t>
      </w:r>
    </w:p>
    <w:p>
      <w:pPr>
        <w:jc w:val="both"/>
        <w:ind w:right="2940"/>
        <w:spacing w:after="0" w:line="323" w:lineRule="auto"/>
        <w:rPr>
          <w:rFonts w:ascii="Arial" w:cs="Arial" w:eastAsia="Arial" w:hAnsi="Arial"/>
          <w:sz w:val="16"/>
          <w:szCs w:val="16"/>
          <w:color w:val="auto"/>
        </w:rPr>
      </w:pPr>
      <w:r>
        <w:rPr>
          <w:rFonts w:ascii="Arial" w:cs="Arial" w:eastAsia="Arial" w:hAnsi="Arial"/>
          <w:sz w:val="16"/>
          <w:szCs w:val="16"/>
          <w:color w:val="auto"/>
        </w:rPr>
        <w:t>[ ] Pre-commencement communications pursuant to Rule 14d-2(b) under the Exchange Act (17 CFR 240.14d-2(b)) [ ] Pre-commencement communications pursuant to Rule 13e-4(c) under the Exchange Act (17 CFR 240.13e-4(c))</w:t>
      </w:r>
    </w:p>
    <w:p>
      <w:pPr>
        <w:spacing w:after="0" w:line="13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As previously announced, on May 7, 2018, Cohu, Inc., a Delaware corporation (“</w:t>
      </w:r>
      <w:r>
        <w:rPr>
          <w:rFonts w:ascii="Arial" w:cs="Arial" w:eastAsia="Arial" w:hAnsi="Arial"/>
          <w:sz w:val="18"/>
          <w:szCs w:val="18"/>
          <w:u w:val="single" w:color="auto"/>
          <w:color w:val="auto"/>
        </w:rPr>
        <w:t>Cohu</w:t>
      </w:r>
      <w:r>
        <w:rPr>
          <w:rFonts w:ascii="Arial" w:cs="Arial" w:eastAsia="Arial" w:hAnsi="Arial"/>
          <w:sz w:val="18"/>
          <w:szCs w:val="18"/>
          <w:color w:val="auto"/>
        </w:rPr>
        <w:t>”), entered into an Agreement and Plan of Merger, by and among Cohu, Xcerra Corporation, a Massachusetts corporation (“</w:t>
      </w:r>
      <w:r>
        <w:rPr>
          <w:rFonts w:ascii="Arial" w:cs="Arial" w:eastAsia="Arial" w:hAnsi="Arial"/>
          <w:sz w:val="18"/>
          <w:szCs w:val="18"/>
          <w:u w:val="single" w:color="auto"/>
          <w:color w:val="auto"/>
        </w:rPr>
        <w:t>Xcerra</w:t>
      </w:r>
      <w:r>
        <w:rPr>
          <w:rFonts w:ascii="Arial" w:cs="Arial" w:eastAsia="Arial" w:hAnsi="Arial"/>
          <w:sz w:val="18"/>
          <w:szCs w:val="18"/>
          <w:color w:val="auto"/>
        </w:rPr>
        <w:t>”), and Xavier Acquisition Corporation, a Delaware corporation and a wholly owned subsidiary of Cohu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which Merger Sub will merge with and into Xcerra, with Xcerra surviving such merger as a wholly owned subsidiary of Cohu (the “Merger”).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Cohu expects the Merger to be completed prior to October 15, 2018.</w:t>
      </w:r>
    </w:p>
    <w:p>
      <w:pPr>
        <w:spacing w:after="0" w:line="225"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and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be subject to the liabilities of that section, nor shall it be deemed to be incorporated by reference in any filing under the Securities Act of 1933, as amended, or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extent required, the information included in Item 7.01 of this Current Report on Form 8-K is incorporated into this Item 8.01.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pending and potential litigation relating to the proposed transaction that has been, or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w:t>
      </w:r>
    </w:p>
    <w:p>
      <w:pPr>
        <w:spacing w:after="0" w:line="12" w:lineRule="exact"/>
        <w:rPr>
          <w:sz w:val="20"/>
          <w:szCs w:val="20"/>
          <w:color w:val="auto"/>
        </w:rPr>
      </w:pPr>
    </w:p>
    <w:p>
      <w:pPr>
        <w:jc w:val="both"/>
        <w:ind w:firstLine="8"/>
        <w:spacing w:after="0" w:line="287"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such other factors as are set forth in (A) Cohu’s periodic public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 but not limited to those described under the heading “Risk Factors” in Cohu’s Form 10-K for the fiscal year ended December 30, 2017, (B) Xcerra’s periodic public filings with the SEC, including but not limited to those described under the heading “Risk Factors” in Xcerra’s Form 10-K for the fiscal year ended July 31, 2017, (C) in the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has been filed by Cohu with the SEC containing a prospectus with respect to the Cohu common stock to be issued in the proposed transaction and a joint proxy statement of Cohu and Xcerra in connection with the proposed transaction (the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that is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which was subsequently amended on July 26, 2018. The Registration Statement was declared effective by the SEC on July 30, 2018. Each of Cohu and Xcerra commenced mailing the definitive Joint Proxy Statement/Prospectus to its respective stockholders on July 30, 2018.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Xcerra and Cohu with the SEC at the SEC’s website at www.sec.gov. In addition, investors and security holders may obtain free copies of the documents filed with the SEC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Xcerra Investor Relations page on its corporate website at </w:t>
      </w:r>
      <w:r>
        <w:rPr>
          <w:rFonts w:ascii="Arial" w:cs="Arial" w:eastAsia="Arial" w:hAnsi="Arial"/>
          <w:sz w:val="17"/>
          <w:szCs w:val="17"/>
          <w:u w:val="single" w:color="auto"/>
          <w:color w:val="auto"/>
        </w:rPr>
        <w:t>https://Xcerra.com/investors</w:t>
      </w:r>
      <w:r>
        <w:rPr>
          <w:rFonts w:ascii="Arial" w:cs="Arial" w:eastAsia="Arial" w:hAnsi="Arial"/>
          <w:sz w:val="17"/>
          <w:szCs w:val="17"/>
          <w:color w:val="auto"/>
        </w:rPr>
        <w:t xml:space="preserve">. Information concerning Cohu’s directors and executive officers and their beneficial ownership of Cohu’s common stock is set forth in the Registration Statement, Cohu’s annual proxy statement on Schedule 14A filed with the SEC on April 3, 2018, and in its Annual Report on Form 10-K for the year ended December 30, 2017, and is supplemented by other public filings made, and to be made, with the SEC by Cohu.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Cohu Investor Relations page on its corporate website at </w:t>
      </w:r>
      <w:r>
        <w:rPr>
          <w:rFonts w:ascii="Arial" w:cs="Arial" w:eastAsia="Arial" w:hAnsi="Arial"/>
          <w:sz w:val="17"/>
          <w:szCs w:val="17"/>
          <w:u w:val="single" w:color="auto"/>
          <w:color w:val="auto"/>
        </w:rPr>
        <w:t>https://Cohu.gcs-web.com</w:t>
      </w:r>
      <w:r>
        <w:rPr>
          <w:rFonts w:ascii="Arial" w:cs="Arial" w:eastAsia="Arial" w:hAnsi="Arial"/>
          <w:sz w:val="17"/>
          <w:szCs w:val="17"/>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7"/>
          <w:szCs w:val="17"/>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Date: September 5, 2018</w:t>
            </w:r>
          </w:p>
        </w:tc>
        <w:tc>
          <w:tcPr>
            <w:tcW w:w="7660" w:type="dxa"/>
            <w:vAlign w:val="bottom"/>
            <w:gridSpan w:val="2"/>
          </w:tcPr>
          <w:p>
            <w:pPr>
              <w:ind w:left="1980"/>
              <w:spacing w:after="0"/>
              <w:rPr>
                <w:sz w:val="20"/>
                <w:szCs w:val="20"/>
                <w:color w:val="auto"/>
              </w:rPr>
            </w:pPr>
            <w:r>
              <w:rPr>
                <w:rFonts w:ascii="Arial" w:cs="Arial" w:eastAsia="Arial" w:hAnsi="Arial"/>
                <w:sz w:val="18"/>
                <w:szCs w:val="18"/>
                <w:color w:val="auto"/>
              </w:rPr>
              <w:t>Cohu, Inc.</w:t>
            </w:r>
          </w:p>
        </w:tc>
      </w:tr>
      <w:tr>
        <w:trPr>
          <w:trHeight w:val="216"/>
        </w:trPr>
        <w:tc>
          <w:tcPr>
            <w:tcW w:w="3760" w:type="dxa"/>
            <w:vAlign w:val="bottom"/>
          </w:tcPr>
          <w:p>
            <w:pPr>
              <w:spacing w:after="0"/>
              <w:rPr>
                <w:sz w:val="18"/>
                <w:szCs w:val="18"/>
                <w:color w:val="auto"/>
              </w:rPr>
            </w:pPr>
          </w:p>
        </w:tc>
        <w:tc>
          <w:tcPr>
            <w:tcW w:w="7660" w:type="dxa"/>
            <w:vAlign w:val="bottom"/>
            <w:gridSpan w:val="2"/>
          </w:tcPr>
          <w:p>
            <w:pPr>
              <w:ind w:left="1980"/>
              <w:spacing w:after="0"/>
              <w:rPr>
                <w:sz w:val="20"/>
                <w:szCs w:val="20"/>
                <w:color w:val="auto"/>
              </w:rPr>
            </w:pPr>
            <w:r>
              <w:rPr>
                <w:rFonts w:ascii="Arial" w:cs="Arial" w:eastAsia="Arial" w:hAnsi="Arial"/>
                <w:sz w:val="18"/>
                <w:szCs w:val="18"/>
                <w:color w:val="auto"/>
              </w:rPr>
              <w:t>By:</w:t>
            </w:r>
          </w:p>
        </w:tc>
      </w:tr>
      <w:tr>
        <w:trPr>
          <w:trHeight w:val="230"/>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r>
      <w:tr>
        <w:trPr>
          <w:trHeight w:val="195"/>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40" w:type="dxa"/>
            <w:vAlign w:val="bottom"/>
          </w:tcPr>
          <w:p>
            <w:pPr>
              <w:spacing w:after="0" w:line="195" w:lineRule="exact"/>
              <w:rPr>
                <w:sz w:val="20"/>
                <w:szCs w:val="20"/>
                <w:color w:val="auto"/>
              </w:rPr>
            </w:pPr>
            <w:r>
              <w:rPr>
                <w:rFonts w:ascii="Arial" w:cs="Arial" w:eastAsia="Arial" w:hAnsi="Arial"/>
                <w:sz w:val="18"/>
                <w:szCs w:val="18"/>
                <w:color w:val="auto"/>
              </w:rPr>
              <w:t>Name: Jeffrey D. Jones</w:t>
            </w:r>
          </w:p>
        </w:tc>
      </w:tr>
      <w:tr>
        <w:trPr>
          <w:trHeight w:val="230"/>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VP Finance and Chief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0"/>
    </w:lvl>
  </w:abstractNum>
  <w:abstractNum w:abstractNumId="1">
    <w:nsid w:val="66334873"/>
    <w:multiLevelType w:val="hybridMultilevel"/>
    <w:lvl w:ilvl="0">
      <w:lvlJc w:val="left"/>
      <w:lvlText w:val="(%1)"/>
      <w:numFmt w:val="lowerRoman"/>
      <w:start w:val="1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2019-12-05T03:59:54Z</dcterms:created>
  <dcterms:modified xsi:type="dcterms:W3CDTF">2019-12-05T03:59:54Z</dcterms:modified>
</cp:coreProperties>
</file>