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Washington, D.C. 20549</w:t>
      </w:r>
    </w:p>
    <w:p>
      <w:pPr>
        <w:spacing w:after="0" w:line="192" w:lineRule="exact"/>
        <w:rPr>
          <w:sz w:val="24"/>
          <w:szCs w:val="24"/>
          <w:color w:val="auto"/>
        </w:rPr>
      </w:pPr>
    </w:p>
    <w:p>
      <w:pPr>
        <w:jc w:val="center"/>
        <w:ind w:right="-79"/>
        <w:spacing w:after="0"/>
        <w:rPr>
          <w:sz w:val="20"/>
          <w:szCs w:val="20"/>
          <w:color w:val="auto"/>
        </w:rPr>
      </w:pPr>
      <w:r>
        <w:rPr>
          <w:rFonts w:ascii="Arial" w:cs="Arial" w:eastAsia="Arial" w:hAnsi="Arial"/>
          <w:sz w:val="32"/>
          <w:szCs w:val="32"/>
          <w:color w:val="auto"/>
        </w:rPr>
        <w:t>FORM 8-K</w:t>
      </w:r>
    </w:p>
    <w:p>
      <w:pPr>
        <w:spacing w:after="0" w:line="232"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CURRENT REPORT</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25" w:lineRule="exact"/>
        <w:rPr>
          <w:sz w:val="24"/>
          <w:szCs w:val="24"/>
          <w:color w:val="auto"/>
        </w:rPr>
      </w:pPr>
    </w:p>
    <w:p>
      <w:pPr>
        <w:spacing w:after="0"/>
        <w:tabs>
          <w:tab w:leader="none" w:pos="820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6"/>
          <w:szCs w:val="16"/>
          <w:color w:val="auto"/>
        </w:rPr>
        <w:t>August 20, 2018</w:t>
      </w: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43"/>
          <w:szCs w:val="43"/>
          <w:color w:val="auto"/>
        </w:rPr>
        <w:t>Cohu, Inc.</w:t>
      </w:r>
    </w:p>
    <w:p>
      <w:pPr>
        <w:spacing w:after="0" w:line="38" w:lineRule="exact"/>
        <w:rPr>
          <w:sz w:val="24"/>
          <w:szCs w:val="24"/>
          <w:color w:val="auto"/>
        </w:rPr>
      </w:pPr>
    </w:p>
    <w:p>
      <w:pPr>
        <w:ind w:left="3820"/>
        <w:spacing w:after="0"/>
        <w:rPr>
          <w:sz w:val="20"/>
          <w:szCs w:val="20"/>
          <w:color w:val="auto"/>
        </w:rPr>
      </w:pPr>
      <w:r>
        <w:rPr>
          <w:rFonts w:ascii="Arial" w:cs="Arial" w:eastAsia="Arial" w:hAnsi="Arial"/>
          <w:sz w:val="18"/>
          <w:szCs w:val="18"/>
          <w:color w:val="auto"/>
        </w:rPr>
        <w:t>__________________________________________</w:t>
      </w:r>
    </w:p>
    <w:p>
      <w:pPr>
        <w:spacing w:after="0" w:line="20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41" w:lineRule="exact"/>
        <w:rPr>
          <w:sz w:val="24"/>
          <w:szCs w:val="24"/>
          <w:color w:val="auto"/>
        </w:rPr>
      </w:pPr>
    </w:p>
    <w:tbl>
      <w:tblPr>
        <w:tblLayout w:type="fixed"/>
        <w:tblInd w:w="460" w:type="dxa"/>
        <w:tblCellMar>
          <w:top w:w="0" w:type="dxa"/>
          <w:left w:w="0" w:type="dxa"/>
          <w:bottom w:w="0" w:type="dxa"/>
          <w:right w:w="0" w:type="dxa"/>
        </w:tblCellMar>
      </w:tblPr>
      <w:tr>
        <w:trPr>
          <w:trHeight w:val="216"/>
        </w:trPr>
        <w:tc>
          <w:tcPr>
            <w:tcW w:w="304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4520" w:type="dxa"/>
            <w:vAlign w:val="bottom"/>
          </w:tcPr>
          <w:p>
            <w:pPr>
              <w:jc w:val="right"/>
              <w:ind w:right="1810"/>
              <w:spacing w:after="0"/>
              <w:rPr>
                <w:sz w:val="20"/>
                <w:szCs w:val="20"/>
                <w:color w:val="auto"/>
              </w:rPr>
            </w:pPr>
            <w:r>
              <w:rPr>
                <w:rFonts w:ascii="Arial" w:cs="Arial" w:eastAsia="Arial" w:hAnsi="Arial"/>
                <w:sz w:val="18"/>
                <w:szCs w:val="18"/>
                <w:color w:val="auto"/>
              </w:rPr>
              <w:t>001-04298</w:t>
            </w:r>
          </w:p>
        </w:tc>
        <w:tc>
          <w:tcPr>
            <w:tcW w:w="2140" w:type="dxa"/>
            <w:vAlign w:val="bottom"/>
          </w:tcPr>
          <w:p>
            <w:pPr>
              <w:jc w:val="center"/>
              <w:ind w:left="710"/>
              <w:spacing w:after="0"/>
              <w:rPr>
                <w:sz w:val="20"/>
                <w:szCs w:val="20"/>
                <w:color w:val="auto"/>
              </w:rPr>
            </w:pPr>
            <w:r>
              <w:rPr>
                <w:rFonts w:ascii="Arial" w:cs="Arial" w:eastAsia="Arial" w:hAnsi="Arial"/>
                <w:sz w:val="18"/>
                <w:szCs w:val="18"/>
                <w:color w:val="auto"/>
                <w:w w:val="89"/>
              </w:rPr>
              <w:t>95-1934119</w:t>
            </w:r>
          </w:p>
        </w:tc>
      </w:tr>
      <w:tr>
        <w:trPr>
          <w:trHeight w:val="216"/>
        </w:trPr>
        <w:tc>
          <w:tcPr>
            <w:tcW w:w="3040" w:type="dxa"/>
            <w:vAlign w:val="bottom"/>
          </w:tcPr>
          <w:p>
            <w:pPr>
              <w:jc w:val="right"/>
              <w:ind w:right="510"/>
              <w:spacing w:after="0"/>
              <w:rPr>
                <w:sz w:val="20"/>
                <w:szCs w:val="20"/>
                <w:color w:val="auto"/>
              </w:rPr>
            </w:pPr>
            <w:r>
              <w:rPr>
                <w:rFonts w:ascii="Arial" w:cs="Arial" w:eastAsia="Arial" w:hAnsi="Arial"/>
                <w:sz w:val="18"/>
                <w:szCs w:val="18"/>
                <w:color w:val="auto"/>
              </w:rPr>
              <w:t>_____________________</w:t>
            </w:r>
          </w:p>
        </w:tc>
        <w:tc>
          <w:tcPr>
            <w:tcW w:w="4520" w:type="dxa"/>
            <w:vAlign w:val="bottom"/>
          </w:tcPr>
          <w:p>
            <w:pPr>
              <w:jc w:val="right"/>
              <w:ind w:right="1630"/>
              <w:spacing w:after="0"/>
              <w:rPr>
                <w:sz w:val="20"/>
                <w:szCs w:val="20"/>
                <w:color w:val="auto"/>
              </w:rPr>
            </w:pPr>
            <w:r>
              <w:rPr>
                <w:rFonts w:ascii="Arial" w:cs="Arial" w:eastAsia="Arial" w:hAnsi="Arial"/>
                <w:sz w:val="18"/>
                <w:szCs w:val="18"/>
                <w:color w:val="auto"/>
              </w:rPr>
              <w:t>_____________</w:t>
            </w:r>
          </w:p>
        </w:tc>
        <w:tc>
          <w:tcPr>
            <w:tcW w:w="2140" w:type="dxa"/>
            <w:vAlign w:val="bottom"/>
          </w:tcPr>
          <w:p>
            <w:pPr>
              <w:jc w:val="center"/>
              <w:ind w:left="710"/>
              <w:spacing w:after="0"/>
              <w:rPr>
                <w:sz w:val="20"/>
                <w:szCs w:val="20"/>
                <w:color w:val="auto"/>
              </w:rPr>
            </w:pPr>
            <w:r>
              <w:rPr>
                <w:rFonts w:ascii="Arial" w:cs="Arial" w:eastAsia="Arial" w:hAnsi="Arial"/>
                <w:sz w:val="18"/>
                <w:szCs w:val="18"/>
                <w:color w:val="auto"/>
                <w:w w:val="89"/>
              </w:rPr>
              <w:t>______________</w:t>
            </w:r>
          </w:p>
        </w:tc>
      </w:tr>
      <w:tr>
        <w:trPr>
          <w:trHeight w:val="216"/>
        </w:trPr>
        <w:tc>
          <w:tcPr>
            <w:tcW w:w="3040" w:type="dxa"/>
            <w:vAlign w:val="bottom"/>
          </w:tcPr>
          <w:p>
            <w:pPr>
              <w:jc w:val="center"/>
              <w:spacing w:after="0"/>
              <w:rPr>
                <w:sz w:val="20"/>
                <w:szCs w:val="20"/>
                <w:color w:val="auto"/>
              </w:rPr>
            </w:pPr>
            <w:r>
              <w:rPr>
                <w:rFonts w:ascii="Arial" w:cs="Arial" w:eastAsia="Arial" w:hAnsi="Arial"/>
                <w:sz w:val="18"/>
                <w:szCs w:val="18"/>
                <w:color w:val="auto"/>
                <w:w w:val="92"/>
              </w:rPr>
              <w:t>(State or other jurisdiction</w:t>
            </w:r>
          </w:p>
        </w:tc>
        <w:tc>
          <w:tcPr>
            <w:tcW w:w="4520" w:type="dxa"/>
            <w:vAlign w:val="bottom"/>
          </w:tcPr>
          <w:p>
            <w:pPr>
              <w:jc w:val="center"/>
              <w:spacing w:after="0"/>
              <w:rPr>
                <w:sz w:val="20"/>
                <w:szCs w:val="20"/>
                <w:color w:val="auto"/>
              </w:rPr>
            </w:pPr>
            <w:r>
              <w:rPr>
                <w:rFonts w:ascii="Arial" w:cs="Arial" w:eastAsia="Arial" w:hAnsi="Arial"/>
                <w:sz w:val="18"/>
                <w:szCs w:val="18"/>
                <w:color w:val="auto"/>
                <w:w w:val="91"/>
              </w:rPr>
              <w:t>(Commission</w:t>
            </w:r>
          </w:p>
        </w:tc>
        <w:tc>
          <w:tcPr>
            <w:tcW w:w="2140" w:type="dxa"/>
            <w:vAlign w:val="bottom"/>
          </w:tcPr>
          <w:p>
            <w:pPr>
              <w:jc w:val="center"/>
              <w:ind w:left="690"/>
              <w:spacing w:after="0"/>
              <w:rPr>
                <w:sz w:val="20"/>
                <w:szCs w:val="20"/>
                <w:color w:val="auto"/>
              </w:rPr>
            </w:pPr>
            <w:r>
              <w:rPr>
                <w:rFonts w:ascii="Arial" w:cs="Arial" w:eastAsia="Arial" w:hAnsi="Arial"/>
                <w:sz w:val="18"/>
                <w:szCs w:val="18"/>
                <w:color w:val="auto"/>
                <w:w w:val="93"/>
              </w:rPr>
              <w:t>(I.R.S. Employer</w:t>
            </w:r>
          </w:p>
        </w:tc>
      </w:tr>
      <w:tr>
        <w:trPr>
          <w:trHeight w:val="230"/>
        </w:trPr>
        <w:tc>
          <w:tcPr>
            <w:tcW w:w="3040" w:type="dxa"/>
            <w:vAlign w:val="bottom"/>
          </w:tcPr>
          <w:p>
            <w:pPr>
              <w:jc w:val="center"/>
              <w:spacing w:after="0"/>
              <w:rPr>
                <w:sz w:val="20"/>
                <w:szCs w:val="20"/>
                <w:color w:val="auto"/>
              </w:rPr>
            </w:pPr>
            <w:r>
              <w:rPr>
                <w:rFonts w:ascii="Arial" w:cs="Arial" w:eastAsia="Arial" w:hAnsi="Arial"/>
                <w:sz w:val="18"/>
                <w:szCs w:val="18"/>
                <w:color w:val="auto"/>
                <w:w w:val="93"/>
              </w:rPr>
              <w:t>of incorporation)</w:t>
            </w:r>
          </w:p>
        </w:tc>
        <w:tc>
          <w:tcPr>
            <w:tcW w:w="4520" w:type="dxa"/>
            <w:vAlign w:val="bottom"/>
          </w:tcPr>
          <w:p>
            <w:pPr>
              <w:jc w:val="center"/>
              <w:spacing w:after="0"/>
              <w:rPr>
                <w:sz w:val="20"/>
                <w:szCs w:val="20"/>
                <w:color w:val="auto"/>
              </w:rPr>
            </w:pPr>
            <w:r>
              <w:rPr>
                <w:rFonts w:ascii="Arial" w:cs="Arial" w:eastAsia="Arial" w:hAnsi="Arial"/>
                <w:sz w:val="18"/>
                <w:szCs w:val="18"/>
                <w:color w:val="auto"/>
                <w:w w:val="92"/>
              </w:rPr>
              <w:t>File Number)</w:t>
            </w:r>
          </w:p>
        </w:tc>
        <w:tc>
          <w:tcPr>
            <w:tcW w:w="2140" w:type="dxa"/>
            <w:vAlign w:val="bottom"/>
          </w:tcPr>
          <w:p>
            <w:pPr>
              <w:jc w:val="center"/>
              <w:ind w:left="71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3040" w:type="dxa"/>
            <w:vAlign w:val="bottom"/>
          </w:tcPr>
          <w:p>
            <w:pPr>
              <w:jc w:val="center"/>
              <w:spacing w:after="0"/>
              <w:rPr>
                <w:sz w:val="20"/>
                <w:szCs w:val="20"/>
                <w:color w:val="auto"/>
              </w:rPr>
            </w:pPr>
            <w:r>
              <w:rPr>
                <w:rFonts w:ascii="Arial" w:cs="Arial" w:eastAsia="Arial" w:hAnsi="Arial"/>
                <w:sz w:val="18"/>
                <w:szCs w:val="18"/>
                <w:color w:val="auto"/>
                <w:w w:val="91"/>
              </w:rPr>
              <w:t>12367 Crosthwaite Circle, Poway,</w:t>
            </w:r>
          </w:p>
        </w:tc>
        <w:tc>
          <w:tcPr>
            <w:tcW w:w="4520" w:type="dxa"/>
            <w:vAlign w:val="bottom"/>
          </w:tcPr>
          <w:p>
            <w:pPr>
              <w:spacing w:after="0"/>
              <w:rPr>
                <w:sz w:val="24"/>
                <w:szCs w:val="24"/>
                <w:color w:val="auto"/>
              </w:rPr>
            </w:pPr>
          </w:p>
        </w:tc>
        <w:tc>
          <w:tcPr>
            <w:tcW w:w="2140" w:type="dxa"/>
            <w:vAlign w:val="bottom"/>
          </w:tcPr>
          <w:p>
            <w:pPr>
              <w:jc w:val="center"/>
              <w:ind w:left="690"/>
              <w:spacing w:after="0"/>
              <w:rPr>
                <w:sz w:val="20"/>
                <w:szCs w:val="20"/>
                <w:color w:val="auto"/>
              </w:rPr>
            </w:pPr>
            <w:r>
              <w:rPr>
                <w:rFonts w:ascii="Arial" w:cs="Arial" w:eastAsia="Arial" w:hAnsi="Arial"/>
                <w:sz w:val="18"/>
                <w:szCs w:val="18"/>
                <w:color w:val="auto"/>
                <w:w w:val="87"/>
              </w:rPr>
              <w:t>92064</w:t>
            </w:r>
          </w:p>
        </w:tc>
      </w:tr>
      <w:tr>
        <w:trPr>
          <w:trHeight w:val="216"/>
        </w:trPr>
        <w:tc>
          <w:tcPr>
            <w:tcW w:w="3040" w:type="dxa"/>
            <w:vAlign w:val="bottom"/>
          </w:tcPr>
          <w:p>
            <w:pPr>
              <w:jc w:val="center"/>
              <w:spacing w:after="0"/>
              <w:rPr>
                <w:sz w:val="20"/>
                <w:szCs w:val="20"/>
                <w:color w:val="auto"/>
              </w:rPr>
            </w:pPr>
            <w:r>
              <w:rPr>
                <w:rFonts w:ascii="Arial" w:cs="Arial" w:eastAsia="Arial" w:hAnsi="Arial"/>
                <w:sz w:val="18"/>
                <w:szCs w:val="18"/>
                <w:color w:val="auto"/>
                <w:w w:val="97"/>
              </w:rPr>
              <w:t>California</w:t>
            </w:r>
          </w:p>
        </w:tc>
        <w:tc>
          <w:tcPr>
            <w:tcW w:w="452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16"/>
        </w:trPr>
        <w:tc>
          <w:tcPr>
            <w:tcW w:w="3040" w:type="dxa"/>
            <w:vAlign w:val="bottom"/>
          </w:tcPr>
          <w:p>
            <w:pPr>
              <w:jc w:val="right"/>
              <w:spacing w:after="0"/>
              <w:rPr>
                <w:sz w:val="20"/>
                <w:szCs w:val="20"/>
                <w:color w:val="auto"/>
              </w:rPr>
            </w:pPr>
            <w:r>
              <w:rPr>
                <w:rFonts w:ascii="Arial" w:cs="Arial" w:eastAsia="Arial" w:hAnsi="Arial"/>
                <w:sz w:val="18"/>
                <w:szCs w:val="18"/>
                <w:color w:val="auto"/>
                <w:w w:val="89"/>
              </w:rPr>
              <w:t>_________________________________</w:t>
            </w:r>
          </w:p>
        </w:tc>
        <w:tc>
          <w:tcPr>
            <w:tcW w:w="4520" w:type="dxa"/>
            <w:vAlign w:val="bottom"/>
          </w:tcPr>
          <w:p>
            <w:pPr>
              <w:spacing w:after="0"/>
              <w:rPr>
                <w:sz w:val="18"/>
                <w:szCs w:val="18"/>
                <w:color w:val="auto"/>
              </w:rPr>
            </w:pPr>
          </w:p>
        </w:tc>
        <w:tc>
          <w:tcPr>
            <w:tcW w:w="2140" w:type="dxa"/>
            <w:vAlign w:val="bottom"/>
          </w:tcPr>
          <w:p>
            <w:pPr>
              <w:jc w:val="center"/>
              <w:ind w:left="690"/>
              <w:spacing w:after="0"/>
              <w:rPr>
                <w:sz w:val="20"/>
                <w:szCs w:val="20"/>
                <w:color w:val="auto"/>
              </w:rPr>
            </w:pPr>
            <w:r>
              <w:rPr>
                <w:rFonts w:ascii="Arial" w:cs="Arial" w:eastAsia="Arial" w:hAnsi="Arial"/>
                <w:sz w:val="18"/>
                <w:szCs w:val="18"/>
                <w:color w:val="auto"/>
                <w:w w:val="90"/>
              </w:rPr>
              <w:t>___________</w:t>
            </w:r>
          </w:p>
        </w:tc>
      </w:tr>
      <w:tr>
        <w:trPr>
          <w:trHeight w:val="230"/>
        </w:trPr>
        <w:tc>
          <w:tcPr>
            <w:tcW w:w="304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4520" w:type="dxa"/>
            <w:vAlign w:val="bottom"/>
          </w:tcPr>
          <w:p>
            <w:pPr>
              <w:spacing w:after="0"/>
              <w:rPr>
                <w:sz w:val="20"/>
                <w:szCs w:val="20"/>
                <w:color w:val="auto"/>
              </w:rPr>
            </w:pPr>
          </w:p>
        </w:tc>
        <w:tc>
          <w:tcPr>
            <w:tcW w:w="2140" w:type="dxa"/>
            <w:vAlign w:val="bottom"/>
          </w:tcPr>
          <w:p>
            <w:pPr>
              <w:jc w:val="center"/>
              <w:ind w:left="690"/>
              <w:spacing w:after="0"/>
              <w:rPr>
                <w:sz w:val="20"/>
                <w:szCs w:val="20"/>
                <w:color w:val="auto"/>
              </w:rPr>
            </w:pPr>
            <w:r>
              <w:rPr>
                <w:rFonts w:ascii="Arial" w:cs="Arial" w:eastAsia="Arial" w:hAnsi="Arial"/>
                <w:sz w:val="18"/>
                <w:szCs w:val="18"/>
                <w:color w:val="auto"/>
                <w:w w:val="94"/>
              </w:rPr>
              <w:t>(Zip Code)</w:t>
            </w:r>
          </w:p>
        </w:tc>
      </w:tr>
      <w:tr>
        <w:trPr>
          <w:trHeight w:val="432"/>
        </w:trPr>
        <w:tc>
          <w:tcPr>
            <w:tcW w:w="7560" w:type="dxa"/>
            <w:vAlign w:val="bottom"/>
            <w:gridSpan w:val="2"/>
          </w:tcPr>
          <w:p>
            <w:pPr>
              <w:ind w:left="420"/>
              <w:spacing w:after="0"/>
              <w:rPr>
                <w:sz w:val="20"/>
                <w:szCs w:val="20"/>
                <w:color w:val="auto"/>
              </w:rPr>
            </w:pPr>
            <w:r>
              <w:rPr>
                <w:rFonts w:ascii="Arial" w:cs="Arial" w:eastAsia="Arial" w:hAnsi="Arial"/>
                <w:sz w:val="18"/>
                <w:szCs w:val="18"/>
                <w:color w:val="auto"/>
              </w:rPr>
              <w:t>Registrant’s telephone number, including area code:</w:t>
            </w:r>
          </w:p>
        </w:tc>
        <w:tc>
          <w:tcPr>
            <w:tcW w:w="2140" w:type="dxa"/>
            <w:vAlign w:val="bottom"/>
          </w:tcPr>
          <w:p>
            <w:pPr>
              <w:jc w:val="right"/>
              <w:ind w:right="870"/>
              <w:spacing w:after="0"/>
              <w:rPr>
                <w:sz w:val="20"/>
                <w:szCs w:val="20"/>
                <w:color w:val="auto"/>
              </w:rPr>
            </w:pPr>
            <w:r>
              <w:rPr>
                <w:rFonts w:ascii="Arial" w:cs="Arial" w:eastAsia="Arial" w:hAnsi="Arial"/>
                <w:sz w:val="18"/>
                <w:szCs w:val="18"/>
                <w:color w:val="auto"/>
              </w:rPr>
              <w:t>858-848-8100</w:t>
            </w:r>
          </w:p>
        </w:tc>
      </w:tr>
      <w:tr>
        <w:trPr>
          <w:trHeight w:val="418"/>
        </w:trPr>
        <w:tc>
          <w:tcPr>
            <w:tcW w:w="3040" w:type="dxa"/>
            <w:vAlign w:val="bottom"/>
          </w:tcPr>
          <w:p>
            <w:pPr>
              <w:spacing w:after="0"/>
              <w:rPr>
                <w:sz w:val="24"/>
                <w:szCs w:val="24"/>
                <w:color w:val="auto"/>
              </w:rPr>
            </w:pPr>
          </w:p>
        </w:tc>
        <w:tc>
          <w:tcPr>
            <w:tcW w:w="4520" w:type="dxa"/>
            <w:vAlign w:val="bottom"/>
          </w:tcPr>
          <w:p>
            <w:pPr>
              <w:jc w:val="center"/>
              <w:ind w:right="10"/>
              <w:spacing w:after="0"/>
              <w:rPr>
                <w:sz w:val="20"/>
                <w:szCs w:val="20"/>
                <w:color w:val="auto"/>
              </w:rPr>
            </w:pPr>
            <w:r>
              <w:rPr>
                <w:rFonts w:ascii="Arial" w:cs="Arial" w:eastAsia="Arial" w:hAnsi="Arial"/>
                <w:sz w:val="18"/>
                <w:szCs w:val="18"/>
                <w:color w:val="auto"/>
                <w:w w:val="94"/>
              </w:rPr>
              <w:t>Not Applicable</w:t>
            </w:r>
          </w:p>
        </w:tc>
        <w:tc>
          <w:tcPr>
            <w:tcW w:w="2140" w:type="dxa"/>
            <w:vAlign w:val="bottom"/>
          </w:tcPr>
          <w:p>
            <w:pPr>
              <w:spacing w:after="0"/>
              <w:rPr>
                <w:sz w:val="24"/>
                <w:szCs w:val="24"/>
                <w:color w:val="auto"/>
              </w:rPr>
            </w:pPr>
          </w:p>
        </w:tc>
      </w:tr>
      <w:tr>
        <w:trPr>
          <w:trHeight w:val="216"/>
        </w:trPr>
        <w:tc>
          <w:tcPr>
            <w:tcW w:w="3040" w:type="dxa"/>
            <w:vAlign w:val="bottom"/>
          </w:tcPr>
          <w:p>
            <w:pPr>
              <w:spacing w:after="0"/>
              <w:rPr>
                <w:sz w:val="18"/>
                <w:szCs w:val="18"/>
                <w:color w:val="auto"/>
              </w:rPr>
            </w:pPr>
          </w:p>
        </w:tc>
        <w:tc>
          <w:tcPr>
            <w:tcW w:w="4520" w:type="dxa"/>
            <w:vAlign w:val="bottom"/>
          </w:tcPr>
          <w:p>
            <w:pPr>
              <w:jc w:val="right"/>
              <w:ind w:right="150"/>
              <w:spacing w:after="0"/>
              <w:rPr>
                <w:sz w:val="20"/>
                <w:szCs w:val="20"/>
                <w:color w:val="auto"/>
              </w:rPr>
            </w:pPr>
            <w:r>
              <w:rPr>
                <w:rFonts w:ascii="Arial" w:cs="Arial" w:eastAsia="Arial" w:hAnsi="Arial"/>
                <w:sz w:val="18"/>
                <w:szCs w:val="18"/>
                <w:color w:val="auto"/>
                <w:w w:val="92"/>
              </w:rPr>
              <w:t>______________________________________________</w:t>
            </w:r>
          </w:p>
        </w:tc>
        <w:tc>
          <w:tcPr>
            <w:tcW w:w="2140" w:type="dxa"/>
            <w:vAlign w:val="bottom"/>
          </w:tcPr>
          <w:p>
            <w:pPr>
              <w:spacing w:after="0"/>
              <w:rPr>
                <w:sz w:val="18"/>
                <w:szCs w:val="18"/>
                <w:color w:val="auto"/>
              </w:rPr>
            </w:pPr>
          </w:p>
        </w:tc>
      </w:tr>
      <w:tr>
        <w:trPr>
          <w:trHeight w:val="230"/>
        </w:trPr>
        <w:tc>
          <w:tcPr>
            <w:tcW w:w="3040" w:type="dxa"/>
            <w:vAlign w:val="bottom"/>
          </w:tcPr>
          <w:p>
            <w:pPr>
              <w:spacing w:after="0"/>
              <w:rPr>
                <w:sz w:val="20"/>
                <w:szCs w:val="20"/>
                <w:color w:val="auto"/>
              </w:rPr>
            </w:pPr>
          </w:p>
        </w:tc>
        <w:tc>
          <w:tcPr>
            <w:tcW w:w="4520" w:type="dxa"/>
            <w:vAlign w:val="bottom"/>
          </w:tcPr>
          <w:p>
            <w:pPr>
              <w:jc w:val="center"/>
              <w:ind w:right="10"/>
              <w:spacing w:after="0"/>
              <w:rPr>
                <w:sz w:val="20"/>
                <w:szCs w:val="20"/>
                <w:color w:val="auto"/>
              </w:rPr>
            </w:pPr>
            <w:r>
              <w:rPr>
                <w:rFonts w:ascii="Arial" w:cs="Arial" w:eastAsia="Arial" w:hAnsi="Arial"/>
                <w:sz w:val="18"/>
                <w:szCs w:val="18"/>
                <w:color w:val="auto"/>
                <w:w w:val="89"/>
              </w:rPr>
              <w:t>Former name or former address, if changed since last report</w:t>
            </w:r>
          </w:p>
        </w:tc>
        <w:tc>
          <w:tcPr>
            <w:tcW w:w="2140" w:type="dxa"/>
            <w:vAlign w:val="bottom"/>
          </w:tcPr>
          <w:p>
            <w:pPr>
              <w:spacing w:after="0"/>
              <w:rPr>
                <w:sz w:val="20"/>
                <w:szCs w:val="20"/>
                <w:color w:val="auto"/>
              </w:rPr>
            </w:pPr>
          </w:p>
        </w:tc>
      </w:tr>
    </w:tbl>
    <w:p>
      <w:pPr>
        <w:spacing w:after="0" w:line="202"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jc w:val="both"/>
        <w:ind w:right="4540" w:firstLine="8"/>
        <w:spacing w:after="0" w:line="291" w:lineRule="auto"/>
        <w:tabs>
          <w:tab w:leader="none" w:pos="297"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 [ ] Soliciting material pursuant to Rule 14a-12 under the Exchange Act (17 CFR 240.14a-12)</w:t>
      </w:r>
    </w:p>
    <w:p>
      <w:pPr>
        <w:jc w:val="both"/>
        <w:ind w:right="2940"/>
        <w:spacing w:after="0" w:line="323" w:lineRule="auto"/>
        <w:rPr>
          <w:rFonts w:ascii="Arial" w:cs="Arial" w:eastAsia="Arial" w:hAnsi="Arial"/>
          <w:sz w:val="16"/>
          <w:szCs w:val="16"/>
          <w:color w:val="auto"/>
        </w:rPr>
      </w:pPr>
      <w:r>
        <w:rPr>
          <w:rFonts w:ascii="Arial" w:cs="Arial" w:eastAsia="Arial" w:hAnsi="Arial"/>
          <w:sz w:val="16"/>
          <w:szCs w:val="16"/>
          <w:color w:val="auto"/>
        </w:rPr>
        <w:t>[ ] Pre-commencement communications pursuant to Rule 14d-2(b) under the Exchange Act (17 CFR 240.14d-2(b)) [ ] Pre-commencement communications pursuant to Rule 13e-4(c) under the Exchange Act (17 CFR 240.13e-4(c))</w:t>
      </w:r>
    </w:p>
    <w:p>
      <w:pPr>
        <w:spacing w:after="0" w:line="139"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38" w:lineRule="exact"/>
        <w:rPr>
          <w:sz w:val="24"/>
          <w:szCs w:val="24"/>
          <w:color w:val="auto"/>
        </w:rPr>
      </w:pPr>
    </w:p>
    <w:p>
      <w:pPr>
        <w:jc w:val="center"/>
        <w:ind w:right="-79"/>
        <w:spacing w:after="0" w:line="207" w:lineRule="exact"/>
        <w:rPr>
          <w:sz w:val="20"/>
          <w:szCs w:val="20"/>
          <w:color w:val="auto"/>
        </w:rPr>
      </w:pPr>
      <w:r>
        <w:rPr>
          <w:rFonts w:ascii="Arial" w:cs="Arial" w:eastAsia="Arial" w:hAnsi="Arial"/>
          <w:sz w:val="18"/>
          <w:szCs w:val="18"/>
          <w:color w:val="auto"/>
        </w:rPr>
        <w:t>Emerging growth company</w:t>
      </w:r>
      <w:r>
        <w:rPr>
          <w:rFonts w:ascii="MS PGothic" w:cs="MS PGothic" w:eastAsia="MS PGothic" w:hAnsi="MS PGothic"/>
          <w:sz w:val="18"/>
          <w:szCs w:val="18"/>
          <w:color w:val="auto"/>
        </w:rPr>
        <w:t>☐</w:t>
      </w:r>
    </w:p>
    <w:p>
      <w:pPr>
        <w:spacing w:after="0" w:line="258" w:lineRule="exact"/>
        <w:rPr>
          <w:sz w:val="24"/>
          <w:szCs w:val="24"/>
          <w:color w:val="auto"/>
        </w:rPr>
      </w:pPr>
    </w:p>
    <w:p>
      <w:pPr>
        <w:jc w:val="center"/>
        <w:ind w:left="320"/>
        <w:spacing w:after="0" w:line="233"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233" w:right="3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5"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Supplement to</w:t>
      </w:r>
    </w:p>
    <w:p>
      <w:pPr>
        <w:spacing w:after="0" w:line="225"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Joint Proxy Statement/Prospectus (the “</w:t>
      </w:r>
      <w:r>
        <w:rPr>
          <w:rFonts w:ascii="Arial" w:cs="Arial" w:eastAsia="Arial" w:hAnsi="Arial"/>
          <w:sz w:val="18"/>
          <w:szCs w:val="18"/>
          <w:b w:val="1"/>
          <w:bCs w:val="1"/>
          <w:u w:val="single" w:color="auto"/>
          <w:color w:val="auto"/>
        </w:rPr>
        <w:t>Proxy Statement</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Filed by Cohu, Inc. (“</w:t>
      </w:r>
      <w:r>
        <w:rPr>
          <w:rFonts w:ascii="Arial" w:cs="Arial" w:eastAsia="Arial" w:hAnsi="Arial"/>
          <w:sz w:val="18"/>
          <w:szCs w:val="18"/>
          <w:b w:val="1"/>
          <w:bCs w:val="1"/>
          <w:u w:val="single" w:color="auto"/>
          <w:color w:val="auto"/>
        </w:rPr>
        <w:t>Cohu</w:t>
      </w:r>
      <w:r>
        <w:rPr>
          <w:rFonts w:ascii="Arial" w:cs="Arial" w:eastAsia="Arial" w:hAnsi="Arial"/>
          <w:sz w:val="18"/>
          <w:szCs w:val="18"/>
          <w:b w:val="1"/>
          <w:bCs w:val="1"/>
          <w:color w:val="auto"/>
        </w:rPr>
        <w:t>”) and Xcerra Corporation (“</w:t>
      </w:r>
      <w:r>
        <w:rPr>
          <w:rFonts w:ascii="Arial" w:cs="Arial" w:eastAsia="Arial" w:hAnsi="Arial"/>
          <w:sz w:val="18"/>
          <w:szCs w:val="18"/>
          <w:b w:val="1"/>
          <w:bCs w:val="1"/>
          <w:u w:val="single" w:color="auto"/>
          <w:color w:val="auto"/>
        </w:rPr>
        <w:t>Xcerra</w:t>
      </w:r>
      <w:r>
        <w:rPr>
          <w:rFonts w:ascii="Arial" w:cs="Arial" w:eastAsia="Arial" w:hAnsi="Arial"/>
          <w:sz w:val="18"/>
          <w:szCs w:val="18"/>
          <w:b w:val="1"/>
          <w:bCs w:val="1"/>
          <w:color w:val="auto"/>
        </w:rPr>
        <w:t>”)</w:t>
      </w:r>
    </w:p>
    <w:p>
      <w:pPr>
        <w:spacing w:after="0" w:line="9"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with the Securities and Exchange Commission (“</w:t>
      </w:r>
      <w:r>
        <w:rPr>
          <w:rFonts w:ascii="Arial" w:cs="Arial" w:eastAsia="Arial" w:hAnsi="Arial"/>
          <w:sz w:val="18"/>
          <w:szCs w:val="18"/>
          <w:b w:val="1"/>
          <w:bCs w:val="1"/>
          <w:u w:val="single" w:color="auto"/>
          <w:color w:val="auto"/>
        </w:rPr>
        <w:t>SEC</w:t>
      </w:r>
      <w:r>
        <w:rPr>
          <w:rFonts w:ascii="Arial" w:cs="Arial" w:eastAsia="Arial" w:hAnsi="Arial"/>
          <w:sz w:val="18"/>
          <w:szCs w:val="18"/>
          <w:b w:val="1"/>
          <w:bCs w:val="1"/>
          <w:color w:val="auto"/>
        </w:rPr>
        <w:t>”) on July 30, 2018</w:t>
      </w:r>
    </w:p>
    <w:p>
      <w:pPr>
        <w:spacing w:after="0" w:line="207"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For</w:t>
      </w:r>
    </w:p>
    <w:p>
      <w:pPr>
        <w:spacing w:after="0" w:line="27"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SPECIAL MEETING OF STOCKHOLDERS</w:t>
      </w:r>
    </w:p>
    <w:p>
      <w:pPr>
        <w:spacing w:after="0" w:line="9"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COHU, INC.</w:t>
      </w:r>
    </w:p>
    <w:p>
      <w:pPr>
        <w:spacing w:after="0" w:line="9"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TO BE HELD ON AUGUST 30, 2018</w:t>
      </w:r>
    </w:p>
    <w:p>
      <w:pPr>
        <w:spacing w:after="0" w:line="207"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The date of this Supplement is AUGUST 20, 2018.</w:t>
      </w:r>
    </w:p>
    <w:p>
      <w:pPr>
        <w:spacing w:after="0" w:line="229" w:lineRule="exact"/>
        <w:rPr>
          <w:sz w:val="20"/>
          <w:szCs w:val="20"/>
          <w:color w:val="auto"/>
        </w:rPr>
      </w:pPr>
    </w:p>
    <w:p>
      <w:pPr>
        <w:ind w:right="140" w:firstLine="486"/>
        <w:spacing w:after="0" w:line="257" w:lineRule="auto"/>
        <w:rPr>
          <w:sz w:val="20"/>
          <w:szCs w:val="20"/>
          <w:color w:val="auto"/>
        </w:rPr>
      </w:pPr>
      <w:r>
        <w:rPr>
          <w:rFonts w:ascii="Arial" w:cs="Arial" w:eastAsia="Arial" w:hAnsi="Arial"/>
          <w:sz w:val="18"/>
          <w:szCs w:val="18"/>
          <w:i w:val="1"/>
          <w:iCs w:val="1"/>
          <w:color w:val="auto"/>
        </w:rPr>
        <w:t>The following information supersedes and supplements any information in the Proxy Statement relevant to the applicable topic. Except as specifically supplemented by the information contained in this supplement, all information set forth in the Proxy Statement remains unchanged. Cohu urges you to read this supplement carefully and in its entirety together with the Proxy Statement. Any page references listed below are references to pages in the Proxy Statement, not this supplement to the Proxy Statement. Capitalized terms used herein but not defined shall have the meanings ascribed to such terms in the Proxy Statement.</w:t>
      </w:r>
    </w:p>
    <w:p>
      <w:pPr>
        <w:spacing w:after="0" w:line="188" w:lineRule="exact"/>
        <w:rPr>
          <w:sz w:val="20"/>
          <w:szCs w:val="20"/>
          <w:color w:val="auto"/>
        </w:rPr>
      </w:pPr>
    </w:p>
    <w:p>
      <w:pPr>
        <w:jc w:val="both"/>
        <w:ind w:right="200" w:firstLine="486"/>
        <w:spacing w:after="0" w:line="264" w:lineRule="auto"/>
        <w:rPr>
          <w:sz w:val="20"/>
          <w:szCs w:val="20"/>
          <w:color w:val="auto"/>
        </w:rPr>
      </w:pPr>
      <w:r>
        <w:rPr>
          <w:rFonts w:ascii="Arial" w:cs="Arial" w:eastAsia="Arial" w:hAnsi="Arial"/>
          <w:sz w:val="18"/>
          <w:szCs w:val="18"/>
          <w:i w:val="1"/>
          <w:iCs w:val="1"/>
          <w:color w:val="auto"/>
        </w:rPr>
        <w:t>You are encouraged to read carefully this entire supplement and the entire Proxy Statement, including the Annexes and the other documents to which this supplement or the Proxy Statement refers or incorporates by reference, because the information in this section does not provide all the information that might be important to you.</w:t>
      </w:r>
    </w:p>
    <w:p>
      <w:pPr>
        <w:spacing w:after="0" w:line="177"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The section of the Proxy Statement titled “Comparative Per Share Market Price Information – Cohu”</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i w:val="1"/>
          <w:iCs w:val="1"/>
          <w:color w:val="auto"/>
        </w:rPr>
        <w:t>The heading titled “Fiscal Year Ending December 31, 2018 – Quarter Ended” in the chart on page 65 of the Proxy Statement is hereby amended and restated in its entirety to read “Fiscal Year Ending December 29, 2018 – Quarter Ended.”</w:t>
      </w:r>
    </w:p>
    <w:p>
      <w:pPr>
        <w:spacing w:after="0" w:line="166"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The section of the Proxy Statement titled “The Merger – Background of the Merger”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The following language is hereby added to the paragraph beginning with “Prior to the execution of the Merger Agreement…”on page 94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Statement:</w:t>
      </w:r>
    </w:p>
    <w:p>
      <w:pPr>
        <w:spacing w:after="0" w:line="211"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Additionally, with respect to the two members of the Cohu Board to be designated by Xcerra as described in “—</w:t>
      </w:r>
      <w:r>
        <w:rPr>
          <w:rFonts w:ascii="Arial" w:cs="Arial" w:eastAsia="Arial" w:hAnsi="Arial"/>
          <w:sz w:val="17"/>
          <w:szCs w:val="17"/>
          <w:i w:val="1"/>
          <w:iCs w:val="1"/>
          <w:color w:val="auto"/>
        </w:rPr>
        <w:t>Board of Directors and Management</w:t>
      </w:r>
      <w:r>
        <w:rPr>
          <w:rFonts w:ascii="Arial" w:cs="Arial" w:eastAsia="Arial" w:hAnsi="Arial"/>
          <w:sz w:val="17"/>
          <w:szCs w:val="17"/>
          <w:color w:val="auto"/>
        </w:rPr>
        <w:t xml:space="preserve"> </w:t>
      </w:r>
      <w:r>
        <w:rPr>
          <w:rFonts w:ascii="Arial" w:cs="Arial" w:eastAsia="Arial" w:hAnsi="Arial"/>
          <w:sz w:val="17"/>
          <w:szCs w:val="17"/>
          <w:i w:val="1"/>
          <w:iCs w:val="1"/>
          <w:color w:val="auto"/>
        </w:rPr>
        <w:t>after the Transaction</w:t>
      </w:r>
      <w:r>
        <w:rPr>
          <w:rFonts w:ascii="Arial" w:cs="Arial" w:eastAsia="Arial" w:hAnsi="Arial"/>
          <w:sz w:val="17"/>
          <w:szCs w:val="17"/>
          <w:color w:val="auto"/>
        </w:rPr>
        <w:t>,” at the time of the execution of the Merger Agreement no such designee had been identified, no member of the Xcerra Board had been</w:t>
      </w:r>
      <w:r>
        <w:rPr>
          <w:rFonts w:ascii="Arial" w:cs="Arial" w:eastAsia="Arial" w:hAnsi="Arial"/>
          <w:sz w:val="17"/>
          <w:szCs w:val="17"/>
          <w:i w:val="1"/>
          <w:iCs w:val="1"/>
          <w:color w:val="auto"/>
        </w:rPr>
        <w:t xml:space="preserve"> </w:t>
      </w:r>
      <w:r>
        <w:rPr>
          <w:rFonts w:ascii="Arial" w:cs="Arial" w:eastAsia="Arial" w:hAnsi="Arial"/>
          <w:sz w:val="17"/>
          <w:szCs w:val="17"/>
          <w:color w:val="auto"/>
        </w:rPr>
        <w:t>offered or promised any position, or consideration for any position, on the Cohu Board, and neither Xcerra nor Cohu had engaged in any discussions with any member of the Xcerra Board regarding such person’s designation or potential designation for a position on the Cohu Board. Following the execution of the Merger Agreement, Xcerra provided to Cohu a list of four members of the Xcerra Board (each a “</w:t>
      </w:r>
      <w:r>
        <w:rPr>
          <w:rFonts w:ascii="Arial" w:cs="Arial" w:eastAsia="Arial" w:hAnsi="Arial"/>
          <w:sz w:val="17"/>
          <w:szCs w:val="17"/>
          <w:u w:val="single" w:color="auto"/>
          <w:color w:val="auto"/>
        </w:rPr>
        <w:t>Potential Designee</w:t>
      </w:r>
      <w:r>
        <w:rPr>
          <w:rFonts w:ascii="Arial" w:cs="Arial" w:eastAsia="Arial" w:hAnsi="Arial"/>
          <w:sz w:val="17"/>
          <w:szCs w:val="17"/>
          <w:color w:val="auto"/>
        </w:rPr>
        <w:t>”) to potentially serve on the Cohu Board following the Effective Time, and Xcerra, Cohu and each Potential Designee engaged in discussions regarding such person’s potential service on the Cohu Board following the Effective Time. On August 14, 2018, Mr. Jim Donahue, Chairman of the Cohu Board, formally invited David G. Tacelli and Jorge L. Titinger, each a Potential Designee, to join the Cohu Board following the Effective Time. Each of Messrs. Tacelli and Titinger are expected to accept such invitation to serve on the Cohu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 w:name="page3"/>
    <w:bookmarkEnd w:id="2"/>
    <w:p>
      <w:pPr>
        <w:ind w:left="660" w:right="220" w:hanging="328"/>
        <w:spacing w:after="0" w:line="282"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The section of the Proxy Statement titled “The Merger – Opinion of Xcerra’s Financial Advisor, Cowen – Summary of Material Financial Analyses – Xcerra Financial Analyses – Analysis of Xcerra Selected Publicly Traded Companies”</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The first paragraph on page 118 of the Proxy Statement is hereby amended and restated as follows:</w:t>
      </w:r>
    </w:p>
    <w:p>
      <w:pPr>
        <w:spacing w:after="0" w:line="225" w:lineRule="exact"/>
        <w:rPr>
          <w:sz w:val="20"/>
          <w:szCs w:val="20"/>
          <w:color w:val="auto"/>
        </w:rPr>
      </w:pPr>
    </w:p>
    <w:p>
      <w:pPr>
        <w:jc w:val="both"/>
        <w:ind w:right="20" w:firstLine="486"/>
        <w:spacing w:after="0" w:line="264" w:lineRule="auto"/>
        <w:rPr>
          <w:sz w:val="20"/>
          <w:szCs w:val="20"/>
          <w:color w:val="auto"/>
        </w:rPr>
      </w:pPr>
      <w:r>
        <w:rPr>
          <w:rFonts w:ascii="Arial" w:cs="Arial" w:eastAsia="Arial" w:hAnsi="Arial"/>
          <w:sz w:val="18"/>
          <w:szCs w:val="18"/>
          <w:color w:val="auto"/>
        </w:rPr>
        <w:t>The following tables present the multiple of Implied Enterprise Value to revenue and Adjusted EBITDA and the multiple of closing price per share, as of May 4, 2018, to Non-GAAP EPS, in each case, for the Xcerra Selected Companies and for CY2017A and CY2018E. The information in the tables is based on the closing stock prices of the Xcerra Selected Companies per Capital IQ on May 4, 2018.</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0" w:type="dxa"/>
            <w:vAlign w:val="bottom"/>
            <w:tcBorders>
              <w:right w:val="single" w:sz="8" w:color="auto"/>
            </w:tcBorders>
          </w:tcPr>
          <w:p>
            <w:pPr>
              <w:spacing w:after="0"/>
              <w:rPr>
                <w:sz w:val="18"/>
                <w:szCs w:val="18"/>
                <w:color w:val="auto"/>
              </w:rPr>
            </w:pPr>
          </w:p>
        </w:tc>
        <w:tc>
          <w:tcPr>
            <w:tcW w:w="2360" w:type="dxa"/>
            <w:vAlign w:val="bottom"/>
            <w:tcBorders>
              <w:top w:val="single" w:sz="8" w:color="auto"/>
              <w:right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right w:val="single" w:sz="8" w:color="auto"/>
            </w:tcBorders>
          </w:tcPr>
          <w:p>
            <w:pPr>
              <w:spacing w:after="0"/>
              <w:rPr>
                <w:sz w:val="18"/>
                <w:szCs w:val="18"/>
                <w:color w:val="auto"/>
              </w:rPr>
            </w:pPr>
          </w:p>
        </w:tc>
        <w:tc>
          <w:tcPr>
            <w:tcW w:w="2920" w:type="dxa"/>
            <w:vAlign w:val="bottom"/>
            <w:tcBorders>
              <w:top w:val="single" w:sz="8" w:color="auto"/>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Price per share as a</w:t>
            </w:r>
          </w:p>
        </w:tc>
      </w:tr>
      <w:tr>
        <w:trPr>
          <w:trHeight w:val="234"/>
        </w:trPr>
        <w:tc>
          <w:tcPr>
            <w:tcW w:w="40" w:type="dxa"/>
            <w:vAlign w:val="bottom"/>
            <w:tcBorders>
              <w:right w:val="single" w:sz="8" w:color="auto"/>
            </w:tcBorders>
          </w:tcPr>
          <w:p>
            <w:pPr>
              <w:spacing w:after="0"/>
              <w:rPr>
                <w:sz w:val="20"/>
                <w:szCs w:val="20"/>
                <w:color w:val="auto"/>
              </w:rPr>
            </w:pPr>
          </w:p>
        </w:tc>
        <w:tc>
          <w:tcPr>
            <w:tcW w:w="2360" w:type="dxa"/>
            <w:vAlign w:val="bottom"/>
            <w:tcBorders>
              <w:right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4"/>
          </w:tcPr>
          <w:p>
            <w:pPr>
              <w:ind w:left="220"/>
              <w:spacing w:after="0"/>
              <w:rPr>
                <w:sz w:val="20"/>
                <w:szCs w:val="20"/>
                <w:color w:val="auto"/>
              </w:rPr>
            </w:pPr>
            <w:r>
              <w:rPr>
                <w:rFonts w:ascii="Arial" w:cs="Arial" w:eastAsia="Arial" w:hAnsi="Arial"/>
                <w:sz w:val="18"/>
                <w:szCs w:val="18"/>
                <w:b w:val="1"/>
                <w:bCs w:val="1"/>
                <w:color w:val="auto"/>
                <w:w w:val="93"/>
              </w:rPr>
              <w:t>Implied Enterprise Value as a multiple of:</w:t>
            </w:r>
          </w:p>
        </w:tc>
        <w:tc>
          <w:tcPr>
            <w:tcW w:w="136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940" w:type="dxa"/>
            <w:vAlign w:val="bottom"/>
            <w:tcBorders>
              <w:bottom w:val="single" w:sz="8" w:color="auto"/>
              <w:right w:val="single" w:sz="8" w:color="auto"/>
            </w:tcBorders>
            <w:gridSpan w:val="2"/>
          </w:tcPr>
          <w:p>
            <w:pPr>
              <w:jc w:val="center"/>
              <w:ind w:right="910"/>
              <w:spacing w:after="0"/>
              <w:rPr>
                <w:sz w:val="20"/>
                <w:szCs w:val="20"/>
                <w:color w:val="auto"/>
              </w:rPr>
            </w:pPr>
            <w:r>
              <w:rPr>
                <w:rFonts w:ascii="Arial" w:cs="Arial" w:eastAsia="Arial" w:hAnsi="Arial"/>
                <w:sz w:val="18"/>
                <w:szCs w:val="18"/>
                <w:b w:val="1"/>
                <w:bCs w:val="1"/>
                <w:color w:val="auto"/>
                <w:w w:val="92"/>
              </w:rPr>
              <w:t>multiple of:</w:t>
            </w:r>
          </w:p>
        </w:tc>
      </w:tr>
      <w:tr>
        <w:trPr>
          <w:trHeight w:val="191"/>
        </w:trPr>
        <w:tc>
          <w:tcPr>
            <w:tcW w:w="40" w:type="dxa"/>
            <w:vAlign w:val="bottom"/>
            <w:tcBorders>
              <w:right w:val="single" w:sz="8" w:color="auto"/>
            </w:tcBorders>
          </w:tcPr>
          <w:p>
            <w:pPr>
              <w:spacing w:after="0"/>
              <w:rPr>
                <w:sz w:val="16"/>
                <w:szCs w:val="16"/>
                <w:color w:val="auto"/>
              </w:rPr>
            </w:pPr>
          </w:p>
        </w:tc>
        <w:tc>
          <w:tcPr>
            <w:tcW w:w="2360" w:type="dxa"/>
            <w:vAlign w:val="bottom"/>
            <w:tcBorders>
              <w:right w:val="single" w:sz="8" w:color="auto"/>
            </w:tcBorders>
          </w:tcPr>
          <w:p>
            <w:pPr>
              <w:spacing w:after="0"/>
              <w:rPr>
                <w:sz w:val="16"/>
                <w:szCs w:val="16"/>
                <w:color w:val="auto"/>
              </w:rPr>
            </w:pPr>
          </w:p>
        </w:tc>
        <w:tc>
          <w:tcPr>
            <w:tcW w:w="120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c>
          <w:tcPr>
            <w:tcW w:w="980" w:type="dxa"/>
            <w:vAlign w:val="bottom"/>
          </w:tcPr>
          <w:p>
            <w:pPr>
              <w:ind w:left="220"/>
              <w:spacing w:after="0" w:line="191" w:lineRule="exact"/>
              <w:rPr>
                <w:sz w:val="20"/>
                <w:szCs w:val="20"/>
                <w:color w:val="auto"/>
              </w:rPr>
            </w:pPr>
            <w:r>
              <w:rPr>
                <w:rFonts w:ascii="Arial" w:cs="Arial" w:eastAsia="Arial" w:hAnsi="Arial"/>
                <w:sz w:val="18"/>
                <w:szCs w:val="18"/>
                <w:b w:val="1"/>
                <w:bCs w:val="1"/>
                <w:color w:val="auto"/>
                <w:w w:val="94"/>
              </w:rPr>
              <w:t>CY2017A</w:t>
            </w:r>
          </w:p>
        </w:tc>
        <w:tc>
          <w:tcPr>
            <w:tcW w:w="48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ind w:left="220"/>
              <w:spacing w:after="0" w:line="191" w:lineRule="exact"/>
              <w:rPr>
                <w:sz w:val="20"/>
                <w:szCs w:val="20"/>
                <w:color w:val="auto"/>
              </w:rPr>
            </w:pPr>
            <w:r>
              <w:rPr>
                <w:rFonts w:ascii="Arial" w:cs="Arial" w:eastAsia="Arial" w:hAnsi="Arial"/>
                <w:sz w:val="18"/>
                <w:szCs w:val="18"/>
                <w:b w:val="1"/>
                <w:bCs w:val="1"/>
                <w:color w:val="auto"/>
              </w:rPr>
              <w:t>CY2018E</w:t>
            </w:r>
          </w:p>
        </w:tc>
      </w:tr>
      <w:tr>
        <w:trPr>
          <w:trHeight w:val="216"/>
        </w:trPr>
        <w:tc>
          <w:tcPr>
            <w:tcW w:w="40" w:type="dxa"/>
            <w:vAlign w:val="bottom"/>
            <w:tcBorders>
              <w:right w:val="single" w:sz="8" w:color="auto"/>
            </w:tcBorders>
          </w:tcPr>
          <w:p>
            <w:pPr>
              <w:spacing w:after="0"/>
              <w:rPr>
                <w:sz w:val="18"/>
                <w:szCs w:val="18"/>
                <w:color w:val="auto"/>
              </w:rPr>
            </w:pPr>
          </w:p>
        </w:tc>
        <w:tc>
          <w:tcPr>
            <w:tcW w:w="2360" w:type="dxa"/>
            <w:vAlign w:val="bottom"/>
            <w:tcBorders>
              <w:righ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ind w:left="200"/>
              <w:spacing w:after="0"/>
              <w:rPr>
                <w:sz w:val="20"/>
                <w:szCs w:val="20"/>
                <w:color w:val="auto"/>
              </w:rPr>
            </w:pPr>
            <w:r>
              <w:rPr>
                <w:rFonts w:ascii="Arial" w:cs="Arial" w:eastAsia="Arial" w:hAnsi="Arial"/>
                <w:sz w:val="18"/>
                <w:szCs w:val="18"/>
                <w:b w:val="1"/>
                <w:bCs w:val="1"/>
                <w:color w:val="auto"/>
              </w:rPr>
              <w:t>CY2017A</w:t>
            </w:r>
          </w:p>
        </w:tc>
        <w:tc>
          <w:tcPr>
            <w:tcW w:w="120" w:type="dxa"/>
            <w:vAlign w:val="bottom"/>
          </w:tcPr>
          <w:p>
            <w:pPr>
              <w:spacing w:after="0"/>
              <w:rPr>
                <w:sz w:val="18"/>
                <w:szCs w:val="18"/>
                <w:color w:val="auto"/>
              </w:rPr>
            </w:pPr>
          </w:p>
        </w:tc>
        <w:tc>
          <w:tcPr>
            <w:tcW w:w="136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CY2018E</w:t>
            </w:r>
          </w:p>
        </w:tc>
        <w:tc>
          <w:tcPr>
            <w:tcW w:w="980" w:type="dxa"/>
            <w:vAlign w:val="bottom"/>
          </w:tcPr>
          <w:p>
            <w:pPr>
              <w:ind w:left="220"/>
              <w:spacing w:after="0"/>
              <w:rPr>
                <w:sz w:val="20"/>
                <w:szCs w:val="20"/>
                <w:color w:val="auto"/>
              </w:rPr>
            </w:pPr>
            <w:r>
              <w:rPr>
                <w:rFonts w:ascii="Arial" w:cs="Arial" w:eastAsia="Arial" w:hAnsi="Arial"/>
                <w:sz w:val="18"/>
                <w:szCs w:val="18"/>
                <w:b w:val="1"/>
                <w:bCs w:val="1"/>
                <w:color w:val="auto"/>
              </w:rPr>
              <w:t>Non-</w:t>
            </w:r>
          </w:p>
        </w:tc>
        <w:tc>
          <w:tcPr>
            <w:tcW w:w="48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ind w:left="220"/>
              <w:spacing w:after="0"/>
              <w:rPr>
                <w:sz w:val="20"/>
                <w:szCs w:val="20"/>
                <w:color w:val="auto"/>
              </w:rPr>
            </w:pPr>
            <w:r>
              <w:rPr>
                <w:rFonts w:ascii="Arial" w:cs="Arial" w:eastAsia="Arial" w:hAnsi="Arial"/>
                <w:sz w:val="18"/>
                <w:szCs w:val="18"/>
                <w:b w:val="1"/>
                <w:bCs w:val="1"/>
                <w:color w:val="auto"/>
              </w:rPr>
              <w:t>Non-</w:t>
            </w:r>
          </w:p>
        </w:tc>
      </w:tr>
      <w:tr>
        <w:trPr>
          <w:trHeight w:val="216"/>
        </w:trPr>
        <w:tc>
          <w:tcPr>
            <w:tcW w:w="40" w:type="dxa"/>
            <w:vAlign w:val="bottom"/>
            <w:tcBorders>
              <w:right w:val="single" w:sz="8" w:color="auto"/>
            </w:tcBorders>
          </w:tcPr>
          <w:p>
            <w:pPr>
              <w:spacing w:after="0"/>
              <w:rPr>
                <w:sz w:val="18"/>
                <w:szCs w:val="18"/>
                <w:color w:val="auto"/>
              </w:rPr>
            </w:pPr>
          </w:p>
        </w:tc>
        <w:tc>
          <w:tcPr>
            <w:tcW w:w="2360" w:type="dxa"/>
            <w:vAlign w:val="bottom"/>
            <w:tcBorders>
              <w:right w:val="single" w:sz="8" w:color="auto"/>
            </w:tcBorders>
          </w:tcPr>
          <w:p>
            <w:pPr>
              <w:spacing w:after="0"/>
              <w:rPr>
                <w:sz w:val="18"/>
                <w:szCs w:val="18"/>
                <w:color w:val="auto"/>
              </w:rPr>
            </w:pPr>
          </w:p>
        </w:tc>
        <w:tc>
          <w:tcPr>
            <w:tcW w:w="1200" w:type="dxa"/>
            <w:vAlign w:val="bottom"/>
          </w:tcPr>
          <w:p>
            <w:pPr>
              <w:ind w:left="220"/>
              <w:spacing w:after="0"/>
              <w:rPr>
                <w:sz w:val="20"/>
                <w:szCs w:val="20"/>
                <w:color w:val="auto"/>
              </w:rPr>
            </w:pPr>
            <w:r>
              <w:rPr>
                <w:rFonts w:ascii="Arial" w:cs="Arial" w:eastAsia="Arial" w:hAnsi="Arial"/>
                <w:sz w:val="18"/>
                <w:szCs w:val="18"/>
                <w:b w:val="1"/>
                <w:bCs w:val="1"/>
                <w:color w:val="auto"/>
              </w:rPr>
              <w:t>CY2017A</w:t>
            </w:r>
          </w:p>
        </w:tc>
        <w:tc>
          <w:tcPr>
            <w:tcW w:w="40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CY2018E</w:t>
            </w:r>
          </w:p>
        </w:tc>
        <w:tc>
          <w:tcPr>
            <w:tcW w:w="1540" w:type="dxa"/>
            <w:vAlign w:val="bottom"/>
            <w:tcBorders>
              <w:right w:val="single" w:sz="8" w:color="auto"/>
            </w:tcBorders>
          </w:tcPr>
          <w:p>
            <w:pPr>
              <w:ind w:left="200"/>
              <w:spacing w:after="0"/>
              <w:rPr>
                <w:sz w:val="20"/>
                <w:szCs w:val="20"/>
                <w:color w:val="auto"/>
              </w:rPr>
            </w:pPr>
            <w:r>
              <w:rPr>
                <w:rFonts w:ascii="Arial" w:cs="Arial" w:eastAsia="Arial" w:hAnsi="Arial"/>
                <w:sz w:val="18"/>
                <w:szCs w:val="18"/>
                <w:b w:val="1"/>
                <w:bCs w:val="1"/>
                <w:color w:val="auto"/>
              </w:rPr>
              <w:t>Adjusted</w:t>
            </w:r>
          </w:p>
        </w:tc>
        <w:tc>
          <w:tcPr>
            <w:tcW w:w="120" w:type="dxa"/>
            <w:vAlign w:val="bottom"/>
          </w:tcPr>
          <w:p>
            <w:pPr>
              <w:spacing w:after="0"/>
              <w:rPr>
                <w:sz w:val="18"/>
                <w:szCs w:val="18"/>
                <w:color w:val="auto"/>
              </w:rPr>
            </w:pPr>
          </w:p>
        </w:tc>
        <w:tc>
          <w:tcPr>
            <w:tcW w:w="136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Adjusted</w:t>
            </w:r>
          </w:p>
        </w:tc>
        <w:tc>
          <w:tcPr>
            <w:tcW w:w="980" w:type="dxa"/>
            <w:vAlign w:val="bottom"/>
          </w:tcPr>
          <w:p>
            <w:pPr>
              <w:ind w:left="220"/>
              <w:spacing w:after="0"/>
              <w:rPr>
                <w:sz w:val="20"/>
                <w:szCs w:val="20"/>
                <w:color w:val="auto"/>
              </w:rPr>
            </w:pPr>
            <w:r>
              <w:rPr>
                <w:rFonts w:ascii="Arial" w:cs="Arial" w:eastAsia="Arial" w:hAnsi="Arial"/>
                <w:sz w:val="18"/>
                <w:szCs w:val="18"/>
                <w:b w:val="1"/>
                <w:bCs w:val="1"/>
                <w:color w:val="auto"/>
              </w:rPr>
              <w:t>GAAP</w:t>
            </w:r>
          </w:p>
        </w:tc>
        <w:tc>
          <w:tcPr>
            <w:tcW w:w="48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ind w:left="220"/>
              <w:spacing w:after="0"/>
              <w:rPr>
                <w:sz w:val="20"/>
                <w:szCs w:val="20"/>
                <w:color w:val="auto"/>
              </w:rPr>
            </w:pPr>
            <w:r>
              <w:rPr>
                <w:rFonts w:ascii="Arial" w:cs="Arial" w:eastAsia="Arial" w:hAnsi="Arial"/>
                <w:sz w:val="18"/>
                <w:szCs w:val="18"/>
                <w:b w:val="1"/>
                <w:bCs w:val="1"/>
                <w:color w:val="auto"/>
              </w:rPr>
              <w:t>GAAP</w:t>
            </w:r>
          </w:p>
        </w:tc>
      </w:tr>
      <w:tr>
        <w:trPr>
          <w:trHeight w:val="234"/>
        </w:trPr>
        <w:tc>
          <w:tcPr>
            <w:tcW w:w="40" w:type="dxa"/>
            <w:vAlign w:val="bottom"/>
            <w:tcBorders>
              <w:right w:val="single" w:sz="8" w:color="auto"/>
            </w:tcBorders>
          </w:tcPr>
          <w:p>
            <w:pPr>
              <w:spacing w:after="0"/>
              <w:rPr>
                <w:sz w:val="20"/>
                <w:szCs w:val="20"/>
                <w:color w:val="auto"/>
              </w:rPr>
            </w:pPr>
          </w:p>
        </w:tc>
        <w:tc>
          <w:tcPr>
            <w:tcW w:w="23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Company</w:t>
            </w:r>
          </w:p>
        </w:tc>
        <w:tc>
          <w:tcPr>
            <w:tcW w:w="120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Revenue</w:t>
            </w:r>
          </w:p>
        </w:tc>
        <w:tc>
          <w:tcPr>
            <w:tcW w:w="40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Revenue</w:t>
            </w:r>
          </w:p>
        </w:tc>
        <w:tc>
          <w:tcPr>
            <w:tcW w:w="15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b w:val="1"/>
                <w:bCs w:val="1"/>
                <w:color w:val="auto"/>
              </w:rPr>
              <w:t>EBITDA</w:t>
            </w: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EBITDA</w:t>
            </w:r>
          </w:p>
        </w:tc>
        <w:tc>
          <w:tcPr>
            <w:tcW w:w="98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EPS</w:t>
            </w:r>
          </w:p>
        </w:tc>
        <w:tc>
          <w:tcPr>
            <w:tcW w:w="48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b w:val="1"/>
                <w:bCs w:val="1"/>
                <w:color w:val="auto"/>
              </w:rPr>
              <w:t>EPS</w:t>
            </w:r>
          </w:p>
        </w:tc>
      </w:tr>
      <w:tr>
        <w:trPr>
          <w:trHeight w:val="210"/>
        </w:trPr>
        <w:tc>
          <w:tcPr>
            <w:tcW w:w="40" w:type="dxa"/>
            <w:vAlign w:val="bottom"/>
            <w:tcBorders>
              <w:right w:val="single" w:sz="8" w:color="auto"/>
            </w:tcBorders>
          </w:tcPr>
          <w:p>
            <w:pPr>
              <w:spacing w:after="0"/>
              <w:rPr>
                <w:sz w:val="18"/>
                <w:szCs w:val="18"/>
                <w:color w:val="auto"/>
              </w:rPr>
            </w:pPr>
          </w:p>
        </w:tc>
        <w:tc>
          <w:tcPr>
            <w:tcW w:w="2360" w:type="dxa"/>
            <w:vAlign w:val="bottom"/>
            <w:tcBorders>
              <w:bottom w:val="single" w:sz="8" w:color="auto"/>
              <w:right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Small / Mid Cap</w:t>
            </w:r>
          </w:p>
        </w:tc>
        <w:tc>
          <w:tcPr>
            <w:tcW w:w="12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right w:val="single" w:sz="8" w:color="CCEEFF"/>
            </w:tcBorders>
            <w:shd w:val="clear" w:color="auto" w:fill="CCEEFF"/>
          </w:tcPr>
          <w:p>
            <w:pPr>
              <w:spacing w:after="0"/>
              <w:rPr>
                <w:sz w:val="18"/>
                <w:szCs w:val="18"/>
                <w:color w:val="auto"/>
              </w:rPr>
            </w:pPr>
          </w:p>
        </w:tc>
        <w:tc>
          <w:tcPr>
            <w:tcW w:w="1480" w:type="dxa"/>
            <w:vAlign w:val="bottom"/>
            <w:tcBorders>
              <w:bottom w:val="single" w:sz="8" w:color="auto"/>
              <w:right w:val="single" w:sz="8" w:color="CCEEFF"/>
            </w:tcBorders>
            <w:shd w:val="clear" w:color="auto" w:fill="CCEEFF"/>
          </w:tcPr>
          <w:p>
            <w:pPr>
              <w:spacing w:after="0"/>
              <w:rPr>
                <w:sz w:val="18"/>
                <w:szCs w:val="18"/>
                <w:color w:val="auto"/>
              </w:rPr>
            </w:pPr>
          </w:p>
        </w:tc>
        <w:tc>
          <w:tcPr>
            <w:tcW w:w="1540" w:type="dxa"/>
            <w:vAlign w:val="bottom"/>
            <w:tcBorders>
              <w:bottom w:val="single" w:sz="8" w:color="auto"/>
              <w:righ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right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right w:val="single" w:sz="8" w:color="CCEEFF"/>
            </w:tcBorders>
            <w:shd w:val="clear" w:color="auto" w:fill="CCEEFF"/>
          </w:tcPr>
          <w:p>
            <w:pPr>
              <w:spacing w:after="0"/>
              <w:rPr>
                <w:sz w:val="18"/>
                <w:szCs w:val="18"/>
                <w:color w:val="auto"/>
              </w:rPr>
            </w:pPr>
          </w:p>
        </w:tc>
        <w:tc>
          <w:tcPr>
            <w:tcW w:w="146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40" w:type="dxa"/>
            <w:vAlign w:val="bottom"/>
            <w:tcBorders>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Camtek Ltd.</w:t>
            </w:r>
          </w:p>
        </w:tc>
        <w:tc>
          <w:tcPr>
            <w:tcW w:w="120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2.4x</w:t>
            </w:r>
          </w:p>
        </w:tc>
        <w:tc>
          <w:tcPr>
            <w:tcW w:w="40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jc w:val="right"/>
              <w:ind w:right="510"/>
              <w:spacing w:after="0"/>
              <w:rPr>
                <w:sz w:val="20"/>
                <w:szCs w:val="20"/>
                <w:color w:val="auto"/>
              </w:rPr>
            </w:pPr>
            <w:r>
              <w:rPr>
                <w:rFonts w:ascii="Arial" w:cs="Arial" w:eastAsia="Arial" w:hAnsi="Arial"/>
                <w:sz w:val="18"/>
                <w:szCs w:val="18"/>
                <w:color w:val="auto"/>
              </w:rPr>
              <w:t>1.9x</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17.6x</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jc w:val="center"/>
              <w:ind w:right="70"/>
              <w:spacing w:after="0"/>
              <w:rPr>
                <w:sz w:val="20"/>
                <w:szCs w:val="20"/>
                <w:color w:val="auto"/>
              </w:rPr>
            </w:pPr>
            <w:r>
              <w:rPr>
                <w:rFonts w:ascii="Arial" w:cs="Arial" w:eastAsia="Arial" w:hAnsi="Arial"/>
                <w:sz w:val="18"/>
                <w:szCs w:val="18"/>
                <w:color w:val="auto"/>
                <w:w w:val="90"/>
              </w:rPr>
              <w:t>10.7x</w:t>
            </w:r>
          </w:p>
        </w:tc>
        <w:tc>
          <w:tcPr>
            <w:tcW w:w="980" w:type="dxa"/>
            <w:vAlign w:val="bottom"/>
            <w:tcBorders>
              <w:bottom w:val="single" w:sz="8" w:color="auto"/>
            </w:tcBorders>
          </w:tcPr>
          <w:p>
            <w:pPr>
              <w:jc w:val="center"/>
              <w:ind w:left="370"/>
              <w:spacing w:after="0"/>
              <w:rPr>
                <w:sz w:val="20"/>
                <w:szCs w:val="20"/>
                <w:color w:val="auto"/>
              </w:rPr>
            </w:pPr>
            <w:r>
              <w:rPr>
                <w:rFonts w:ascii="Arial" w:cs="Arial" w:eastAsia="Arial" w:hAnsi="Arial"/>
                <w:sz w:val="18"/>
                <w:szCs w:val="18"/>
                <w:color w:val="auto"/>
                <w:w w:val="90"/>
              </w:rPr>
              <w:t>26.9x</w:t>
            </w:r>
          </w:p>
        </w:tc>
        <w:tc>
          <w:tcPr>
            <w:tcW w:w="48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14.3x</w:t>
            </w:r>
          </w:p>
        </w:tc>
      </w:tr>
      <w:tr>
        <w:trPr>
          <w:trHeight w:val="210"/>
        </w:trPr>
        <w:tc>
          <w:tcPr>
            <w:tcW w:w="40" w:type="dxa"/>
            <w:vAlign w:val="bottom"/>
            <w:tcBorders>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Cohu, Inc.</w:t>
            </w:r>
          </w:p>
        </w:tc>
        <w:tc>
          <w:tcPr>
            <w:tcW w:w="120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1.5x</w:t>
            </w:r>
          </w:p>
        </w:tc>
        <w:tc>
          <w:tcPr>
            <w:tcW w:w="400" w:type="dxa"/>
            <w:vAlign w:val="bottom"/>
            <w:tcBorders>
              <w:bottom w:val="single" w:sz="8" w:color="auto"/>
              <w:right w:val="single" w:sz="8" w:color="auto"/>
            </w:tcBorders>
            <w:shd w:val="clear" w:color="auto" w:fill="CCEEFF"/>
          </w:tcPr>
          <w:p>
            <w:pPr>
              <w:spacing w:after="0"/>
              <w:rPr>
                <w:sz w:val="18"/>
                <w:szCs w:val="18"/>
                <w:color w:val="auto"/>
              </w:rPr>
            </w:pPr>
          </w:p>
        </w:tc>
        <w:tc>
          <w:tcPr>
            <w:tcW w:w="1480" w:type="dxa"/>
            <w:vAlign w:val="bottom"/>
            <w:tcBorders>
              <w:bottom w:val="single" w:sz="8" w:color="auto"/>
              <w:right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1.4x</w:t>
            </w:r>
          </w:p>
        </w:tc>
        <w:tc>
          <w:tcPr>
            <w:tcW w:w="15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9.6x</w:t>
            </w: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right w:val="single" w:sz="8" w:color="auto"/>
            </w:tcBorders>
            <w:shd w:val="clear" w:color="auto" w:fill="CCEEFF"/>
          </w:tcPr>
          <w:p>
            <w:pPr>
              <w:jc w:val="center"/>
              <w:ind w:right="70"/>
              <w:spacing w:after="0"/>
              <w:rPr>
                <w:sz w:val="20"/>
                <w:szCs w:val="20"/>
                <w:color w:val="auto"/>
              </w:rPr>
            </w:pPr>
            <w:r>
              <w:rPr>
                <w:rFonts w:ascii="Arial" w:cs="Arial" w:eastAsia="Arial" w:hAnsi="Arial"/>
                <w:sz w:val="18"/>
                <w:szCs w:val="18"/>
                <w:color w:val="auto"/>
                <w:w w:val="93"/>
              </w:rPr>
              <w:t>8.0x</w:t>
            </w:r>
          </w:p>
        </w:tc>
        <w:tc>
          <w:tcPr>
            <w:tcW w:w="980" w:type="dxa"/>
            <w:vAlign w:val="bottom"/>
            <w:tcBorders>
              <w:bottom w:val="single" w:sz="8" w:color="auto"/>
            </w:tcBorders>
            <w:shd w:val="clear" w:color="auto" w:fill="CCEEFF"/>
          </w:tcPr>
          <w:p>
            <w:pPr>
              <w:jc w:val="center"/>
              <w:ind w:left="370"/>
              <w:spacing w:after="0"/>
              <w:rPr>
                <w:sz w:val="20"/>
                <w:szCs w:val="20"/>
                <w:color w:val="auto"/>
              </w:rPr>
            </w:pPr>
            <w:r>
              <w:rPr>
                <w:rFonts w:ascii="Arial" w:cs="Arial" w:eastAsia="Arial" w:hAnsi="Arial"/>
                <w:sz w:val="18"/>
                <w:szCs w:val="18"/>
                <w:color w:val="auto"/>
                <w:w w:val="90"/>
              </w:rPr>
              <w:t>14.7x</w:t>
            </w:r>
          </w:p>
        </w:tc>
        <w:tc>
          <w:tcPr>
            <w:tcW w:w="480" w:type="dxa"/>
            <w:vAlign w:val="bottom"/>
            <w:tcBorders>
              <w:bottom w:val="single" w:sz="8" w:color="auto"/>
              <w:right w:val="single" w:sz="8" w:color="auto"/>
            </w:tcBorders>
            <w:shd w:val="clear" w:color="auto" w:fill="CCEEFF"/>
          </w:tcPr>
          <w:p>
            <w:pPr>
              <w:spacing w:after="0"/>
              <w:rPr>
                <w:sz w:val="18"/>
                <w:szCs w:val="18"/>
                <w:color w:val="auto"/>
              </w:rPr>
            </w:pPr>
          </w:p>
        </w:tc>
        <w:tc>
          <w:tcPr>
            <w:tcW w:w="14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13.3x</w:t>
            </w:r>
          </w:p>
        </w:tc>
      </w:tr>
      <w:tr>
        <w:trPr>
          <w:trHeight w:val="210"/>
        </w:trPr>
        <w:tc>
          <w:tcPr>
            <w:tcW w:w="40" w:type="dxa"/>
            <w:vAlign w:val="bottom"/>
            <w:tcBorders>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FormFactor, Inc.</w:t>
            </w:r>
          </w:p>
        </w:tc>
        <w:tc>
          <w:tcPr>
            <w:tcW w:w="120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1.7x</w:t>
            </w:r>
          </w:p>
        </w:tc>
        <w:tc>
          <w:tcPr>
            <w:tcW w:w="40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jc w:val="right"/>
              <w:ind w:right="510"/>
              <w:spacing w:after="0"/>
              <w:rPr>
                <w:sz w:val="20"/>
                <w:szCs w:val="20"/>
                <w:color w:val="auto"/>
              </w:rPr>
            </w:pPr>
            <w:r>
              <w:rPr>
                <w:rFonts w:ascii="Arial" w:cs="Arial" w:eastAsia="Arial" w:hAnsi="Arial"/>
                <w:sz w:val="18"/>
                <w:szCs w:val="18"/>
                <w:color w:val="auto"/>
              </w:rPr>
              <w:t>1.7x</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8.3x</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jc w:val="center"/>
              <w:ind w:right="70"/>
              <w:spacing w:after="0"/>
              <w:rPr>
                <w:sz w:val="20"/>
                <w:szCs w:val="20"/>
                <w:color w:val="auto"/>
              </w:rPr>
            </w:pPr>
            <w:r>
              <w:rPr>
                <w:rFonts w:ascii="Arial" w:cs="Arial" w:eastAsia="Arial" w:hAnsi="Arial"/>
                <w:sz w:val="18"/>
                <w:szCs w:val="18"/>
                <w:color w:val="auto"/>
                <w:w w:val="93"/>
              </w:rPr>
              <w:t>9.1x</w:t>
            </w:r>
          </w:p>
        </w:tc>
        <w:tc>
          <w:tcPr>
            <w:tcW w:w="980" w:type="dxa"/>
            <w:vAlign w:val="bottom"/>
            <w:tcBorders>
              <w:bottom w:val="single" w:sz="8" w:color="auto"/>
            </w:tcBorders>
          </w:tcPr>
          <w:p>
            <w:pPr>
              <w:jc w:val="center"/>
              <w:ind w:left="370"/>
              <w:spacing w:after="0"/>
              <w:rPr>
                <w:sz w:val="20"/>
                <w:szCs w:val="20"/>
                <w:color w:val="auto"/>
              </w:rPr>
            </w:pPr>
            <w:r>
              <w:rPr>
                <w:rFonts w:ascii="Arial" w:cs="Arial" w:eastAsia="Arial" w:hAnsi="Arial"/>
                <w:sz w:val="18"/>
                <w:szCs w:val="18"/>
                <w:color w:val="auto"/>
                <w:w w:val="90"/>
              </w:rPr>
              <w:t>10.2x</w:t>
            </w:r>
          </w:p>
        </w:tc>
        <w:tc>
          <w:tcPr>
            <w:tcW w:w="48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12.1x</w:t>
            </w:r>
          </w:p>
        </w:tc>
      </w:tr>
      <w:tr>
        <w:trPr>
          <w:trHeight w:val="210"/>
        </w:trPr>
        <w:tc>
          <w:tcPr>
            <w:tcW w:w="40" w:type="dxa"/>
            <w:vAlign w:val="bottom"/>
            <w:tcBorders>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inTest Corporation</w:t>
            </w:r>
          </w:p>
        </w:tc>
        <w:tc>
          <w:tcPr>
            <w:tcW w:w="120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0.9x</w:t>
            </w:r>
          </w:p>
        </w:tc>
        <w:tc>
          <w:tcPr>
            <w:tcW w:w="400" w:type="dxa"/>
            <w:vAlign w:val="bottom"/>
            <w:tcBorders>
              <w:bottom w:val="single" w:sz="8" w:color="auto"/>
              <w:right w:val="single" w:sz="8" w:color="auto"/>
            </w:tcBorders>
            <w:shd w:val="clear" w:color="auto" w:fill="CCEEFF"/>
          </w:tcPr>
          <w:p>
            <w:pPr>
              <w:spacing w:after="0"/>
              <w:rPr>
                <w:sz w:val="18"/>
                <w:szCs w:val="18"/>
                <w:color w:val="auto"/>
              </w:rPr>
            </w:pPr>
          </w:p>
        </w:tc>
        <w:tc>
          <w:tcPr>
            <w:tcW w:w="1480" w:type="dxa"/>
            <w:vAlign w:val="bottom"/>
            <w:tcBorders>
              <w:bottom w:val="single" w:sz="8" w:color="auto"/>
              <w:right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0.8x</w:t>
            </w:r>
          </w:p>
        </w:tc>
        <w:tc>
          <w:tcPr>
            <w:tcW w:w="15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4.4x</w:t>
            </w: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right w:val="single" w:sz="8" w:color="auto"/>
            </w:tcBorders>
            <w:shd w:val="clear" w:color="auto" w:fill="CCEEFF"/>
          </w:tcPr>
          <w:p>
            <w:pPr>
              <w:jc w:val="center"/>
              <w:ind w:right="70"/>
              <w:spacing w:after="0"/>
              <w:rPr>
                <w:sz w:val="20"/>
                <w:szCs w:val="20"/>
                <w:color w:val="auto"/>
              </w:rPr>
            </w:pPr>
            <w:r>
              <w:rPr>
                <w:rFonts w:ascii="Arial" w:cs="Arial" w:eastAsia="Arial" w:hAnsi="Arial"/>
                <w:sz w:val="18"/>
                <w:szCs w:val="18"/>
                <w:color w:val="auto"/>
                <w:w w:val="93"/>
              </w:rPr>
              <w:t>5.0x</w:t>
            </w:r>
          </w:p>
        </w:tc>
        <w:tc>
          <w:tcPr>
            <w:tcW w:w="980" w:type="dxa"/>
            <w:vAlign w:val="bottom"/>
            <w:tcBorders>
              <w:bottom w:val="single" w:sz="8" w:color="auto"/>
            </w:tcBorders>
            <w:shd w:val="clear" w:color="auto" w:fill="CCEEFF"/>
          </w:tcPr>
          <w:p>
            <w:pPr>
              <w:jc w:val="center"/>
              <w:ind w:left="370"/>
              <w:spacing w:after="0"/>
              <w:rPr>
                <w:sz w:val="20"/>
                <w:szCs w:val="20"/>
                <w:color w:val="auto"/>
              </w:rPr>
            </w:pPr>
            <w:r>
              <w:rPr>
                <w:rFonts w:ascii="Arial" w:cs="Arial" w:eastAsia="Arial" w:hAnsi="Arial"/>
                <w:sz w:val="18"/>
                <w:szCs w:val="18"/>
                <w:color w:val="auto"/>
                <w:w w:val="93"/>
              </w:rPr>
              <w:t>7.6x</w:t>
            </w:r>
          </w:p>
        </w:tc>
        <w:tc>
          <w:tcPr>
            <w:tcW w:w="480" w:type="dxa"/>
            <w:vAlign w:val="bottom"/>
            <w:tcBorders>
              <w:bottom w:val="single" w:sz="8" w:color="auto"/>
              <w:right w:val="single" w:sz="8" w:color="auto"/>
            </w:tcBorders>
            <w:shd w:val="clear" w:color="auto" w:fill="CCEEFF"/>
          </w:tcPr>
          <w:p>
            <w:pPr>
              <w:spacing w:after="0"/>
              <w:rPr>
                <w:sz w:val="18"/>
                <w:szCs w:val="18"/>
                <w:color w:val="auto"/>
              </w:rPr>
            </w:pPr>
          </w:p>
        </w:tc>
        <w:tc>
          <w:tcPr>
            <w:tcW w:w="14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8.1x</w:t>
            </w:r>
          </w:p>
        </w:tc>
      </w:tr>
      <w:tr>
        <w:trPr>
          <w:trHeight w:val="195"/>
        </w:trPr>
        <w:tc>
          <w:tcPr>
            <w:tcW w:w="40" w:type="dxa"/>
            <w:vAlign w:val="bottom"/>
            <w:tcBorders>
              <w:right w:val="single" w:sz="8" w:color="auto"/>
            </w:tcBorders>
          </w:tcPr>
          <w:p>
            <w:pPr>
              <w:spacing w:after="0"/>
              <w:rPr>
                <w:sz w:val="16"/>
                <w:szCs w:val="16"/>
                <w:color w:val="auto"/>
              </w:rPr>
            </w:pPr>
          </w:p>
        </w:tc>
        <w:tc>
          <w:tcPr>
            <w:tcW w:w="23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Kulicke and Soffa</w:t>
            </w:r>
          </w:p>
        </w:tc>
        <w:tc>
          <w:tcPr>
            <w:tcW w:w="1200" w:type="dxa"/>
            <w:vAlign w:val="bottom"/>
          </w:tcPr>
          <w:p>
            <w:pPr>
              <w:ind w:left="620"/>
              <w:spacing w:after="0" w:line="195" w:lineRule="exact"/>
              <w:rPr>
                <w:sz w:val="20"/>
                <w:szCs w:val="20"/>
                <w:color w:val="auto"/>
              </w:rPr>
            </w:pPr>
            <w:r>
              <w:rPr>
                <w:rFonts w:ascii="Arial" w:cs="Arial" w:eastAsia="Arial" w:hAnsi="Arial"/>
                <w:sz w:val="18"/>
                <w:szCs w:val="18"/>
                <w:color w:val="auto"/>
              </w:rPr>
              <w:t>1.2x</w:t>
            </w:r>
          </w:p>
        </w:tc>
        <w:tc>
          <w:tcPr>
            <w:tcW w:w="40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jc w:val="right"/>
              <w:ind w:right="510"/>
              <w:spacing w:after="0" w:line="195" w:lineRule="exact"/>
              <w:rPr>
                <w:sz w:val="20"/>
                <w:szCs w:val="20"/>
                <w:color w:val="auto"/>
              </w:rPr>
            </w:pPr>
            <w:r>
              <w:rPr>
                <w:rFonts w:ascii="Arial" w:cs="Arial" w:eastAsia="Arial" w:hAnsi="Arial"/>
                <w:sz w:val="18"/>
                <w:szCs w:val="18"/>
                <w:color w:val="auto"/>
              </w:rPr>
              <w:t>1.2x</w:t>
            </w:r>
          </w:p>
        </w:tc>
        <w:tc>
          <w:tcPr>
            <w:tcW w:w="15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5.5x</w:t>
            </w:r>
          </w:p>
        </w:tc>
        <w:tc>
          <w:tcPr>
            <w:tcW w:w="120" w:type="dxa"/>
            <w:vAlign w:val="bottom"/>
          </w:tcPr>
          <w:p>
            <w:pPr>
              <w:spacing w:after="0"/>
              <w:rPr>
                <w:sz w:val="16"/>
                <w:szCs w:val="16"/>
                <w:color w:val="auto"/>
              </w:rPr>
            </w:pPr>
          </w:p>
        </w:tc>
        <w:tc>
          <w:tcPr>
            <w:tcW w:w="1360" w:type="dxa"/>
            <w:vAlign w:val="bottom"/>
            <w:tcBorders>
              <w:right w:val="single" w:sz="8" w:color="auto"/>
            </w:tcBorders>
          </w:tcPr>
          <w:p>
            <w:pPr>
              <w:jc w:val="center"/>
              <w:ind w:right="70"/>
              <w:spacing w:after="0" w:line="195" w:lineRule="exact"/>
              <w:rPr>
                <w:sz w:val="20"/>
                <w:szCs w:val="20"/>
                <w:color w:val="auto"/>
              </w:rPr>
            </w:pPr>
            <w:r>
              <w:rPr>
                <w:rFonts w:ascii="Arial" w:cs="Arial" w:eastAsia="Arial" w:hAnsi="Arial"/>
                <w:sz w:val="18"/>
                <w:szCs w:val="18"/>
                <w:color w:val="auto"/>
                <w:w w:val="93"/>
              </w:rPr>
              <w:t>5.6x</w:t>
            </w:r>
          </w:p>
        </w:tc>
        <w:tc>
          <w:tcPr>
            <w:tcW w:w="980" w:type="dxa"/>
            <w:vAlign w:val="bottom"/>
          </w:tcPr>
          <w:p>
            <w:pPr>
              <w:jc w:val="center"/>
              <w:ind w:left="370"/>
              <w:spacing w:after="0" w:line="195" w:lineRule="exact"/>
              <w:rPr>
                <w:sz w:val="20"/>
                <w:szCs w:val="20"/>
                <w:color w:val="auto"/>
              </w:rPr>
            </w:pPr>
            <w:r>
              <w:rPr>
                <w:rFonts w:ascii="Arial" w:cs="Arial" w:eastAsia="Arial" w:hAnsi="Arial"/>
                <w:sz w:val="18"/>
                <w:szCs w:val="18"/>
                <w:color w:val="auto"/>
                <w:w w:val="90"/>
              </w:rPr>
              <w:t>10.3x</w:t>
            </w:r>
          </w:p>
        </w:tc>
        <w:tc>
          <w:tcPr>
            <w:tcW w:w="48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12.0x</w:t>
            </w:r>
          </w:p>
        </w:tc>
      </w:tr>
      <w:tr>
        <w:trPr>
          <w:trHeight w:val="230"/>
        </w:trPr>
        <w:tc>
          <w:tcPr>
            <w:tcW w:w="40" w:type="dxa"/>
            <w:vAlign w:val="bottom"/>
            <w:tcBorders>
              <w:right w:val="single" w:sz="8" w:color="auto"/>
            </w:tcBorders>
          </w:tcPr>
          <w:p>
            <w:pPr>
              <w:spacing w:after="0"/>
              <w:rPr>
                <w:sz w:val="20"/>
                <w:szCs w:val="20"/>
                <w:color w:val="auto"/>
              </w:rPr>
            </w:pPr>
          </w:p>
        </w:tc>
        <w:tc>
          <w:tcPr>
            <w:tcW w:w="23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Industries, Inc.</w:t>
            </w:r>
          </w:p>
        </w:tc>
        <w:tc>
          <w:tcPr>
            <w:tcW w:w="120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154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8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r>
      <w:tr>
        <w:trPr>
          <w:trHeight w:val="210"/>
        </w:trPr>
        <w:tc>
          <w:tcPr>
            <w:tcW w:w="40" w:type="dxa"/>
            <w:vAlign w:val="bottom"/>
            <w:tcBorders>
              <w:right w:val="single" w:sz="8" w:color="auto"/>
            </w:tcBorders>
          </w:tcPr>
          <w:p>
            <w:pPr>
              <w:spacing w:after="0"/>
              <w:rPr>
                <w:sz w:val="18"/>
                <w:szCs w:val="18"/>
                <w:color w:val="auto"/>
              </w:rPr>
            </w:pPr>
          </w:p>
        </w:tc>
        <w:tc>
          <w:tcPr>
            <w:tcW w:w="2360" w:type="dxa"/>
            <w:vAlign w:val="bottom"/>
            <w:tcBorders>
              <w:bottom w:val="single" w:sz="8" w:color="auto"/>
              <w:right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Large Cap</w:t>
            </w:r>
          </w:p>
        </w:tc>
        <w:tc>
          <w:tcPr>
            <w:tcW w:w="12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right w:val="single" w:sz="8" w:color="CCEEFF"/>
            </w:tcBorders>
            <w:shd w:val="clear" w:color="auto" w:fill="CCEEFF"/>
          </w:tcPr>
          <w:p>
            <w:pPr>
              <w:spacing w:after="0"/>
              <w:rPr>
                <w:sz w:val="18"/>
                <w:szCs w:val="18"/>
                <w:color w:val="auto"/>
              </w:rPr>
            </w:pPr>
          </w:p>
        </w:tc>
        <w:tc>
          <w:tcPr>
            <w:tcW w:w="1480" w:type="dxa"/>
            <w:vAlign w:val="bottom"/>
            <w:tcBorders>
              <w:bottom w:val="single" w:sz="8" w:color="auto"/>
              <w:right w:val="single" w:sz="8" w:color="CCEEFF"/>
            </w:tcBorders>
            <w:shd w:val="clear" w:color="auto" w:fill="CCEEFF"/>
          </w:tcPr>
          <w:p>
            <w:pPr>
              <w:spacing w:after="0"/>
              <w:rPr>
                <w:sz w:val="18"/>
                <w:szCs w:val="18"/>
                <w:color w:val="auto"/>
              </w:rPr>
            </w:pPr>
          </w:p>
        </w:tc>
        <w:tc>
          <w:tcPr>
            <w:tcW w:w="1540" w:type="dxa"/>
            <w:vAlign w:val="bottom"/>
            <w:tcBorders>
              <w:bottom w:val="single" w:sz="8" w:color="auto"/>
              <w:righ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right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right w:val="single" w:sz="8" w:color="CCEEFF"/>
            </w:tcBorders>
            <w:shd w:val="clear" w:color="auto" w:fill="CCEEFF"/>
          </w:tcPr>
          <w:p>
            <w:pPr>
              <w:spacing w:after="0"/>
              <w:rPr>
                <w:sz w:val="18"/>
                <w:szCs w:val="18"/>
                <w:color w:val="auto"/>
              </w:rPr>
            </w:pPr>
          </w:p>
        </w:tc>
        <w:tc>
          <w:tcPr>
            <w:tcW w:w="146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40" w:type="dxa"/>
            <w:vAlign w:val="bottom"/>
            <w:tcBorders>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Advantest Corporation</w:t>
            </w:r>
          </w:p>
        </w:tc>
        <w:tc>
          <w:tcPr>
            <w:tcW w:w="120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2.4x</w:t>
            </w:r>
          </w:p>
        </w:tc>
        <w:tc>
          <w:tcPr>
            <w:tcW w:w="40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jc w:val="right"/>
              <w:ind w:right="510"/>
              <w:spacing w:after="0"/>
              <w:rPr>
                <w:sz w:val="20"/>
                <w:szCs w:val="20"/>
                <w:color w:val="auto"/>
              </w:rPr>
            </w:pPr>
            <w:r>
              <w:rPr>
                <w:rFonts w:ascii="Arial" w:cs="Arial" w:eastAsia="Arial" w:hAnsi="Arial"/>
                <w:sz w:val="18"/>
                <w:szCs w:val="18"/>
                <w:color w:val="auto"/>
              </w:rPr>
              <w:t>2.0x</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22.1x</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jc w:val="center"/>
              <w:ind w:right="70"/>
              <w:spacing w:after="0"/>
              <w:rPr>
                <w:sz w:val="20"/>
                <w:szCs w:val="20"/>
                <w:color w:val="auto"/>
              </w:rPr>
            </w:pPr>
            <w:r>
              <w:rPr>
                <w:rFonts w:ascii="Arial" w:cs="Arial" w:eastAsia="Arial" w:hAnsi="Arial"/>
                <w:sz w:val="18"/>
                <w:szCs w:val="18"/>
                <w:color w:val="auto"/>
                <w:w w:val="90"/>
              </w:rPr>
              <w:t>10.6x</w:t>
            </w:r>
          </w:p>
        </w:tc>
        <w:tc>
          <w:tcPr>
            <w:tcW w:w="980" w:type="dxa"/>
            <w:vAlign w:val="bottom"/>
            <w:tcBorders>
              <w:bottom w:val="single" w:sz="8" w:color="auto"/>
            </w:tcBorders>
          </w:tcPr>
          <w:p>
            <w:pPr>
              <w:jc w:val="center"/>
              <w:ind w:left="370"/>
              <w:spacing w:after="0"/>
              <w:rPr>
                <w:sz w:val="20"/>
                <w:szCs w:val="20"/>
                <w:color w:val="auto"/>
              </w:rPr>
            </w:pPr>
            <w:r>
              <w:rPr>
                <w:rFonts w:ascii="Arial" w:cs="Arial" w:eastAsia="Arial" w:hAnsi="Arial"/>
                <w:sz w:val="18"/>
                <w:szCs w:val="18"/>
                <w:color w:val="auto"/>
                <w:w w:val="90"/>
              </w:rPr>
              <w:t>33.0x</w:t>
            </w:r>
          </w:p>
        </w:tc>
        <w:tc>
          <w:tcPr>
            <w:tcW w:w="48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16.4x</w:t>
            </w:r>
          </w:p>
        </w:tc>
      </w:tr>
      <w:tr>
        <w:trPr>
          <w:trHeight w:val="210"/>
        </w:trPr>
        <w:tc>
          <w:tcPr>
            <w:tcW w:w="40" w:type="dxa"/>
            <w:vAlign w:val="bottom"/>
            <w:tcBorders>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Teradyne, Inc.</w:t>
            </w:r>
          </w:p>
        </w:tc>
        <w:tc>
          <w:tcPr>
            <w:tcW w:w="120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3.0x</w:t>
            </w:r>
          </w:p>
        </w:tc>
        <w:tc>
          <w:tcPr>
            <w:tcW w:w="400" w:type="dxa"/>
            <w:vAlign w:val="bottom"/>
            <w:tcBorders>
              <w:bottom w:val="single" w:sz="8" w:color="auto"/>
              <w:right w:val="single" w:sz="8" w:color="auto"/>
            </w:tcBorders>
            <w:shd w:val="clear" w:color="auto" w:fill="CCEEFF"/>
          </w:tcPr>
          <w:p>
            <w:pPr>
              <w:spacing w:after="0"/>
              <w:rPr>
                <w:sz w:val="18"/>
                <w:szCs w:val="18"/>
                <w:color w:val="auto"/>
              </w:rPr>
            </w:pPr>
          </w:p>
        </w:tc>
        <w:tc>
          <w:tcPr>
            <w:tcW w:w="1480" w:type="dxa"/>
            <w:vAlign w:val="bottom"/>
            <w:tcBorders>
              <w:bottom w:val="single" w:sz="8" w:color="auto"/>
              <w:right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3.2x</w:t>
            </w:r>
          </w:p>
        </w:tc>
        <w:tc>
          <w:tcPr>
            <w:tcW w:w="15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9.4x</w:t>
            </w: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right w:val="single" w:sz="8" w:color="auto"/>
            </w:tcBorders>
            <w:shd w:val="clear" w:color="auto" w:fill="CCEEFF"/>
          </w:tcPr>
          <w:p>
            <w:pPr>
              <w:jc w:val="center"/>
              <w:ind w:right="70"/>
              <w:spacing w:after="0"/>
              <w:rPr>
                <w:sz w:val="20"/>
                <w:szCs w:val="20"/>
                <w:color w:val="auto"/>
              </w:rPr>
            </w:pPr>
            <w:r>
              <w:rPr>
                <w:rFonts w:ascii="Arial" w:cs="Arial" w:eastAsia="Arial" w:hAnsi="Arial"/>
                <w:sz w:val="18"/>
                <w:szCs w:val="18"/>
                <w:color w:val="auto"/>
                <w:w w:val="90"/>
              </w:rPr>
              <w:t>11.7x</w:t>
            </w:r>
          </w:p>
        </w:tc>
        <w:tc>
          <w:tcPr>
            <w:tcW w:w="980" w:type="dxa"/>
            <w:vAlign w:val="bottom"/>
            <w:tcBorders>
              <w:bottom w:val="single" w:sz="8" w:color="auto"/>
            </w:tcBorders>
            <w:shd w:val="clear" w:color="auto" w:fill="CCEEFF"/>
          </w:tcPr>
          <w:p>
            <w:pPr>
              <w:jc w:val="center"/>
              <w:ind w:left="370"/>
              <w:spacing w:after="0"/>
              <w:rPr>
                <w:sz w:val="20"/>
                <w:szCs w:val="20"/>
                <w:color w:val="auto"/>
              </w:rPr>
            </w:pPr>
            <w:r>
              <w:rPr>
                <w:rFonts w:ascii="Arial" w:cs="Arial" w:eastAsia="Arial" w:hAnsi="Arial"/>
                <w:sz w:val="18"/>
                <w:szCs w:val="18"/>
                <w:color w:val="auto"/>
                <w:w w:val="90"/>
              </w:rPr>
              <w:t>15.2x</w:t>
            </w:r>
          </w:p>
        </w:tc>
        <w:tc>
          <w:tcPr>
            <w:tcW w:w="480" w:type="dxa"/>
            <w:vAlign w:val="bottom"/>
            <w:tcBorders>
              <w:bottom w:val="single" w:sz="8" w:color="auto"/>
              <w:right w:val="single" w:sz="8" w:color="auto"/>
            </w:tcBorders>
            <w:shd w:val="clear" w:color="auto" w:fill="CCEEFF"/>
          </w:tcPr>
          <w:p>
            <w:pPr>
              <w:spacing w:after="0"/>
              <w:rPr>
                <w:sz w:val="18"/>
                <w:szCs w:val="18"/>
                <w:color w:val="auto"/>
              </w:rPr>
            </w:pPr>
          </w:p>
        </w:tc>
        <w:tc>
          <w:tcPr>
            <w:tcW w:w="14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18.8x</w:t>
            </w:r>
          </w:p>
        </w:tc>
      </w:tr>
      <w:tr>
        <w:trPr>
          <w:trHeight w:val="568"/>
        </w:trPr>
        <w:tc>
          <w:tcPr>
            <w:tcW w:w="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3" w:name="page4"/>
    <w:bookmarkEnd w:id="3"/>
    <w:p>
      <w:pPr>
        <w:ind w:left="660" w:right="220" w:hanging="328"/>
        <w:spacing w:after="0" w:line="282"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The section of the Proxy Statement titled “The Merger – Opinion of Xcerra’s Financial Advisor, Cowen – Summary of Material Financial Analyses – Xcerra Financial Analyses – Analysis of Xcerra Selected Transactions”</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The third full paragraph on page 119 of the Proxy Statement is hereby amended and restated as follows:</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tables present the multiple of Implied Enterprise Value to revenue and Adjusted EBITDA and the multiple of price per share to Non-GAAP EPS for the periods indicated.</w:t>
      </w:r>
    </w:p>
    <w:p>
      <w:pPr>
        <w:spacing w:after="0" w:line="381" w:lineRule="exact"/>
        <w:rPr>
          <w:sz w:val="20"/>
          <w:szCs w:val="20"/>
          <w:color w:val="auto"/>
        </w:rPr>
      </w:pPr>
    </w:p>
    <w:tbl>
      <w:tblPr>
        <w:tblLayout w:type="fixed"/>
        <w:tblInd w:w="30" w:type="dxa"/>
        <w:tblCellMar>
          <w:top w:w="0" w:type="dxa"/>
          <w:left w:w="0" w:type="dxa"/>
          <w:bottom w:w="0" w:type="dxa"/>
          <w:right w:w="0" w:type="dxa"/>
        </w:tblCellMar>
      </w:tblPr>
      <w:tr>
        <w:trPr>
          <w:trHeight w:val="211"/>
        </w:trPr>
        <w:tc>
          <w:tcPr>
            <w:tcW w:w="1540" w:type="dxa"/>
            <w:vAlign w:val="bottom"/>
            <w:tcBorders>
              <w:top w:val="single" w:sz="8" w:color="auto"/>
              <w:left w:val="single" w:sz="8" w:color="auto"/>
              <w:right w:val="single" w:sz="8" w:color="auto"/>
            </w:tcBorders>
          </w:tcPr>
          <w:p>
            <w:pPr>
              <w:spacing w:after="0"/>
              <w:rPr>
                <w:sz w:val="18"/>
                <w:szCs w:val="18"/>
                <w:color w:val="auto"/>
              </w:rPr>
            </w:pPr>
          </w:p>
        </w:tc>
        <w:tc>
          <w:tcPr>
            <w:tcW w:w="1860" w:type="dxa"/>
            <w:vAlign w:val="bottom"/>
            <w:tcBorders>
              <w:top w:val="single" w:sz="8" w:color="auto"/>
              <w:right w:val="single" w:sz="8" w:color="auto"/>
            </w:tcBorders>
          </w:tcPr>
          <w:p>
            <w:pPr>
              <w:spacing w:after="0"/>
              <w:rPr>
                <w:sz w:val="18"/>
                <w:szCs w:val="18"/>
                <w:color w:val="auto"/>
              </w:rPr>
            </w:pPr>
          </w:p>
        </w:tc>
        <w:tc>
          <w:tcPr>
            <w:tcW w:w="1960" w:type="dxa"/>
            <w:vAlign w:val="bottom"/>
            <w:tcBorders>
              <w:top w:val="single" w:sz="8" w:color="auto"/>
              <w:right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right w:val="single" w:sz="8" w:color="auto"/>
            </w:tcBorders>
          </w:tcPr>
          <w:p>
            <w:pPr>
              <w:spacing w:after="0"/>
              <w:rPr>
                <w:sz w:val="18"/>
                <w:szCs w:val="18"/>
                <w:color w:val="auto"/>
              </w:rPr>
            </w:pPr>
          </w:p>
        </w:tc>
        <w:tc>
          <w:tcPr>
            <w:tcW w:w="1740" w:type="dxa"/>
            <w:vAlign w:val="bottom"/>
            <w:tcBorders>
              <w:top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Price per</w:t>
            </w:r>
          </w:p>
        </w:tc>
      </w:tr>
      <w:tr>
        <w:trPr>
          <w:trHeight w:val="216"/>
        </w:trPr>
        <w:tc>
          <w:tcPr>
            <w:tcW w:w="1540" w:type="dxa"/>
            <w:vAlign w:val="bottom"/>
            <w:tcBorders>
              <w:left w:val="single" w:sz="8" w:color="auto"/>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1000" w:type="dxa"/>
            <w:vAlign w:val="bottom"/>
          </w:tcPr>
          <w:p>
            <w:pPr>
              <w:spacing w:after="0"/>
              <w:rPr>
                <w:sz w:val="18"/>
                <w:szCs w:val="18"/>
                <w:color w:val="auto"/>
              </w:rPr>
            </w:pPr>
          </w:p>
        </w:tc>
        <w:tc>
          <w:tcPr>
            <w:tcW w:w="232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1"/>
              </w:rPr>
              <w:t>Implied Enterprise Value as a</w:t>
            </w:r>
          </w:p>
        </w:tc>
        <w:tc>
          <w:tcPr>
            <w:tcW w:w="980" w:type="dxa"/>
            <w:vAlign w:val="bottom"/>
            <w:tcBorders>
              <w:right w:val="single" w:sz="8" w:color="auto"/>
            </w:tcBorders>
          </w:tcPr>
          <w:p>
            <w:pPr>
              <w:spacing w:after="0"/>
              <w:rPr>
                <w:sz w:val="18"/>
                <w:szCs w:val="18"/>
                <w:color w:val="auto"/>
              </w:rPr>
            </w:pPr>
          </w:p>
        </w:tc>
        <w:tc>
          <w:tcPr>
            <w:tcW w:w="17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6"/>
              </w:rPr>
              <w:t>share as a</w:t>
            </w:r>
          </w:p>
        </w:tc>
      </w:tr>
      <w:tr>
        <w:trPr>
          <w:trHeight w:val="234"/>
        </w:trPr>
        <w:tc>
          <w:tcPr>
            <w:tcW w:w="1540" w:type="dxa"/>
            <w:vAlign w:val="bottom"/>
            <w:tcBorders>
              <w:left w:val="single" w:sz="8" w:color="auto"/>
              <w:right w:val="single" w:sz="8" w:color="auto"/>
            </w:tcBorders>
          </w:tcPr>
          <w:p>
            <w:pPr>
              <w:spacing w:after="0"/>
              <w:rPr>
                <w:sz w:val="20"/>
                <w:szCs w:val="20"/>
                <w:color w:val="auto"/>
              </w:rPr>
            </w:pPr>
          </w:p>
        </w:tc>
        <w:tc>
          <w:tcPr>
            <w:tcW w:w="1860" w:type="dxa"/>
            <w:vAlign w:val="bottom"/>
            <w:tcBorders>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8"/>
                <w:szCs w:val="18"/>
                <w:b w:val="1"/>
                <w:bCs w:val="1"/>
                <w:color w:val="auto"/>
                <w:w w:val="92"/>
              </w:rPr>
              <w:t>multiple of:</w:t>
            </w:r>
          </w:p>
        </w:tc>
        <w:tc>
          <w:tcPr>
            <w:tcW w:w="980" w:type="dxa"/>
            <w:vAlign w:val="bottom"/>
            <w:tcBorders>
              <w:bottom w:val="single" w:sz="8" w:color="auto"/>
              <w:right w:val="single" w:sz="8" w:color="auto"/>
            </w:tcBorders>
          </w:tcPr>
          <w:p>
            <w:pPr>
              <w:spacing w:after="0"/>
              <w:rPr>
                <w:sz w:val="20"/>
                <w:szCs w:val="20"/>
                <w:color w:val="auto"/>
              </w:rPr>
            </w:pPr>
          </w:p>
        </w:tc>
        <w:tc>
          <w:tcPr>
            <w:tcW w:w="174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multiple of:</w:t>
            </w:r>
          </w:p>
        </w:tc>
      </w:tr>
      <w:tr>
        <w:trPr>
          <w:trHeight w:val="191"/>
        </w:trPr>
        <w:tc>
          <w:tcPr>
            <w:tcW w:w="1540" w:type="dxa"/>
            <w:vAlign w:val="bottom"/>
            <w:tcBorders>
              <w:left w:val="single" w:sz="8" w:color="auto"/>
              <w:right w:val="single" w:sz="8" w:color="auto"/>
            </w:tcBorders>
          </w:tcPr>
          <w:p>
            <w:pPr>
              <w:spacing w:after="0"/>
              <w:rPr>
                <w:sz w:val="16"/>
                <w:szCs w:val="16"/>
                <w:color w:val="auto"/>
              </w:rPr>
            </w:pPr>
          </w:p>
        </w:tc>
        <w:tc>
          <w:tcPr>
            <w:tcW w:w="1860" w:type="dxa"/>
            <w:vAlign w:val="bottom"/>
            <w:tcBorders>
              <w:right w:val="single" w:sz="8" w:color="auto"/>
            </w:tcBorders>
          </w:tcPr>
          <w:p>
            <w:pPr>
              <w:spacing w:after="0"/>
              <w:rPr>
                <w:sz w:val="16"/>
                <w:szCs w:val="16"/>
                <w:color w:val="auto"/>
              </w:rPr>
            </w:pPr>
          </w:p>
        </w:tc>
        <w:tc>
          <w:tcPr>
            <w:tcW w:w="196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LTM</w:t>
            </w:r>
          </w:p>
        </w:tc>
        <w:tc>
          <w:tcPr>
            <w:tcW w:w="880" w:type="dxa"/>
            <w:vAlign w:val="bottom"/>
            <w:tcBorders>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NTM</w:t>
            </w: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Month</w:t>
            </w:r>
          </w:p>
        </w:tc>
        <w:tc>
          <w:tcPr>
            <w:tcW w:w="186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LTM</w:t>
            </w:r>
          </w:p>
        </w:tc>
        <w:tc>
          <w:tcPr>
            <w:tcW w:w="140" w:type="dxa"/>
            <w:vAlign w:val="bottom"/>
          </w:tcPr>
          <w:p>
            <w:pPr>
              <w:spacing w:after="0"/>
              <w:rPr>
                <w:sz w:val="18"/>
                <w:szCs w:val="18"/>
                <w:color w:val="auto"/>
              </w:rPr>
            </w:pPr>
          </w:p>
        </w:tc>
        <w:tc>
          <w:tcPr>
            <w:tcW w:w="980" w:type="dxa"/>
            <w:vAlign w:val="bottom"/>
            <w:tcBorders>
              <w:right w:val="single" w:sz="8" w:color="auto"/>
            </w:tcBorders>
          </w:tcPr>
          <w:p>
            <w:pPr>
              <w:jc w:val="center"/>
              <w:ind w:right="70"/>
              <w:spacing w:after="0"/>
              <w:rPr>
                <w:sz w:val="20"/>
                <w:szCs w:val="20"/>
                <w:color w:val="auto"/>
              </w:rPr>
            </w:pPr>
            <w:r>
              <w:rPr>
                <w:rFonts w:ascii="Arial" w:cs="Arial" w:eastAsia="Arial" w:hAnsi="Arial"/>
                <w:sz w:val="18"/>
                <w:szCs w:val="18"/>
                <w:b w:val="1"/>
                <w:bCs w:val="1"/>
                <w:color w:val="auto"/>
              </w:rPr>
              <w:t>NTM</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Non-</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Non-</w:t>
            </w: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and Year</w:t>
            </w:r>
          </w:p>
        </w:tc>
        <w:tc>
          <w:tcPr>
            <w:tcW w:w="186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LTM</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NTM</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Adjusted</w:t>
            </w:r>
          </w:p>
        </w:tc>
        <w:tc>
          <w:tcPr>
            <w:tcW w:w="140" w:type="dxa"/>
            <w:vAlign w:val="bottom"/>
          </w:tcPr>
          <w:p>
            <w:pPr>
              <w:spacing w:after="0"/>
              <w:rPr>
                <w:sz w:val="18"/>
                <w:szCs w:val="18"/>
                <w:color w:val="auto"/>
              </w:rPr>
            </w:pPr>
          </w:p>
        </w:tc>
        <w:tc>
          <w:tcPr>
            <w:tcW w:w="980" w:type="dxa"/>
            <w:vAlign w:val="bottom"/>
            <w:tcBorders>
              <w:right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0"/>
              </w:rPr>
              <w:t>Adjusted</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GAAP</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GAAP</w:t>
            </w:r>
          </w:p>
        </w:tc>
      </w:tr>
      <w:tr>
        <w:trPr>
          <w:trHeight w:val="234"/>
        </w:trPr>
        <w:tc>
          <w:tcPr>
            <w:tcW w:w="15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Announced</w:t>
            </w:r>
          </w:p>
        </w:tc>
        <w:tc>
          <w:tcPr>
            <w:tcW w:w="1860" w:type="dxa"/>
            <w:vAlign w:val="bottom"/>
            <w:tcBorders>
              <w:bottom w:val="single" w:sz="8" w:color="auto"/>
              <w:right w:val="single" w:sz="8" w:color="auto"/>
            </w:tcBorders>
          </w:tcPr>
          <w:p>
            <w:pPr>
              <w:ind w:left="660"/>
              <w:spacing w:after="0"/>
              <w:rPr>
                <w:sz w:val="20"/>
                <w:szCs w:val="20"/>
                <w:color w:val="auto"/>
              </w:rPr>
            </w:pPr>
            <w:r>
              <w:rPr>
                <w:rFonts w:ascii="Arial" w:cs="Arial" w:eastAsia="Arial" w:hAnsi="Arial"/>
                <w:sz w:val="18"/>
                <w:szCs w:val="18"/>
                <w:b w:val="1"/>
                <w:bCs w:val="1"/>
                <w:color w:val="auto"/>
              </w:rPr>
              <w:t>Target</w:t>
            </w:r>
          </w:p>
        </w:tc>
        <w:tc>
          <w:tcPr>
            <w:tcW w:w="1960" w:type="dxa"/>
            <w:vAlign w:val="bottom"/>
            <w:tcBorders>
              <w:bottom w:val="single" w:sz="8" w:color="auto"/>
              <w:right w:val="single" w:sz="8" w:color="auto"/>
            </w:tcBorders>
          </w:tcPr>
          <w:p>
            <w:pPr>
              <w:ind w:left="740"/>
              <w:spacing w:after="0"/>
              <w:rPr>
                <w:sz w:val="20"/>
                <w:szCs w:val="20"/>
                <w:color w:val="auto"/>
              </w:rPr>
            </w:pPr>
            <w:r>
              <w:rPr>
                <w:rFonts w:ascii="Arial" w:cs="Arial" w:eastAsia="Arial" w:hAnsi="Arial"/>
                <w:sz w:val="18"/>
                <w:szCs w:val="18"/>
                <w:b w:val="1"/>
                <w:bCs w:val="1"/>
                <w:color w:val="auto"/>
              </w:rPr>
              <w:t>Buyer</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EBITDA</w:t>
            </w: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jc w:val="center"/>
              <w:ind w:right="90"/>
              <w:spacing w:after="0"/>
              <w:rPr>
                <w:sz w:val="20"/>
                <w:szCs w:val="20"/>
                <w:color w:val="auto"/>
              </w:rPr>
            </w:pPr>
            <w:r>
              <w:rPr>
                <w:rFonts w:ascii="Arial" w:cs="Arial" w:eastAsia="Arial" w:hAnsi="Arial"/>
                <w:sz w:val="18"/>
                <w:szCs w:val="18"/>
                <w:b w:val="1"/>
                <w:bCs w:val="1"/>
                <w:color w:val="auto"/>
              </w:rPr>
              <w:t>EBITDA</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EPS</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EPS</w:t>
            </w:r>
          </w:p>
        </w:tc>
      </w:tr>
      <w:tr>
        <w:trPr>
          <w:trHeight w:val="195"/>
        </w:trPr>
        <w:tc>
          <w:tcPr>
            <w:tcW w:w="1540" w:type="dxa"/>
            <w:vAlign w:val="bottom"/>
            <w:tcBorders>
              <w:left w:val="single" w:sz="8" w:color="auto"/>
              <w:right w:val="single" w:sz="8" w:color="auto"/>
            </w:tcBorders>
            <w:shd w:val="clear" w:color="auto" w:fill="CCEEFF"/>
          </w:tcPr>
          <w:p>
            <w:pPr>
              <w:ind w:left="100"/>
              <w:spacing w:after="0" w:line="195" w:lineRule="exact"/>
              <w:rPr>
                <w:sz w:val="20"/>
                <w:szCs w:val="20"/>
                <w:color w:val="auto"/>
              </w:rPr>
            </w:pPr>
            <w:r>
              <w:rPr>
                <w:rFonts w:ascii="Arial" w:cs="Arial" w:eastAsia="Arial" w:hAnsi="Arial"/>
                <w:sz w:val="18"/>
                <w:szCs w:val="18"/>
                <w:color w:val="auto"/>
              </w:rPr>
              <w:t>November 2016</w:t>
            </w:r>
          </w:p>
        </w:tc>
        <w:tc>
          <w:tcPr>
            <w:tcW w:w="1860" w:type="dxa"/>
            <w:vAlign w:val="bottom"/>
            <w:tcBorders>
              <w:right w:val="single" w:sz="8" w:color="auto"/>
            </w:tcBorders>
            <w:shd w:val="clear" w:color="auto" w:fill="CCEEFF"/>
          </w:tcPr>
          <w:p>
            <w:pPr>
              <w:ind w:left="80"/>
              <w:spacing w:after="0" w:line="195" w:lineRule="exact"/>
              <w:rPr>
                <w:sz w:val="20"/>
                <w:szCs w:val="20"/>
                <w:color w:val="auto"/>
              </w:rPr>
            </w:pPr>
            <w:r>
              <w:rPr>
                <w:rFonts w:ascii="Arial" w:cs="Arial" w:eastAsia="Arial" w:hAnsi="Arial"/>
                <w:sz w:val="18"/>
                <w:szCs w:val="18"/>
                <w:color w:val="auto"/>
                <w:w w:val="95"/>
              </w:rPr>
              <w:t>Kita Manufacturing Co.</w:t>
            </w:r>
          </w:p>
        </w:tc>
        <w:tc>
          <w:tcPr>
            <w:tcW w:w="1960" w:type="dxa"/>
            <w:vAlign w:val="bottom"/>
            <w:tcBorders>
              <w:right w:val="single" w:sz="8" w:color="auto"/>
            </w:tcBorders>
            <w:shd w:val="clear" w:color="auto" w:fill="CCEEFF"/>
          </w:tcPr>
          <w:p>
            <w:pPr>
              <w:ind w:left="80"/>
              <w:spacing w:after="0" w:line="195" w:lineRule="exact"/>
              <w:rPr>
                <w:sz w:val="20"/>
                <w:szCs w:val="20"/>
                <w:color w:val="auto"/>
              </w:rPr>
            </w:pPr>
            <w:r>
              <w:rPr>
                <w:rFonts w:ascii="Arial" w:cs="Arial" w:eastAsia="Arial" w:hAnsi="Arial"/>
                <w:sz w:val="18"/>
                <w:szCs w:val="18"/>
                <w:color w:val="auto"/>
              </w:rPr>
              <w:t>Cohu, Inc.</w:t>
            </w:r>
          </w:p>
        </w:tc>
        <w:tc>
          <w:tcPr>
            <w:tcW w:w="100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3"/>
              </w:rPr>
              <w:t>1.1x</w:t>
            </w:r>
          </w:p>
        </w:tc>
        <w:tc>
          <w:tcPr>
            <w:tcW w:w="108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rPr>
              <w:t>NA</w:t>
            </w:r>
          </w:p>
        </w:tc>
        <w:tc>
          <w:tcPr>
            <w:tcW w:w="110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16"/>
                <w:szCs w:val="16"/>
                <w:color w:val="auto"/>
              </w:rPr>
            </w:pPr>
          </w:p>
        </w:tc>
        <w:tc>
          <w:tcPr>
            <w:tcW w:w="980" w:type="dxa"/>
            <w:vAlign w:val="bottom"/>
            <w:tcBorders>
              <w:right w:val="single" w:sz="8" w:color="auto"/>
            </w:tcBorders>
            <w:shd w:val="clear" w:color="auto" w:fill="CCEEFF"/>
          </w:tcPr>
          <w:p>
            <w:pPr>
              <w:jc w:val="center"/>
              <w:ind w:right="70"/>
              <w:spacing w:after="0" w:line="195" w:lineRule="exact"/>
              <w:rPr>
                <w:sz w:val="20"/>
                <w:szCs w:val="20"/>
                <w:color w:val="auto"/>
              </w:rPr>
            </w:pPr>
            <w:r>
              <w:rPr>
                <w:rFonts w:ascii="Arial" w:cs="Arial" w:eastAsia="Arial" w:hAnsi="Arial"/>
                <w:sz w:val="18"/>
                <w:szCs w:val="18"/>
                <w:color w:val="auto"/>
              </w:rPr>
              <w:t>NA</w:t>
            </w:r>
          </w:p>
        </w:tc>
        <w:tc>
          <w:tcPr>
            <w:tcW w:w="86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rPr>
              <w:t>NA</w:t>
            </w:r>
          </w:p>
        </w:tc>
        <w:tc>
          <w:tcPr>
            <w:tcW w:w="88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rPr>
              <w:t>NA</w:t>
            </w:r>
          </w:p>
        </w:tc>
      </w:tr>
      <w:tr>
        <w:trPr>
          <w:trHeight w:val="230"/>
        </w:trPr>
        <w:tc>
          <w:tcPr>
            <w:tcW w:w="154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186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Ltd.</w:t>
            </w:r>
          </w:p>
        </w:tc>
        <w:tc>
          <w:tcPr>
            <w:tcW w:w="1960" w:type="dxa"/>
            <w:vAlign w:val="bottom"/>
            <w:tcBorders>
              <w:bottom w:val="single" w:sz="8" w:color="auto"/>
              <w:right w:val="single" w:sz="8" w:color="auto"/>
            </w:tcBorders>
            <w:shd w:val="clear" w:color="auto" w:fill="CCEEFF"/>
          </w:tcPr>
          <w:p>
            <w:pPr>
              <w:spacing w:after="0"/>
              <w:rPr>
                <w:sz w:val="20"/>
                <w:szCs w:val="20"/>
                <w:color w:val="auto"/>
              </w:rPr>
            </w:pPr>
          </w:p>
        </w:tc>
        <w:tc>
          <w:tcPr>
            <w:tcW w:w="1000" w:type="dxa"/>
            <w:vAlign w:val="bottom"/>
            <w:tcBorders>
              <w:bottom w:val="single" w:sz="8" w:color="auto"/>
              <w:right w:val="single" w:sz="8" w:color="auto"/>
            </w:tcBorders>
            <w:shd w:val="clear" w:color="auto" w:fill="CCEEFF"/>
          </w:tcPr>
          <w:p>
            <w:pPr>
              <w:spacing w:after="0"/>
              <w:rPr>
                <w:sz w:val="20"/>
                <w:szCs w:val="20"/>
                <w:color w:val="auto"/>
              </w:rPr>
            </w:pPr>
          </w:p>
        </w:tc>
        <w:tc>
          <w:tcPr>
            <w:tcW w:w="1080" w:type="dxa"/>
            <w:vAlign w:val="bottom"/>
            <w:tcBorders>
              <w:bottom w:val="single" w:sz="8" w:color="auto"/>
              <w:right w:val="single" w:sz="8" w:color="auto"/>
            </w:tcBorders>
            <w:shd w:val="clear" w:color="auto" w:fill="CCEEFF"/>
          </w:tcPr>
          <w:p>
            <w:pPr>
              <w:spacing w:after="0"/>
              <w:rPr>
                <w:sz w:val="20"/>
                <w:szCs w:val="20"/>
                <w:color w:val="auto"/>
              </w:rPr>
            </w:pPr>
          </w:p>
        </w:tc>
        <w:tc>
          <w:tcPr>
            <w:tcW w:w="1100" w:type="dxa"/>
            <w:vAlign w:val="bottom"/>
            <w:tcBorders>
              <w:bottom w:val="single" w:sz="8" w:color="auto"/>
              <w:right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right w:val="single" w:sz="8" w:color="auto"/>
            </w:tcBorders>
            <w:shd w:val="clear" w:color="auto" w:fill="CCEEFF"/>
          </w:tcPr>
          <w:p>
            <w:pPr>
              <w:spacing w:after="0"/>
              <w:rPr>
                <w:sz w:val="20"/>
                <w:szCs w:val="20"/>
                <w:color w:val="auto"/>
              </w:rPr>
            </w:pPr>
          </w:p>
        </w:tc>
        <w:tc>
          <w:tcPr>
            <w:tcW w:w="860" w:type="dxa"/>
            <w:vAlign w:val="bottom"/>
            <w:tcBorders>
              <w:bottom w:val="single" w:sz="8" w:color="auto"/>
              <w:right w:val="single" w:sz="8" w:color="auto"/>
            </w:tcBorders>
            <w:shd w:val="clear" w:color="auto" w:fill="CCEEFF"/>
          </w:tcPr>
          <w:p>
            <w:pPr>
              <w:spacing w:after="0"/>
              <w:rPr>
                <w:sz w:val="20"/>
                <w:szCs w:val="20"/>
                <w:color w:val="auto"/>
              </w:rPr>
            </w:pPr>
          </w:p>
        </w:tc>
        <w:tc>
          <w:tcPr>
            <w:tcW w:w="88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210"/>
        </w:trPr>
        <w:tc>
          <w:tcPr>
            <w:tcW w:w="15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February 2016</w:t>
            </w:r>
          </w:p>
        </w:tc>
        <w:tc>
          <w:tcPr>
            <w:tcW w:w="18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w w:val="90"/>
              </w:rPr>
              <w:t>Cascade Microtech, Inc.</w:t>
            </w:r>
          </w:p>
        </w:tc>
        <w:tc>
          <w:tcPr>
            <w:tcW w:w="19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FormFactor, Inc.</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2.3x</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2.1x</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12.2x</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jc w:val="center"/>
              <w:ind w:right="90"/>
              <w:spacing w:after="0"/>
              <w:rPr>
                <w:sz w:val="20"/>
                <w:szCs w:val="20"/>
                <w:color w:val="auto"/>
              </w:rPr>
            </w:pPr>
            <w:r>
              <w:rPr>
                <w:rFonts w:ascii="Arial" w:cs="Arial" w:eastAsia="Arial" w:hAnsi="Arial"/>
                <w:sz w:val="18"/>
                <w:szCs w:val="18"/>
                <w:color w:val="auto"/>
                <w:w w:val="90"/>
              </w:rPr>
              <w:t>11.0x</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26.3x</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25.4x</w:t>
            </w:r>
          </w:p>
        </w:tc>
      </w:tr>
      <w:tr>
        <w:trPr>
          <w:trHeight w:val="195"/>
        </w:trPr>
        <w:tc>
          <w:tcPr>
            <w:tcW w:w="1540" w:type="dxa"/>
            <w:vAlign w:val="bottom"/>
            <w:tcBorders>
              <w:left w:val="single" w:sz="8" w:color="auto"/>
              <w:right w:val="single" w:sz="8" w:color="auto"/>
            </w:tcBorders>
            <w:shd w:val="clear" w:color="auto" w:fill="CCEEFF"/>
          </w:tcPr>
          <w:p>
            <w:pPr>
              <w:ind w:left="100"/>
              <w:spacing w:after="0" w:line="195" w:lineRule="exact"/>
              <w:rPr>
                <w:sz w:val="20"/>
                <w:szCs w:val="20"/>
                <w:color w:val="auto"/>
              </w:rPr>
            </w:pPr>
            <w:r>
              <w:rPr>
                <w:rFonts w:ascii="Arial" w:cs="Arial" w:eastAsia="Arial" w:hAnsi="Arial"/>
                <w:sz w:val="18"/>
                <w:szCs w:val="18"/>
                <w:color w:val="auto"/>
              </w:rPr>
              <w:t>December 2014</w:t>
            </w:r>
          </w:p>
        </w:tc>
        <w:tc>
          <w:tcPr>
            <w:tcW w:w="1860" w:type="dxa"/>
            <w:vAlign w:val="bottom"/>
            <w:tcBorders>
              <w:right w:val="single" w:sz="8" w:color="auto"/>
            </w:tcBorders>
            <w:shd w:val="clear" w:color="auto" w:fill="CCEEFF"/>
          </w:tcPr>
          <w:p>
            <w:pPr>
              <w:ind w:left="80"/>
              <w:spacing w:after="0" w:line="195" w:lineRule="exact"/>
              <w:rPr>
                <w:sz w:val="20"/>
                <w:szCs w:val="20"/>
                <w:color w:val="auto"/>
              </w:rPr>
            </w:pPr>
            <w:r>
              <w:rPr>
                <w:rFonts w:ascii="Arial" w:cs="Arial" w:eastAsia="Arial" w:hAnsi="Arial"/>
                <w:sz w:val="18"/>
                <w:szCs w:val="18"/>
                <w:color w:val="auto"/>
              </w:rPr>
              <w:t>Assembléon B.V</w:t>
            </w:r>
          </w:p>
        </w:tc>
        <w:tc>
          <w:tcPr>
            <w:tcW w:w="1960" w:type="dxa"/>
            <w:vAlign w:val="bottom"/>
            <w:tcBorders>
              <w:right w:val="single" w:sz="8" w:color="auto"/>
            </w:tcBorders>
            <w:shd w:val="clear" w:color="auto" w:fill="CCEEFF"/>
          </w:tcPr>
          <w:p>
            <w:pPr>
              <w:ind w:left="80"/>
              <w:spacing w:after="0" w:line="195" w:lineRule="exact"/>
              <w:rPr>
                <w:sz w:val="20"/>
                <w:szCs w:val="20"/>
                <w:color w:val="auto"/>
              </w:rPr>
            </w:pPr>
            <w:r>
              <w:rPr>
                <w:rFonts w:ascii="Arial" w:cs="Arial" w:eastAsia="Arial" w:hAnsi="Arial"/>
                <w:sz w:val="18"/>
                <w:szCs w:val="18"/>
                <w:color w:val="auto"/>
              </w:rPr>
              <w:t>Kulicke and Soffa</w:t>
            </w:r>
          </w:p>
        </w:tc>
        <w:tc>
          <w:tcPr>
            <w:tcW w:w="100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3"/>
              </w:rPr>
              <w:t>1.1x</w:t>
            </w:r>
          </w:p>
        </w:tc>
        <w:tc>
          <w:tcPr>
            <w:tcW w:w="108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rPr>
              <w:t>NA</w:t>
            </w:r>
          </w:p>
        </w:tc>
        <w:tc>
          <w:tcPr>
            <w:tcW w:w="110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15.6x</w:t>
            </w:r>
          </w:p>
        </w:tc>
        <w:tc>
          <w:tcPr>
            <w:tcW w:w="140" w:type="dxa"/>
            <w:vAlign w:val="bottom"/>
            <w:shd w:val="clear" w:color="auto" w:fill="CCEEFF"/>
          </w:tcPr>
          <w:p>
            <w:pPr>
              <w:spacing w:after="0"/>
              <w:rPr>
                <w:sz w:val="16"/>
                <w:szCs w:val="16"/>
                <w:color w:val="auto"/>
              </w:rPr>
            </w:pPr>
          </w:p>
        </w:tc>
        <w:tc>
          <w:tcPr>
            <w:tcW w:w="980" w:type="dxa"/>
            <w:vAlign w:val="bottom"/>
            <w:tcBorders>
              <w:right w:val="single" w:sz="8" w:color="auto"/>
            </w:tcBorders>
            <w:shd w:val="clear" w:color="auto" w:fill="CCEEFF"/>
          </w:tcPr>
          <w:p>
            <w:pPr>
              <w:jc w:val="center"/>
              <w:ind w:right="70"/>
              <w:spacing w:after="0" w:line="195" w:lineRule="exact"/>
              <w:rPr>
                <w:sz w:val="20"/>
                <w:szCs w:val="20"/>
                <w:color w:val="auto"/>
              </w:rPr>
            </w:pPr>
            <w:r>
              <w:rPr>
                <w:rFonts w:ascii="Arial" w:cs="Arial" w:eastAsia="Arial" w:hAnsi="Arial"/>
                <w:sz w:val="18"/>
                <w:szCs w:val="18"/>
                <w:color w:val="auto"/>
              </w:rPr>
              <w:t>NA</w:t>
            </w:r>
          </w:p>
        </w:tc>
        <w:tc>
          <w:tcPr>
            <w:tcW w:w="86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rPr>
              <w:t>NA</w:t>
            </w:r>
          </w:p>
        </w:tc>
        <w:tc>
          <w:tcPr>
            <w:tcW w:w="88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rPr>
              <w:t>NA</w:t>
            </w:r>
          </w:p>
        </w:tc>
      </w:tr>
      <w:tr>
        <w:trPr>
          <w:trHeight w:val="230"/>
        </w:trPr>
        <w:tc>
          <w:tcPr>
            <w:tcW w:w="154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1860" w:type="dxa"/>
            <w:vAlign w:val="bottom"/>
            <w:tcBorders>
              <w:bottom w:val="single" w:sz="8" w:color="auto"/>
              <w:right w:val="single" w:sz="8" w:color="auto"/>
            </w:tcBorders>
            <w:shd w:val="clear" w:color="auto" w:fill="CCEEFF"/>
          </w:tcPr>
          <w:p>
            <w:pPr>
              <w:spacing w:after="0"/>
              <w:rPr>
                <w:sz w:val="20"/>
                <w:szCs w:val="20"/>
                <w:color w:val="auto"/>
              </w:rPr>
            </w:pPr>
          </w:p>
        </w:tc>
        <w:tc>
          <w:tcPr>
            <w:tcW w:w="196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Industries, Inc.</w:t>
            </w:r>
          </w:p>
        </w:tc>
        <w:tc>
          <w:tcPr>
            <w:tcW w:w="1000" w:type="dxa"/>
            <w:vAlign w:val="bottom"/>
            <w:tcBorders>
              <w:bottom w:val="single" w:sz="8" w:color="auto"/>
              <w:right w:val="single" w:sz="8" w:color="auto"/>
            </w:tcBorders>
            <w:shd w:val="clear" w:color="auto" w:fill="CCEEFF"/>
          </w:tcPr>
          <w:p>
            <w:pPr>
              <w:spacing w:after="0"/>
              <w:rPr>
                <w:sz w:val="20"/>
                <w:szCs w:val="20"/>
                <w:color w:val="auto"/>
              </w:rPr>
            </w:pPr>
          </w:p>
        </w:tc>
        <w:tc>
          <w:tcPr>
            <w:tcW w:w="1080" w:type="dxa"/>
            <w:vAlign w:val="bottom"/>
            <w:tcBorders>
              <w:bottom w:val="single" w:sz="8" w:color="auto"/>
              <w:right w:val="single" w:sz="8" w:color="auto"/>
            </w:tcBorders>
            <w:shd w:val="clear" w:color="auto" w:fill="CCEEFF"/>
          </w:tcPr>
          <w:p>
            <w:pPr>
              <w:spacing w:after="0"/>
              <w:rPr>
                <w:sz w:val="20"/>
                <w:szCs w:val="20"/>
                <w:color w:val="auto"/>
              </w:rPr>
            </w:pPr>
          </w:p>
        </w:tc>
        <w:tc>
          <w:tcPr>
            <w:tcW w:w="1100" w:type="dxa"/>
            <w:vAlign w:val="bottom"/>
            <w:tcBorders>
              <w:bottom w:val="single" w:sz="8" w:color="auto"/>
              <w:right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right w:val="single" w:sz="8" w:color="auto"/>
            </w:tcBorders>
            <w:shd w:val="clear" w:color="auto" w:fill="CCEEFF"/>
          </w:tcPr>
          <w:p>
            <w:pPr>
              <w:spacing w:after="0"/>
              <w:rPr>
                <w:sz w:val="20"/>
                <w:szCs w:val="20"/>
                <w:color w:val="auto"/>
              </w:rPr>
            </w:pPr>
          </w:p>
        </w:tc>
        <w:tc>
          <w:tcPr>
            <w:tcW w:w="860" w:type="dxa"/>
            <w:vAlign w:val="bottom"/>
            <w:tcBorders>
              <w:bottom w:val="single" w:sz="8" w:color="auto"/>
              <w:right w:val="single" w:sz="8" w:color="auto"/>
            </w:tcBorders>
            <w:shd w:val="clear" w:color="auto" w:fill="CCEEFF"/>
          </w:tcPr>
          <w:p>
            <w:pPr>
              <w:spacing w:after="0"/>
              <w:rPr>
                <w:sz w:val="20"/>
                <w:szCs w:val="20"/>
                <w:color w:val="auto"/>
              </w:rPr>
            </w:pPr>
          </w:p>
        </w:tc>
        <w:tc>
          <w:tcPr>
            <w:tcW w:w="88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210"/>
        </w:trPr>
        <w:tc>
          <w:tcPr>
            <w:tcW w:w="15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October 2014</w:t>
            </w:r>
          </w:p>
        </w:tc>
        <w:tc>
          <w:tcPr>
            <w:tcW w:w="18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w w:val="99"/>
              </w:rPr>
              <w:t>BTU International Inc.</w:t>
            </w:r>
          </w:p>
        </w:tc>
        <w:tc>
          <w:tcPr>
            <w:tcW w:w="19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Amtech Systems, Inc.</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0.4x</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0.3x</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NM</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jc w:val="center"/>
              <w:ind w:right="90"/>
              <w:spacing w:after="0"/>
              <w:rPr>
                <w:sz w:val="20"/>
                <w:szCs w:val="20"/>
                <w:color w:val="auto"/>
              </w:rPr>
            </w:pPr>
            <w:r>
              <w:rPr>
                <w:rFonts w:ascii="Arial" w:cs="Arial" w:eastAsia="Arial" w:hAnsi="Arial"/>
                <w:sz w:val="18"/>
                <w:szCs w:val="18"/>
                <w:color w:val="auto"/>
                <w:w w:val="93"/>
              </w:rPr>
              <w:t>3.8x</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NM</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14.6x</w:t>
            </w:r>
          </w:p>
        </w:tc>
      </w:tr>
      <w:tr>
        <w:trPr>
          <w:trHeight w:val="195"/>
        </w:trPr>
        <w:tc>
          <w:tcPr>
            <w:tcW w:w="1540" w:type="dxa"/>
            <w:vAlign w:val="bottom"/>
            <w:tcBorders>
              <w:left w:val="single" w:sz="8" w:color="auto"/>
              <w:right w:val="single" w:sz="8" w:color="auto"/>
            </w:tcBorders>
            <w:shd w:val="clear" w:color="auto" w:fill="CCEEFF"/>
          </w:tcPr>
          <w:p>
            <w:pPr>
              <w:ind w:left="100"/>
              <w:spacing w:after="0" w:line="195" w:lineRule="exact"/>
              <w:rPr>
                <w:sz w:val="20"/>
                <w:szCs w:val="20"/>
                <w:color w:val="auto"/>
              </w:rPr>
            </w:pPr>
            <w:r>
              <w:rPr>
                <w:rFonts w:ascii="Arial" w:cs="Arial" w:eastAsia="Arial" w:hAnsi="Arial"/>
                <w:sz w:val="18"/>
                <w:szCs w:val="18"/>
                <w:color w:val="auto"/>
              </w:rPr>
              <w:t>October 2013</w:t>
            </w:r>
          </w:p>
        </w:tc>
        <w:tc>
          <w:tcPr>
            <w:tcW w:w="1860" w:type="dxa"/>
            <w:vAlign w:val="bottom"/>
            <w:tcBorders>
              <w:right w:val="single" w:sz="8" w:color="auto"/>
            </w:tcBorders>
            <w:shd w:val="clear" w:color="auto" w:fill="CCEEFF"/>
          </w:tcPr>
          <w:p>
            <w:pPr>
              <w:ind w:left="80"/>
              <w:spacing w:after="0" w:line="195" w:lineRule="exact"/>
              <w:rPr>
                <w:sz w:val="20"/>
                <w:szCs w:val="20"/>
                <w:color w:val="auto"/>
              </w:rPr>
            </w:pPr>
            <w:r>
              <w:rPr>
                <w:rFonts w:ascii="Arial" w:cs="Arial" w:eastAsia="Arial" w:hAnsi="Arial"/>
                <w:sz w:val="18"/>
                <w:szCs w:val="18"/>
                <w:color w:val="auto"/>
              </w:rPr>
              <w:t>ATT Advanced</w:t>
            </w:r>
          </w:p>
        </w:tc>
        <w:tc>
          <w:tcPr>
            <w:tcW w:w="1960" w:type="dxa"/>
            <w:vAlign w:val="bottom"/>
            <w:tcBorders>
              <w:right w:val="single" w:sz="8" w:color="auto"/>
            </w:tcBorders>
            <w:shd w:val="clear" w:color="auto" w:fill="CCEEFF"/>
          </w:tcPr>
          <w:p>
            <w:pPr>
              <w:ind w:left="80"/>
              <w:spacing w:after="0" w:line="195" w:lineRule="exact"/>
              <w:rPr>
                <w:sz w:val="20"/>
                <w:szCs w:val="20"/>
                <w:color w:val="auto"/>
              </w:rPr>
            </w:pPr>
            <w:r>
              <w:rPr>
                <w:rFonts w:ascii="Arial" w:cs="Arial" w:eastAsia="Arial" w:hAnsi="Arial"/>
                <w:sz w:val="18"/>
                <w:szCs w:val="18"/>
                <w:color w:val="auto"/>
                <w:w w:val="95"/>
              </w:rPr>
              <w:t>Cascade Microtech, Inc.</w:t>
            </w:r>
          </w:p>
        </w:tc>
        <w:tc>
          <w:tcPr>
            <w:tcW w:w="100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3"/>
              </w:rPr>
              <w:t>2.6x</w:t>
            </w:r>
          </w:p>
        </w:tc>
        <w:tc>
          <w:tcPr>
            <w:tcW w:w="108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rPr>
              <w:t>NA</w:t>
            </w:r>
          </w:p>
        </w:tc>
        <w:tc>
          <w:tcPr>
            <w:tcW w:w="110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3"/>
              </w:rPr>
              <w:t>6.1x</w:t>
            </w:r>
          </w:p>
        </w:tc>
        <w:tc>
          <w:tcPr>
            <w:tcW w:w="140" w:type="dxa"/>
            <w:vAlign w:val="bottom"/>
            <w:shd w:val="clear" w:color="auto" w:fill="CCEEFF"/>
          </w:tcPr>
          <w:p>
            <w:pPr>
              <w:spacing w:after="0"/>
              <w:rPr>
                <w:sz w:val="16"/>
                <w:szCs w:val="16"/>
                <w:color w:val="auto"/>
              </w:rPr>
            </w:pPr>
          </w:p>
        </w:tc>
        <w:tc>
          <w:tcPr>
            <w:tcW w:w="980" w:type="dxa"/>
            <w:vAlign w:val="bottom"/>
            <w:tcBorders>
              <w:right w:val="single" w:sz="8" w:color="auto"/>
            </w:tcBorders>
            <w:shd w:val="clear" w:color="auto" w:fill="CCEEFF"/>
          </w:tcPr>
          <w:p>
            <w:pPr>
              <w:jc w:val="center"/>
              <w:ind w:right="70"/>
              <w:spacing w:after="0" w:line="195" w:lineRule="exact"/>
              <w:rPr>
                <w:sz w:val="20"/>
                <w:szCs w:val="20"/>
                <w:color w:val="auto"/>
              </w:rPr>
            </w:pPr>
            <w:r>
              <w:rPr>
                <w:rFonts w:ascii="Arial" w:cs="Arial" w:eastAsia="Arial" w:hAnsi="Arial"/>
                <w:sz w:val="18"/>
                <w:szCs w:val="18"/>
                <w:color w:val="auto"/>
              </w:rPr>
              <w:t>NA</w:t>
            </w:r>
          </w:p>
        </w:tc>
        <w:tc>
          <w:tcPr>
            <w:tcW w:w="86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rPr>
              <w:t>NA</w:t>
            </w:r>
          </w:p>
        </w:tc>
        <w:tc>
          <w:tcPr>
            <w:tcW w:w="88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rPr>
              <w:t>NA</w:t>
            </w:r>
          </w:p>
        </w:tc>
      </w:tr>
      <w:tr>
        <w:trPr>
          <w:trHeight w:val="216"/>
        </w:trPr>
        <w:tc>
          <w:tcPr>
            <w:tcW w:w="1540" w:type="dxa"/>
            <w:vAlign w:val="bottom"/>
            <w:tcBorders>
              <w:left w:val="single" w:sz="8" w:color="auto"/>
              <w:right w:val="single" w:sz="8" w:color="auto"/>
            </w:tcBorders>
            <w:shd w:val="clear" w:color="auto" w:fill="CCEEFF"/>
          </w:tcPr>
          <w:p>
            <w:pPr>
              <w:spacing w:after="0"/>
              <w:rPr>
                <w:sz w:val="18"/>
                <w:szCs w:val="18"/>
                <w:color w:val="auto"/>
              </w:rPr>
            </w:pPr>
          </w:p>
        </w:tc>
        <w:tc>
          <w:tcPr>
            <w:tcW w:w="1860" w:type="dxa"/>
            <w:vAlign w:val="bottom"/>
            <w:tcBorders>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Temperature Test</w:t>
            </w:r>
          </w:p>
        </w:tc>
        <w:tc>
          <w:tcPr>
            <w:tcW w:w="1960" w:type="dxa"/>
            <w:vAlign w:val="bottom"/>
            <w:tcBorders>
              <w:right w:val="single" w:sz="8" w:color="auto"/>
            </w:tcBorders>
            <w:shd w:val="clear" w:color="auto" w:fill="CCEEFF"/>
          </w:tcPr>
          <w:p>
            <w:pPr>
              <w:spacing w:after="0"/>
              <w:rPr>
                <w:sz w:val="18"/>
                <w:szCs w:val="18"/>
                <w:color w:val="auto"/>
              </w:rPr>
            </w:pPr>
          </w:p>
        </w:tc>
        <w:tc>
          <w:tcPr>
            <w:tcW w:w="1000" w:type="dxa"/>
            <w:vAlign w:val="bottom"/>
            <w:tcBorders>
              <w:right w:val="single" w:sz="8" w:color="auto"/>
            </w:tcBorders>
            <w:shd w:val="clear" w:color="auto" w:fill="CCEEFF"/>
          </w:tcPr>
          <w:p>
            <w:pPr>
              <w:spacing w:after="0"/>
              <w:rPr>
                <w:sz w:val="18"/>
                <w:szCs w:val="18"/>
                <w:color w:val="auto"/>
              </w:rPr>
            </w:pPr>
          </w:p>
        </w:tc>
        <w:tc>
          <w:tcPr>
            <w:tcW w:w="1080" w:type="dxa"/>
            <w:vAlign w:val="bottom"/>
            <w:tcBorders>
              <w:right w:val="single" w:sz="8" w:color="auto"/>
            </w:tcBorders>
            <w:shd w:val="clear" w:color="auto" w:fill="CCEEFF"/>
          </w:tcPr>
          <w:p>
            <w:pPr>
              <w:spacing w:after="0"/>
              <w:rPr>
                <w:sz w:val="18"/>
                <w:szCs w:val="18"/>
                <w:color w:val="auto"/>
              </w:rPr>
            </w:pPr>
          </w:p>
        </w:tc>
        <w:tc>
          <w:tcPr>
            <w:tcW w:w="110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tcBorders>
              <w:right w:val="single" w:sz="8" w:color="auto"/>
            </w:tcBorders>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spacing w:after="0"/>
              <w:rPr>
                <w:sz w:val="18"/>
                <w:szCs w:val="18"/>
                <w:color w:val="auto"/>
              </w:rPr>
            </w:pPr>
          </w:p>
        </w:tc>
      </w:tr>
      <w:tr>
        <w:trPr>
          <w:trHeight w:val="230"/>
        </w:trPr>
        <w:tc>
          <w:tcPr>
            <w:tcW w:w="154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186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Systems GmbH</w:t>
            </w:r>
          </w:p>
        </w:tc>
        <w:tc>
          <w:tcPr>
            <w:tcW w:w="1960" w:type="dxa"/>
            <w:vAlign w:val="bottom"/>
            <w:tcBorders>
              <w:bottom w:val="single" w:sz="8" w:color="auto"/>
              <w:right w:val="single" w:sz="8" w:color="auto"/>
            </w:tcBorders>
            <w:shd w:val="clear" w:color="auto" w:fill="CCEEFF"/>
          </w:tcPr>
          <w:p>
            <w:pPr>
              <w:spacing w:after="0"/>
              <w:rPr>
                <w:sz w:val="20"/>
                <w:szCs w:val="20"/>
                <w:color w:val="auto"/>
              </w:rPr>
            </w:pPr>
          </w:p>
        </w:tc>
        <w:tc>
          <w:tcPr>
            <w:tcW w:w="1000" w:type="dxa"/>
            <w:vAlign w:val="bottom"/>
            <w:tcBorders>
              <w:bottom w:val="single" w:sz="8" w:color="auto"/>
              <w:right w:val="single" w:sz="8" w:color="auto"/>
            </w:tcBorders>
            <w:shd w:val="clear" w:color="auto" w:fill="CCEEFF"/>
          </w:tcPr>
          <w:p>
            <w:pPr>
              <w:spacing w:after="0"/>
              <w:rPr>
                <w:sz w:val="20"/>
                <w:szCs w:val="20"/>
                <w:color w:val="auto"/>
              </w:rPr>
            </w:pPr>
          </w:p>
        </w:tc>
        <w:tc>
          <w:tcPr>
            <w:tcW w:w="1080" w:type="dxa"/>
            <w:vAlign w:val="bottom"/>
            <w:tcBorders>
              <w:bottom w:val="single" w:sz="8" w:color="auto"/>
              <w:right w:val="single" w:sz="8" w:color="auto"/>
            </w:tcBorders>
            <w:shd w:val="clear" w:color="auto" w:fill="CCEEFF"/>
          </w:tcPr>
          <w:p>
            <w:pPr>
              <w:spacing w:after="0"/>
              <w:rPr>
                <w:sz w:val="20"/>
                <w:szCs w:val="20"/>
                <w:color w:val="auto"/>
              </w:rPr>
            </w:pPr>
          </w:p>
        </w:tc>
        <w:tc>
          <w:tcPr>
            <w:tcW w:w="1100" w:type="dxa"/>
            <w:vAlign w:val="bottom"/>
            <w:tcBorders>
              <w:bottom w:val="single" w:sz="8" w:color="auto"/>
              <w:right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right w:val="single" w:sz="8" w:color="auto"/>
            </w:tcBorders>
            <w:shd w:val="clear" w:color="auto" w:fill="CCEEFF"/>
          </w:tcPr>
          <w:p>
            <w:pPr>
              <w:spacing w:after="0"/>
              <w:rPr>
                <w:sz w:val="20"/>
                <w:szCs w:val="20"/>
                <w:color w:val="auto"/>
              </w:rPr>
            </w:pPr>
          </w:p>
        </w:tc>
        <w:tc>
          <w:tcPr>
            <w:tcW w:w="860" w:type="dxa"/>
            <w:vAlign w:val="bottom"/>
            <w:tcBorders>
              <w:bottom w:val="single" w:sz="8" w:color="auto"/>
              <w:right w:val="single" w:sz="8" w:color="auto"/>
            </w:tcBorders>
            <w:shd w:val="clear" w:color="auto" w:fill="CCEEFF"/>
          </w:tcPr>
          <w:p>
            <w:pPr>
              <w:spacing w:after="0"/>
              <w:rPr>
                <w:sz w:val="20"/>
                <w:szCs w:val="20"/>
                <w:color w:val="auto"/>
              </w:rPr>
            </w:pPr>
          </w:p>
        </w:tc>
        <w:tc>
          <w:tcPr>
            <w:tcW w:w="88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95"/>
        </w:trPr>
        <w:tc>
          <w:tcPr>
            <w:tcW w:w="154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September 2013</w:t>
            </w:r>
          </w:p>
        </w:tc>
        <w:tc>
          <w:tcPr>
            <w:tcW w:w="18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Multitest and</w:t>
            </w:r>
          </w:p>
        </w:tc>
        <w:tc>
          <w:tcPr>
            <w:tcW w:w="19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LTX-Credence</w:t>
            </w:r>
          </w:p>
        </w:tc>
        <w:tc>
          <w:tcPr>
            <w:tcW w:w="10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0.4x</w:t>
            </w:r>
          </w:p>
        </w:tc>
        <w:tc>
          <w:tcPr>
            <w:tcW w:w="10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rPr>
              <w:t>NA</w:t>
            </w:r>
          </w:p>
        </w:tc>
        <w:tc>
          <w:tcPr>
            <w:tcW w:w="11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4.9x</w:t>
            </w:r>
          </w:p>
        </w:tc>
        <w:tc>
          <w:tcPr>
            <w:tcW w:w="140" w:type="dxa"/>
            <w:vAlign w:val="bottom"/>
          </w:tcPr>
          <w:p>
            <w:pPr>
              <w:spacing w:after="0"/>
              <w:rPr>
                <w:sz w:val="16"/>
                <w:szCs w:val="16"/>
                <w:color w:val="auto"/>
              </w:rPr>
            </w:pPr>
          </w:p>
        </w:tc>
        <w:tc>
          <w:tcPr>
            <w:tcW w:w="980" w:type="dxa"/>
            <w:vAlign w:val="bottom"/>
            <w:tcBorders>
              <w:right w:val="single" w:sz="8" w:color="auto"/>
            </w:tcBorders>
          </w:tcPr>
          <w:p>
            <w:pPr>
              <w:jc w:val="center"/>
              <w:ind w:right="70"/>
              <w:spacing w:after="0" w:line="195" w:lineRule="exact"/>
              <w:rPr>
                <w:sz w:val="20"/>
                <w:szCs w:val="20"/>
                <w:color w:val="auto"/>
              </w:rPr>
            </w:pPr>
            <w:r>
              <w:rPr>
                <w:rFonts w:ascii="Arial" w:cs="Arial" w:eastAsia="Arial" w:hAnsi="Arial"/>
                <w:sz w:val="18"/>
                <w:szCs w:val="18"/>
                <w:color w:val="auto"/>
              </w:rPr>
              <w:t>NA</w:t>
            </w:r>
          </w:p>
        </w:tc>
        <w:tc>
          <w:tcPr>
            <w:tcW w:w="8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rPr>
              <w:t>NA</w:t>
            </w:r>
          </w:p>
        </w:tc>
        <w:tc>
          <w:tcPr>
            <w:tcW w:w="8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rPr>
              <w:t>NA</w:t>
            </w:r>
          </w:p>
        </w:tc>
      </w:tr>
      <w:tr>
        <w:trPr>
          <w:trHeight w:val="216"/>
        </w:trPr>
        <w:tc>
          <w:tcPr>
            <w:tcW w:w="1540" w:type="dxa"/>
            <w:vAlign w:val="bottom"/>
            <w:tcBorders>
              <w:left w:val="single" w:sz="8" w:color="auto"/>
              <w:right w:val="single" w:sz="8" w:color="auto"/>
            </w:tcBorders>
          </w:tcPr>
          <w:p>
            <w:pPr>
              <w:spacing w:after="0"/>
              <w:rPr>
                <w:sz w:val="18"/>
                <w:szCs w:val="18"/>
                <w:color w:val="auto"/>
              </w:rPr>
            </w:pPr>
          </w:p>
        </w:tc>
        <w:tc>
          <w:tcPr>
            <w:tcW w:w="18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Everett Charles</w:t>
            </w:r>
          </w:p>
        </w:tc>
        <w:tc>
          <w:tcPr>
            <w:tcW w:w="19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Corporation</w:t>
            </w:r>
          </w:p>
        </w:tc>
        <w:tc>
          <w:tcPr>
            <w:tcW w:w="10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r>
      <w:tr>
        <w:trPr>
          <w:trHeight w:val="230"/>
        </w:trPr>
        <w:tc>
          <w:tcPr>
            <w:tcW w:w="1540" w:type="dxa"/>
            <w:vAlign w:val="bottom"/>
            <w:tcBorders>
              <w:left w:val="single" w:sz="8" w:color="auto"/>
              <w:bottom w:val="single" w:sz="8" w:color="auto"/>
              <w:right w:val="single" w:sz="8" w:color="auto"/>
            </w:tcBorders>
          </w:tcPr>
          <w:p>
            <w:pPr>
              <w:spacing w:after="0"/>
              <w:rPr>
                <w:sz w:val="20"/>
                <w:szCs w:val="20"/>
                <w:color w:val="auto"/>
              </w:rPr>
            </w:pPr>
          </w:p>
        </w:tc>
        <w:tc>
          <w:tcPr>
            <w:tcW w:w="18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Technologies (ECT)</w:t>
            </w:r>
          </w:p>
        </w:tc>
        <w:tc>
          <w:tcPr>
            <w:tcW w:w="196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r>
      <w:tr>
        <w:trPr>
          <w:trHeight w:val="195"/>
        </w:trPr>
        <w:tc>
          <w:tcPr>
            <w:tcW w:w="1540" w:type="dxa"/>
            <w:vAlign w:val="bottom"/>
            <w:tcBorders>
              <w:left w:val="single" w:sz="8" w:color="auto"/>
              <w:right w:val="single" w:sz="8" w:color="auto"/>
            </w:tcBorders>
            <w:shd w:val="clear" w:color="auto" w:fill="CCEEFF"/>
          </w:tcPr>
          <w:p>
            <w:pPr>
              <w:ind w:left="100"/>
              <w:spacing w:after="0" w:line="195" w:lineRule="exact"/>
              <w:rPr>
                <w:sz w:val="20"/>
                <w:szCs w:val="20"/>
                <w:color w:val="auto"/>
              </w:rPr>
            </w:pPr>
            <w:r>
              <w:rPr>
                <w:rFonts w:ascii="Arial" w:cs="Arial" w:eastAsia="Arial" w:hAnsi="Arial"/>
                <w:sz w:val="18"/>
                <w:szCs w:val="18"/>
                <w:color w:val="auto"/>
              </w:rPr>
              <w:t>December 2012</w:t>
            </w:r>
          </w:p>
        </w:tc>
        <w:tc>
          <w:tcPr>
            <w:tcW w:w="1860" w:type="dxa"/>
            <w:vAlign w:val="bottom"/>
            <w:tcBorders>
              <w:right w:val="single" w:sz="8" w:color="auto"/>
            </w:tcBorders>
            <w:shd w:val="clear" w:color="auto" w:fill="CCEEFF"/>
          </w:tcPr>
          <w:p>
            <w:pPr>
              <w:ind w:left="80"/>
              <w:spacing w:after="0" w:line="195" w:lineRule="exact"/>
              <w:rPr>
                <w:sz w:val="20"/>
                <w:szCs w:val="20"/>
                <w:color w:val="auto"/>
              </w:rPr>
            </w:pPr>
            <w:r>
              <w:rPr>
                <w:rFonts w:ascii="Arial" w:cs="Arial" w:eastAsia="Arial" w:hAnsi="Arial"/>
                <w:sz w:val="18"/>
                <w:szCs w:val="18"/>
                <w:color w:val="auto"/>
                <w:w w:val="95"/>
              </w:rPr>
              <w:t>Ismeca Semiconductor</w:t>
            </w:r>
          </w:p>
        </w:tc>
        <w:tc>
          <w:tcPr>
            <w:tcW w:w="1960" w:type="dxa"/>
            <w:vAlign w:val="bottom"/>
            <w:tcBorders>
              <w:right w:val="single" w:sz="8" w:color="auto"/>
            </w:tcBorders>
            <w:shd w:val="clear" w:color="auto" w:fill="CCEEFF"/>
          </w:tcPr>
          <w:p>
            <w:pPr>
              <w:ind w:left="80"/>
              <w:spacing w:after="0" w:line="195" w:lineRule="exact"/>
              <w:rPr>
                <w:sz w:val="20"/>
                <w:szCs w:val="20"/>
                <w:color w:val="auto"/>
              </w:rPr>
            </w:pPr>
            <w:r>
              <w:rPr>
                <w:rFonts w:ascii="Arial" w:cs="Arial" w:eastAsia="Arial" w:hAnsi="Arial"/>
                <w:sz w:val="18"/>
                <w:szCs w:val="18"/>
                <w:color w:val="auto"/>
              </w:rPr>
              <w:t>Cohu, Inc.</w:t>
            </w:r>
          </w:p>
        </w:tc>
        <w:tc>
          <w:tcPr>
            <w:tcW w:w="100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3"/>
              </w:rPr>
              <w:t>0.6x</w:t>
            </w:r>
          </w:p>
        </w:tc>
        <w:tc>
          <w:tcPr>
            <w:tcW w:w="108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rPr>
              <w:t>NA</w:t>
            </w:r>
          </w:p>
        </w:tc>
        <w:tc>
          <w:tcPr>
            <w:tcW w:w="110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16"/>
                <w:szCs w:val="16"/>
                <w:color w:val="auto"/>
              </w:rPr>
            </w:pPr>
          </w:p>
        </w:tc>
        <w:tc>
          <w:tcPr>
            <w:tcW w:w="980" w:type="dxa"/>
            <w:vAlign w:val="bottom"/>
            <w:tcBorders>
              <w:right w:val="single" w:sz="8" w:color="auto"/>
            </w:tcBorders>
            <w:shd w:val="clear" w:color="auto" w:fill="CCEEFF"/>
          </w:tcPr>
          <w:p>
            <w:pPr>
              <w:jc w:val="center"/>
              <w:ind w:right="70"/>
              <w:spacing w:after="0" w:line="195" w:lineRule="exact"/>
              <w:rPr>
                <w:sz w:val="20"/>
                <w:szCs w:val="20"/>
                <w:color w:val="auto"/>
              </w:rPr>
            </w:pPr>
            <w:r>
              <w:rPr>
                <w:rFonts w:ascii="Arial" w:cs="Arial" w:eastAsia="Arial" w:hAnsi="Arial"/>
                <w:sz w:val="18"/>
                <w:szCs w:val="18"/>
                <w:color w:val="auto"/>
              </w:rPr>
              <w:t>NA</w:t>
            </w:r>
          </w:p>
        </w:tc>
        <w:tc>
          <w:tcPr>
            <w:tcW w:w="86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rPr>
              <w:t>NA</w:t>
            </w:r>
          </w:p>
        </w:tc>
        <w:tc>
          <w:tcPr>
            <w:tcW w:w="88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rPr>
              <w:t>NA</w:t>
            </w:r>
          </w:p>
        </w:tc>
      </w:tr>
      <w:tr>
        <w:trPr>
          <w:trHeight w:val="230"/>
        </w:trPr>
        <w:tc>
          <w:tcPr>
            <w:tcW w:w="154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186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Holding SA</w:t>
            </w:r>
          </w:p>
        </w:tc>
        <w:tc>
          <w:tcPr>
            <w:tcW w:w="1960" w:type="dxa"/>
            <w:vAlign w:val="bottom"/>
            <w:tcBorders>
              <w:bottom w:val="single" w:sz="8" w:color="auto"/>
              <w:right w:val="single" w:sz="8" w:color="auto"/>
            </w:tcBorders>
            <w:shd w:val="clear" w:color="auto" w:fill="CCEEFF"/>
          </w:tcPr>
          <w:p>
            <w:pPr>
              <w:spacing w:after="0"/>
              <w:rPr>
                <w:sz w:val="20"/>
                <w:szCs w:val="20"/>
                <w:color w:val="auto"/>
              </w:rPr>
            </w:pPr>
          </w:p>
        </w:tc>
        <w:tc>
          <w:tcPr>
            <w:tcW w:w="1000" w:type="dxa"/>
            <w:vAlign w:val="bottom"/>
            <w:tcBorders>
              <w:bottom w:val="single" w:sz="8" w:color="auto"/>
              <w:right w:val="single" w:sz="8" w:color="auto"/>
            </w:tcBorders>
            <w:shd w:val="clear" w:color="auto" w:fill="CCEEFF"/>
          </w:tcPr>
          <w:p>
            <w:pPr>
              <w:spacing w:after="0"/>
              <w:rPr>
                <w:sz w:val="20"/>
                <w:szCs w:val="20"/>
                <w:color w:val="auto"/>
              </w:rPr>
            </w:pPr>
          </w:p>
        </w:tc>
        <w:tc>
          <w:tcPr>
            <w:tcW w:w="1080" w:type="dxa"/>
            <w:vAlign w:val="bottom"/>
            <w:tcBorders>
              <w:bottom w:val="single" w:sz="8" w:color="auto"/>
              <w:right w:val="single" w:sz="8" w:color="auto"/>
            </w:tcBorders>
            <w:shd w:val="clear" w:color="auto" w:fill="CCEEFF"/>
          </w:tcPr>
          <w:p>
            <w:pPr>
              <w:spacing w:after="0"/>
              <w:rPr>
                <w:sz w:val="20"/>
                <w:szCs w:val="20"/>
                <w:color w:val="auto"/>
              </w:rPr>
            </w:pPr>
          </w:p>
        </w:tc>
        <w:tc>
          <w:tcPr>
            <w:tcW w:w="1100" w:type="dxa"/>
            <w:vAlign w:val="bottom"/>
            <w:tcBorders>
              <w:bottom w:val="single" w:sz="8" w:color="auto"/>
              <w:right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right w:val="single" w:sz="8" w:color="auto"/>
            </w:tcBorders>
            <w:shd w:val="clear" w:color="auto" w:fill="CCEEFF"/>
          </w:tcPr>
          <w:p>
            <w:pPr>
              <w:spacing w:after="0"/>
              <w:rPr>
                <w:sz w:val="20"/>
                <w:szCs w:val="20"/>
                <w:color w:val="auto"/>
              </w:rPr>
            </w:pPr>
          </w:p>
        </w:tc>
        <w:tc>
          <w:tcPr>
            <w:tcW w:w="860" w:type="dxa"/>
            <w:vAlign w:val="bottom"/>
            <w:tcBorders>
              <w:bottom w:val="single" w:sz="8" w:color="auto"/>
              <w:right w:val="single" w:sz="8" w:color="auto"/>
            </w:tcBorders>
            <w:shd w:val="clear" w:color="auto" w:fill="CCEEFF"/>
          </w:tcPr>
          <w:p>
            <w:pPr>
              <w:spacing w:after="0"/>
              <w:rPr>
                <w:sz w:val="20"/>
                <w:szCs w:val="20"/>
                <w:color w:val="auto"/>
              </w:rPr>
            </w:pPr>
          </w:p>
        </w:tc>
        <w:tc>
          <w:tcPr>
            <w:tcW w:w="88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95"/>
        </w:trPr>
        <w:tc>
          <w:tcPr>
            <w:tcW w:w="154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September 2012</w:t>
            </w:r>
          </w:p>
        </w:tc>
        <w:tc>
          <w:tcPr>
            <w:tcW w:w="18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Astria Semiconductor</w:t>
            </w:r>
          </w:p>
        </w:tc>
        <w:tc>
          <w:tcPr>
            <w:tcW w:w="19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FormFactor, Inc.</w:t>
            </w:r>
          </w:p>
        </w:tc>
        <w:tc>
          <w:tcPr>
            <w:tcW w:w="10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1.2x</w:t>
            </w:r>
          </w:p>
        </w:tc>
        <w:tc>
          <w:tcPr>
            <w:tcW w:w="10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rPr>
              <w:t>NA</w:t>
            </w:r>
          </w:p>
        </w:tc>
        <w:tc>
          <w:tcPr>
            <w:tcW w:w="11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6.6x</w:t>
            </w:r>
          </w:p>
        </w:tc>
        <w:tc>
          <w:tcPr>
            <w:tcW w:w="140" w:type="dxa"/>
            <w:vAlign w:val="bottom"/>
          </w:tcPr>
          <w:p>
            <w:pPr>
              <w:spacing w:after="0"/>
              <w:rPr>
                <w:sz w:val="16"/>
                <w:szCs w:val="16"/>
                <w:color w:val="auto"/>
              </w:rPr>
            </w:pPr>
          </w:p>
        </w:tc>
        <w:tc>
          <w:tcPr>
            <w:tcW w:w="980" w:type="dxa"/>
            <w:vAlign w:val="bottom"/>
            <w:tcBorders>
              <w:right w:val="single" w:sz="8" w:color="auto"/>
            </w:tcBorders>
          </w:tcPr>
          <w:p>
            <w:pPr>
              <w:jc w:val="center"/>
              <w:ind w:right="70"/>
              <w:spacing w:after="0" w:line="195" w:lineRule="exact"/>
              <w:rPr>
                <w:sz w:val="20"/>
                <w:szCs w:val="20"/>
                <w:color w:val="auto"/>
              </w:rPr>
            </w:pPr>
            <w:r>
              <w:rPr>
                <w:rFonts w:ascii="Arial" w:cs="Arial" w:eastAsia="Arial" w:hAnsi="Arial"/>
                <w:sz w:val="18"/>
                <w:szCs w:val="18"/>
                <w:color w:val="auto"/>
              </w:rPr>
              <w:t>NA</w:t>
            </w:r>
          </w:p>
        </w:tc>
        <w:tc>
          <w:tcPr>
            <w:tcW w:w="8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rPr>
              <w:t>NA</w:t>
            </w:r>
          </w:p>
        </w:tc>
        <w:tc>
          <w:tcPr>
            <w:tcW w:w="8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rPr>
              <w:t>NA</w:t>
            </w:r>
          </w:p>
        </w:tc>
      </w:tr>
      <w:tr>
        <w:trPr>
          <w:trHeight w:val="216"/>
        </w:trPr>
        <w:tc>
          <w:tcPr>
            <w:tcW w:w="1540" w:type="dxa"/>
            <w:vAlign w:val="bottom"/>
            <w:tcBorders>
              <w:left w:val="single" w:sz="8" w:color="auto"/>
              <w:right w:val="single" w:sz="8" w:color="auto"/>
            </w:tcBorders>
          </w:tcPr>
          <w:p>
            <w:pPr>
              <w:spacing w:after="0"/>
              <w:rPr>
                <w:sz w:val="18"/>
                <w:szCs w:val="18"/>
                <w:color w:val="auto"/>
              </w:rPr>
            </w:pPr>
          </w:p>
        </w:tc>
        <w:tc>
          <w:tcPr>
            <w:tcW w:w="18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Holdings, Inc.</w:t>
            </w:r>
          </w:p>
        </w:tc>
        <w:tc>
          <w:tcPr>
            <w:tcW w:w="196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r>
      <w:tr>
        <w:trPr>
          <w:trHeight w:val="230"/>
        </w:trPr>
        <w:tc>
          <w:tcPr>
            <w:tcW w:w="1540" w:type="dxa"/>
            <w:vAlign w:val="bottom"/>
            <w:tcBorders>
              <w:left w:val="single" w:sz="8" w:color="auto"/>
              <w:bottom w:val="single" w:sz="8" w:color="auto"/>
              <w:right w:val="single" w:sz="8" w:color="auto"/>
            </w:tcBorders>
          </w:tcPr>
          <w:p>
            <w:pPr>
              <w:spacing w:after="0"/>
              <w:rPr>
                <w:sz w:val="20"/>
                <w:szCs w:val="20"/>
                <w:color w:val="auto"/>
              </w:rPr>
            </w:pPr>
          </w:p>
        </w:tc>
        <w:tc>
          <w:tcPr>
            <w:tcW w:w="18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MicroProbe, Inc.)</w:t>
            </w:r>
          </w:p>
        </w:tc>
        <w:tc>
          <w:tcPr>
            <w:tcW w:w="196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r>
      <w:tr>
        <w:trPr>
          <w:trHeight w:val="195"/>
        </w:trPr>
        <w:tc>
          <w:tcPr>
            <w:tcW w:w="1540" w:type="dxa"/>
            <w:vAlign w:val="bottom"/>
            <w:tcBorders>
              <w:left w:val="single" w:sz="8" w:color="auto"/>
              <w:right w:val="single" w:sz="8" w:color="auto"/>
            </w:tcBorders>
            <w:shd w:val="clear" w:color="auto" w:fill="CCEEFF"/>
          </w:tcPr>
          <w:p>
            <w:pPr>
              <w:ind w:left="100"/>
              <w:spacing w:after="0" w:line="195" w:lineRule="exact"/>
              <w:rPr>
                <w:sz w:val="20"/>
                <w:szCs w:val="20"/>
                <w:color w:val="auto"/>
              </w:rPr>
            </w:pPr>
            <w:r>
              <w:rPr>
                <w:rFonts w:ascii="Arial" w:cs="Arial" w:eastAsia="Arial" w:hAnsi="Arial"/>
                <w:sz w:val="18"/>
                <w:szCs w:val="18"/>
                <w:color w:val="auto"/>
              </w:rPr>
              <w:t>May 2012</w:t>
            </w:r>
          </w:p>
        </w:tc>
        <w:tc>
          <w:tcPr>
            <w:tcW w:w="1860" w:type="dxa"/>
            <w:vAlign w:val="bottom"/>
            <w:tcBorders>
              <w:right w:val="single" w:sz="8" w:color="auto"/>
            </w:tcBorders>
            <w:shd w:val="clear" w:color="auto" w:fill="CCEEFF"/>
          </w:tcPr>
          <w:p>
            <w:pPr>
              <w:ind w:left="80"/>
              <w:spacing w:after="0" w:line="195" w:lineRule="exact"/>
              <w:rPr>
                <w:sz w:val="20"/>
                <w:szCs w:val="20"/>
                <w:color w:val="auto"/>
              </w:rPr>
            </w:pPr>
            <w:r>
              <w:rPr>
                <w:rFonts w:ascii="Arial" w:cs="Arial" w:eastAsia="Arial" w:hAnsi="Arial"/>
                <w:sz w:val="18"/>
                <w:szCs w:val="18"/>
                <w:color w:val="auto"/>
              </w:rPr>
              <w:t>LeCroy Corporation</w:t>
            </w:r>
          </w:p>
        </w:tc>
        <w:tc>
          <w:tcPr>
            <w:tcW w:w="1960" w:type="dxa"/>
            <w:vAlign w:val="bottom"/>
            <w:tcBorders>
              <w:right w:val="single" w:sz="8" w:color="auto"/>
            </w:tcBorders>
            <w:shd w:val="clear" w:color="auto" w:fill="CCEEFF"/>
          </w:tcPr>
          <w:p>
            <w:pPr>
              <w:ind w:left="80"/>
              <w:spacing w:after="0" w:line="195" w:lineRule="exact"/>
              <w:rPr>
                <w:sz w:val="20"/>
                <w:szCs w:val="20"/>
                <w:color w:val="auto"/>
              </w:rPr>
            </w:pPr>
            <w:r>
              <w:rPr>
                <w:rFonts w:ascii="Arial" w:cs="Arial" w:eastAsia="Arial" w:hAnsi="Arial"/>
                <w:sz w:val="18"/>
                <w:szCs w:val="18"/>
                <w:color w:val="auto"/>
                <w:w w:val="98"/>
              </w:rPr>
              <w:t>Teledyne Technologies</w:t>
            </w:r>
          </w:p>
        </w:tc>
        <w:tc>
          <w:tcPr>
            <w:tcW w:w="100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3"/>
              </w:rPr>
              <w:t>1.5x</w:t>
            </w:r>
          </w:p>
        </w:tc>
        <w:tc>
          <w:tcPr>
            <w:tcW w:w="108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3"/>
              </w:rPr>
              <w:t>1.4x</w:t>
            </w:r>
          </w:p>
        </w:tc>
        <w:tc>
          <w:tcPr>
            <w:tcW w:w="110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3"/>
              </w:rPr>
              <w:t>8.6x</w:t>
            </w:r>
          </w:p>
        </w:tc>
        <w:tc>
          <w:tcPr>
            <w:tcW w:w="140" w:type="dxa"/>
            <w:vAlign w:val="bottom"/>
            <w:shd w:val="clear" w:color="auto" w:fill="CCEEFF"/>
          </w:tcPr>
          <w:p>
            <w:pPr>
              <w:spacing w:after="0"/>
              <w:rPr>
                <w:sz w:val="16"/>
                <w:szCs w:val="16"/>
                <w:color w:val="auto"/>
              </w:rPr>
            </w:pPr>
          </w:p>
        </w:tc>
        <w:tc>
          <w:tcPr>
            <w:tcW w:w="980" w:type="dxa"/>
            <w:vAlign w:val="bottom"/>
            <w:tcBorders>
              <w:right w:val="single" w:sz="8" w:color="auto"/>
            </w:tcBorders>
            <w:shd w:val="clear" w:color="auto" w:fill="CCEEFF"/>
          </w:tcPr>
          <w:p>
            <w:pPr>
              <w:jc w:val="center"/>
              <w:ind w:right="90"/>
              <w:spacing w:after="0" w:line="195" w:lineRule="exact"/>
              <w:rPr>
                <w:sz w:val="20"/>
                <w:szCs w:val="20"/>
                <w:color w:val="auto"/>
              </w:rPr>
            </w:pPr>
            <w:r>
              <w:rPr>
                <w:rFonts w:ascii="Arial" w:cs="Arial" w:eastAsia="Arial" w:hAnsi="Arial"/>
                <w:sz w:val="18"/>
                <w:szCs w:val="18"/>
                <w:color w:val="auto"/>
                <w:w w:val="93"/>
              </w:rPr>
              <w:t>7.9x</w:t>
            </w:r>
          </w:p>
        </w:tc>
        <w:tc>
          <w:tcPr>
            <w:tcW w:w="86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16.4x</w:t>
            </w:r>
          </w:p>
        </w:tc>
        <w:tc>
          <w:tcPr>
            <w:tcW w:w="88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5"/>
              </w:rPr>
              <w:t>13.2x</w:t>
            </w:r>
          </w:p>
        </w:tc>
      </w:tr>
      <w:tr>
        <w:trPr>
          <w:trHeight w:val="230"/>
        </w:trPr>
        <w:tc>
          <w:tcPr>
            <w:tcW w:w="154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1860" w:type="dxa"/>
            <w:vAlign w:val="bottom"/>
            <w:tcBorders>
              <w:bottom w:val="single" w:sz="8" w:color="auto"/>
              <w:right w:val="single" w:sz="8" w:color="auto"/>
            </w:tcBorders>
            <w:shd w:val="clear" w:color="auto" w:fill="CCEEFF"/>
          </w:tcPr>
          <w:p>
            <w:pPr>
              <w:spacing w:after="0"/>
              <w:rPr>
                <w:sz w:val="20"/>
                <w:szCs w:val="20"/>
                <w:color w:val="auto"/>
              </w:rPr>
            </w:pPr>
          </w:p>
        </w:tc>
        <w:tc>
          <w:tcPr>
            <w:tcW w:w="19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Inc.</w:t>
            </w:r>
          </w:p>
        </w:tc>
        <w:tc>
          <w:tcPr>
            <w:tcW w:w="1000" w:type="dxa"/>
            <w:vAlign w:val="bottom"/>
            <w:tcBorders>
              <w:bottom w:val="single" w:sz="8" w:color="auto"/>
              <w:right w:val="single" w:sz="8" w:color="auto"/>
            </w:tcBorders>
            <w:shd w:val="clear" w:color="auto" w:fill="CCEEFF"/>
          </w:tcPr>
          <w:p>
            <w:pPr>
              <w:spacing w:after="0"/>
              <w:rPr>
                <w:sz w:val="20"/>
                <w:szCs w:val="20"/>
                <w:color w:val="auto"/>
              </w:rPr>
            </w:pPr>
          </w:p>
        </w:tc>
        <w:tc>
          <w:tcPr>
            <w:tcW w:w="1080" w:type="dxa"/>
            <w:vAlign w:val="bottom"/>
            <w:tcBorders>
              <w:bottom w:val="single" w:sz="8" w:color="auto"/>
              <w:right w:val="single" w:sz="8" w:color="auto"/>
            </w:tcBorders>
            <w:shd w:val="clear" w:color="auto" w:fill="CCEEFF"/>
          </w:tcPr>
          <w:p>
            <w:pPr>
              <w:spacing w:after="0"/>
              <w:rPr>
                <w:sz w:val="20"/>
                <w:szCs w:val="20"/>
                <w:color w:val="auto"/>
              </w:rPr>
            </w:pPr>
          </w:p>
        </w:tc>
        <w:tc>
          <w:tcPr>
            <w:tcW w:w="1100" w:type="dxa"/>
            <w:vAlign w:val="bottom"/>
            <w:tcBorders>
              <w:bottom w:val="single" w:sz="8" w:color="auto"/>
              <w:right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right w:val="single" w:sz="8" w:color="auto"/>
            </w:tcBorders>
            <w:shd w:val="clear" w:color="auto" w:fill="CCEEFF"/>
          </w:tcPr>
          <w:p>
            <w:pPr>
              <w:spacing w:after="0"/>
              <w:rPr>
                <w:sz w:val="20"/>
                <w:szCs w:val="20"/>
                <w:color w:val="auto"/>
              </w:rPr>
            </w:pPr>
          </w:p>
        </w:tc>
        <w:tc>
          <w:tcPr>
            <w:tcW w:w="860" w:type="dxa"/>
            <w:vAlign w:val="bottom"/>
            <w:tcBorders>
              <w:bottom w:val="single" w:sz="8" w:color="auto"/>
              <w:right w:val="single" w:sz="8" w:color="auto"/>
            </w:tcBorders>
            <w:shd w:val="clear" w:color="auto" w:fill="CCEEFF"/>
          </w:tcPr>
          <w:p>
            <w:pPr>
              <w:spacing w:after="0"/>
              <w:rPr>
                <w:sz w:val="20"/>
                <w:szCs w:val="20"/>
                <w:color w:val="auto"/>
              </w:rPr>
            </w:pPr>
          </w:p>
        </w:tc>
        <w:tc>
          <w:tcPr>
            <w:tcW w:w="88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210"/>
        </w:trPr>
        <w:tc>
          <w:tcPr>
            <w:tcW w:w="15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December 2010</w:t>
            </w:r>
          </w:p>
        </w:tc>
        <w:tc>
          <w:tcPr>
            <w:tcW w:w="18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Verigy Ltd.</w:t>
            </w:r>
          </w:p>
        </w:tc>
        <w:tc>
          <w:tcPr>
            <w:tcW w:w="19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Advantest Corporation</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1.3x</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1.2x</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10.1x</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jc w:val="center"/>
              <w:ind w:right="90"/>
              <w:spacing w:after="0"/>
              <w:rPr>
                <w:sz w:val="20"/>
                <w:szCs w:val="20"/>
                <w:color w:val="auto"/>
              </w:rPr>
            </w:pPr>
            <w:r>
              <w:rPr>
                <w:rFonts w:ascii="Arial" w:cs="Arial" w:eastAsia="Arial" w:hAnsi="Arial"/>
                <w:sz w:val="18"/>
                <w:szCs w:val="18"/>
                <w:color w:val="auto"/>
                <w:w w:val="93"/>
              </w:rPr>
              <w:t>8.4x</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23.2x</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20.3x</w:t>
            </w:r>
          </w:p>
        </w:tc>
      </w:tr>
      <w:tr>
        <w:trPr>
          <w:trHeight w:val="195"/>
        </w:trPr>
        <w:tc>
          <w:tcPr>
            <w:tcW w:w="1540" w:type="dxa"/>
            <w:vAlign w:val="bottom"/>
            <w:tcBorders>
              <w:left w:val="single" w:sz="8" w:color="auto"/>
              <w:right w:val="single" w:sz="8" w:color="auto"/>
            </w:tcBorders>
            <w:shd w:val="clear" w:color="auto" w:fill="CCEEFF"/>
          </w:tcPr>
          <w:p>
            <w:pPr>
              <w:ind w:left="100"/>
              <w:spacing w:after="0" w:line="195" w:lineRule="exact"/>
              <w:rPr>
                <w:sz w:val="20"/>
                <w:szCs w:val="20"/>
                <w:color w:val="auto"/>
              </w:rPr>
            </w:pPr>
            <w:r>
              <w:rPr>
                <w:rFonts w:ascii="Arial" w:cs="Arial" w:eastAsia="Arial" w:hAnsi="Arial"/>
                <w:sz w:val="18"/>
                <w:szCs w:val="18"/>
                <w:color w:val="auto"/>
              </w:rPr>
              <w:t>October 2008</w:t>
            </w:r>
          </w:p>
        </w:tc>
        <w:tc>
          <w:tcPr>
            <w:tcW w:w="1860" w:type="dxa"/>
            <w:vAlign w:val="bottom"/>
            <w:tcBorders>
              <w:right w:val="single" w:sz="8" w:color="auto"/>
            </w:tcBorders>
            <w:shd w:val="clear" w:color="auto" w:fill="CCEEFF"/>
          </w:tcPr>
          <w:p>
            <w:pPr>
              <w:ind w:left="80"/>
              <w:spacing w:after="0" w:line="195" w:lineRule="exact"/>
              <w:rPr>
                <w:sz w:val="20"/>
                <w:szCs w:val="20"/>
                <w:color w:val="auto"/>
              </w:rPr>
            </w:pPr>
            <w:r>
              <w:rPr>
                <w:rFonts w:ascii="Arial" w:cs="Arial" w:eastAsia="Arial" w:hAnsi="Arial"/>
                <w:sz w:val="18"/>
                <w:szCs w:val="18"/>
                <w:color w:val="auto"/>
              </w:rPr>
              <w:t>Eagle Test Systems,</w:t>
            </w:r>
          </w:p>
        </w:tc>
        <w:tc>
          <w:tcPr>
            <w:tcW w:w="1960" w:type="dxa"/>
            <w:vAlign w:val="bottom"/>
            <w:tcBorders>
              <w:right w:val="single" w:sz="8" w:color="auto"/>
            </w:tcBorders>
            <w:shd w:val="clear" w:color="auto" w:fill="CCEEFF"/>
          </w:tcPr>
          <w:p>
            <w:pPr>
              <w:ind w:left="80"/>
              <w:spacing w:after="0" w:line="195" w:lineRule="exact"/>
              <w:rPr>
                <w:sz w:val="20"/>
                <w:szCs w:val="20"/>
                <w:color w:val="auto"/>
              </w:rPr>
            </w:pPr>
            <w:r>
              <w:rPr>
                <w:rFonts w:ascii="Arial" w:cs="Arial" w:eastAsia="Arial" w:hAnsi="Arial"/>
                <w:sz w:val="18"/>
                <w:szCs w:val="18"/>
                <w:color w:val="auto"/>
              </w:rPr>
              <w:t>Teradyne, Inc.</w:t>
            </w:r>
          </w:p>
        </w:tc>
        <w:tc>
          <w:tcPr>
            <w:tcW w:w="100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3"/>
              </w:rPr>
              <w:t>2.3x</w:t>
            </w:r>
          </w:p>
        </w:tc>
        <w:tc>
          <w:tcPr>
            <w:tcW w:w="108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3"/>
              </w:rPr>
              <w:t>1.9x</w:t>
            </w:r>
          </w:p>
        </w:tc>
        <w:tc>
          <w:tcPr>
            <w:tcW w:w="110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3"/>
              </w:rPr>
              <w:t>8.6x</w:t>
            </w:r>
          </w:p>
        </w:tc>
        <w:tc>
          <w:tcPr>
            <w:tcW w:w="140" w:type="dxa"/>
            <w:vAlign w:val="bottom"/>
            <w:shd w:val="clear" w:color="auto" w:fill="CCEEFF"/>
          </w:tcPr>
          <w:p>
            <w:pPr>
              <w:spacing w:after="0"/>
              <w:rPr>
                <w:sz w:val="16"/>
                <w:szCs w:val="16"/>
                <w:color w:val="auto"/>
              </w:rPr>
            </w:pPr>
          </w:p>
        </w:tc>
        <w:tc>
          <w:tcPr>
            <w:tcW w:w="980" w:type="dxa"/>
            <w:vAlign w:val="bottom"/>
            <w:tcBorders>
              <w:right w:val="single" w:sz="8" w:color="auto"/>
            </w:tcBorders>
            <w:shd w:val="clear" w:color="auto" w:fill="CCEEFF"/>
          </w:tcPr>
          <w:p>
            <w:pPr>
              <w:jc w:val="center"/>
              <w:ind w:right="90"/>
              <w:spacing w:after="0" w:line="195" w:lineRule="exact"/>
              <w:rPr>
                <w:sz w:val="20"/>
                <w:szCs w:val="20"/>
                <w:color w:val="auto"/>
              </w:rPr>
            </w:pPr>
            <w:r>
              <w:rPr>
                <w:rFonts w:ascii="Arial" w:cs="Arial" w:eastAsia="Arial" w:hAnsi="Arial"/>
                <w:sz w:val="18"/>
                <w:szCs w:val="18"/>
                <w:color w:val="auto"/>
                <w:w w:val="93"/>
              </w:rPr>
              <w:t>7.1x</w:t>
            </w:r>
          </w:p>
        </w:tc>
        <w:tc>
          <w:tcPr>
            <w:tcW w:w="86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16.2x</w:t>
            </w:r>
          </w:p>
        </w:tc>
        <w:tc>
          <w:tcPr>
            <w:tcW w:w="88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5"/>
              </w:rPr>
              <w:t>13.9x</w:t>
            </w:r>
          </w:p>
        </w:tc>
      </w:tr>
      <w:tr>
        <w:trPr>
          <w:trHeight w:val="230"/>
        </w:trPr>
        <w:tc>
          <w:tcPr>
            <w:tcW w:w="154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18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Inc.</w:t>
            </w:r>
          </w:p>
        </w:tc>
        <w:tc>
          <w:tcPr>
            <w:tcW w:w="1960" w:type="dxa"/>
            <w:vAlign w:val="bottom"/>
            <w:tcBorders>
              <w:bottom w:val="single" w:sz="8" w:color="auto"/>
              <w:right w:val="single" w:sz="8" w:color="auto"/>
            </w:tcBorders>
            <w:shd w:val="clear" w:color="auto" w:fill="CCEEFF"/>
          </w:tcPr>
          <w:p>
            <w:pPr>
              <w:spacing w:after="0"/>
              <w:rPr>
                <w:sz w:val="20"/>
                <w:szCs w:val="20"/>
                <w:color w:val="auto"/>
              </w:rPr>
            </w:pPr>
          </w:p>
        </w:tc>
        <w:tc>
          <w:tcPr>
            <w:tcW w:w="1000" w:type="dxa"/>
            <w:vAlign w:val="bottom"/>
            <w:tcBorders>
              <w:bottom w:val="single" w:sz="8" w:color="auto"/>
              <w:right w:val="single" w:sz="8" w:color="auto"/>
            </w:tcBorders>
            <w:shd w:val="clear" w:color="auto" w:fill="CCEEFF"/>
          </w:tcPr>
          <w:p>
            <w:pPr>
              <w:spacing w:after="0"/>
              <w:rPr>
                <w:sz w:val="20"/>
                <w:szCs w:val="20"/>
                <w:color w:val="auto"/>
              </w:rPr>
            </w:pPr>
          </w:p>
        </w:tc>
        <w:tc>
          <w:tcPr>
            <w:tcW w:w="1080" w:type="dxa"/>
            <w:vAlign w:val="bottom"/>
            <w:tcBorders>
              <w:bottom w:val="single" w:sz="8" w:color="auto"/>
              <w:right w:val="single" w:sz="8" w:color="auto"/>
            </w:tcBorders>
            <w:shd w:val="clear" w:color="auto" w:fill="CCEEFF"/>
          </w:tcPr>
          <w:p>
            <w:pPr>
              <w:spacing w:after="0"/>
              <w:rPr>
                <w:sz w:val="20"/>
                <w:szCs w:val="20"/>
                <w:color w:val="auto"/>
              </w:rPr>
            </w:pPr>
          </w:p>
        </w:tc>
        <w:tc>
          <w:tcPr>
            <w:tcW w:w="1100" w:type="dxa"/>
            <w:vAlign w:val="bottom"/>
            <w:tcBorders>
              <w:bottom w:val="single" w:sz="8" w:color="auto"/>
              <w:right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right w:val="single" w:sz="8" w:color="auto"/>
            </w:tcBorders>
            <w:shd w:val="clear" w:color="auto" w:fill="CCEEFF"/>
          </w:tcPr>
          <w:p>
            <w:pPr>
              <w:spacing w:after="0"/>
              <w:rPr>
                <w:sz w:val="20"/>
                <w:szCs w:val="20"/>
                <w:color w:val="auto"/>
              </w:rPr>
            </w:pPr>
          </w:p>
        </w:tc>
        <w:tc>
          <w:tcPr>
            <w:tcW w:w="860" w:type="dxa"/>
            <w:vAlign w:val="bottom"/>
            <w:tcBorders>
              <w:bottom w:val="single" w:sz="8" w:color="auto"/>
              <w:right w:val="single" w:sz="8" w:color="auto"/>
            </w:tcBorders>
            <w:shd w:val="clear" w:color="auto" w:fill="CCEEFF"/>
          </w:tcPr>
          <w:p>
            <w:pPr>
              <w:spacing w:after="0"/>
              <w:rPr>
                <w:sz w:val="20"/>
                <w:szCs w:val="20"/>
                <w:color w:val="auto"/>
              </w:rPr>
            </w:pPr>
          </w:p>
        </w:tc>
        <w:tc>
          <w:tcPr>
            <w:tcW w:w="88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95"/>
        </w:trPr>
        <w:tc>
          <w:tcPr>
            <w:tcW w:w="154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June 2008</w:t>
            </w:r>
          </w:p>
        </w:tc>
        <w:tc>
          <w:tcPr>
            <w:tcW w:w="18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Credence Systems</w:t>
            </w:r>
          </w:p>
        </w:tc>
        <w:tc>
          <w:tcPr>
            <w:tcW w:w="19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LTX Corporation</w:t>
            </w:r>
          </w:p>
        </w:tc>
        <w:tc>
          <w:tcPr>
            <w:tcW w:w="10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0.2x</w:t>
            </w:r>
          </w:p>
        </w:tc>
        <w:tc>
          <w:tcPr>
            <w:tcW w:w="10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0.3x</w:t>
            </w:r>
          </w:p>
        </w:tc>
        <w:tc>
          <w:tcPr>
            <w:tcW w:w="11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1.7x</w:t>
            </w:r>
          </w:p>
        </w:tc>
        <w:tc>
          <w:tcPr>
            <w:tcW w:w="140" w:type="dxa"/>
            <w:vAlign w:val="bottom"/>
          </w:tcPr>
          <w:p>
            <w:pPr>
              <w:spacing w:after="0"/>
              <w:rPr>
                <w:sz w:val="16"/>
                <w:szCs w:val="16"/>
                <w:color w:val="auto"/>
              </w:rPr>
            </w:pPr>
          </w:p>
        </w:tc>
        <w:tc>
          <w:tcPr>
            <w:tcW w:w="980" w:type="dxa"/>
            <w:vAlign w:val="bottom"/>
            <w:tcBorders>
              <w:right w:val="single" w:sz="8" w:color="auto"/>
            </w:tcBorders>
          </w:tcPr>
          <w:p>
            <w:pPr>
              <w:jc w:val="center"/>
              <w:ind w:right="90"/>
              <w:spacing w:after="0" w:line="195" w:lineRule="exact"/>
              <w:rPr>
                <w:sz w:val="20"/>
                <w:szCs w:val="20"/>
                <w:color w:val="auto"/>
              </w:rPr>
            </w:pPr>
            <w:r>
              <w:rPr>
                <w:rFonts w:ascii="Arial" w:cs="Arial" w:eastAsia="Arial" w:hAnsi="Arial"/>
                <w:sz w:val="18"/>
                <w:szCs w:val="18"/>
                <w:color w:val="auto"/>
                <w:w w:val="93"/>
              </w:rPr>
              <w:t>3.1x</w:t>
            </w:r>
          </w:p>
        </w:tc>
        <w:tc>
          <w:tcPr>
            <w:tcW w:w="8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rPr>
              <w:t>NM</w:t>
            </w:r>
          </w:p>
        </w:tc>
        <w:tc>
          <w:tcPr>
            <w:tcW w:w="8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4.3x</w:t>
            </w:r>
          </w:p>
        </w:tc>
      </w:tr>
      <w:tr>
        <w:trPr>
          <w:trHeight w:val="230"/>
        </w:trPr>
        <w:tc>
          <w:tcPr>
            <w:tcW w:w="1540" w:type="dxa"/>
            <w:vAlign w:val="bottom"/>
            <w:tcBorders>
              <w:left w:val="single" w:sz="8" w:color="auto"/>
              <w:bottom w:val="single" w:sz="8" w:color="auto"/>
              <w:right w:val="single" w:sz="8" w:color="auto"/>
            </w:tcBorders>
          </w:tcPr>
          <w:p>
            <w:pPr>
              <w:spacing w:after="0"/>
              <w:rPr>
                <w:sz w:val="20"/>
                <w:szCs w:val="20"/>
                <w:color w:val="auto"/>
              </w:rPr>
            </w:pPr>
          </w:p>
        </w:tc>
        <w:tc>
          <w:tcPr>
            <w:tcW w:w="18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Corporation</w:t>
            </w:r>
          </w:p>
        </w:tc>
        <w:tc>
          <w:tcPr>
            <w:tcW w:w="196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r>
    </w:tbl>
    <w:p>
      <w:pPr>
        <w:spacing w:after="0"/>
        <w:rPr>
          <w:sz w:val="20"/>
          <w:szCs w:val="20"/>
          <w:color w:val="auto"/>
        </w:rPr>
      </w:pPr>
      <w:r>
        <w:rPr>
          <w:rFonts w:ascii="Arial" w:cs="Arial" w:eastAsia="Arial" w:hAnsi="Arial"/>
          <w:sz w:val="18"/>
          <w:szCs w:val="18"/>
          <w:color w:val="auto"/>
        </w:rPr>
        <w:t>“NA” means not available, and “NM” means the multiple was negative and considered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 w:name="page5"/>
    <w:bookmarkEnd w:id="4"/>
    <w:p>
      <w:pPr>
        <w:ind w:left="660" w:right="220" w:hanging="328"/>
        <w:spacing w:after="0" w:line="282"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The section of the Proxy Statement titled “The Merger – Opinion of Xcerra’s Financial Advisor, Cowen – Summary of Material Financial Analyses – Xcerra Financial Analyses – Discounted Cash Flow Analysis”</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The first full paragraph on page 121 of the Proxy Statement is hereby amended and restated as follows:</w:t>
      </w:r>
    </w:p>
    <w:p>
      <w:pPr>
        <w:spacing w:after="0" w:line="225" w:lineRule="exact"/>
        <w:rPr>
          <w:sz w:val="20"/>
          <w:szCs w:val="20"/>
          <w:color w:val="auto"/>
        </w:rPr>
      </w:pPr>
    </w:p>
    <w:p>
      <w:pPr>
        <w:ind w:right="60" w:firstLine="486"/>
        <w:spacing w:after="0" w:line="287" w:lineRule="auto"/>
        <w:rPr>
          <w:sz w:val="20"/>
          <w:szCs w:val="20"/>
          <w:color w:val="auto"/>
        </w:rPr>
      </w:pPr>
      <w:r>
        <w:rPr>
          <w:rFonts w:ascii="Arial" w:cs="Arial" w:eastAsia="Arial" w:hAnsi="Arial"/>
          <w:sz w:val="16"/>
          <w:szCs w:val="16"/>
          <w:color w:val="auto"/>
        </w:rPr>
        <w:t>Cowen estimated a range of values for the shares of Xcerra Common Stock based upon the discounted present value of Xcerra’s projected unlevered free cash flow for the three-month period ending on July 31, 2018 and the full fiscal years ending in 2019 through 2022 and the terminal value of Xcerra based on multiples of Xcerra’s forecasted Adjusted EBITDA for Xcerra’s fiscal year ending in 2023, and assuming a Merger closing date of April 30, 2018. Cowen calculated unlevered free cash flow based on financial forecast information provided by Xcerra management as (a) Adjusted EBITDA, less (b) stock based compensation expense, less (c) cash taxes, less (d) capital expenditures, less (e) change in net working capital, and this analysis was based upon certain assumptions described by, projections supplied by and discussions held with the management of Xcerra, which resulted in unlevered free cash flows of $5.3 million, $51.4 million, $54.9 million, $56.3 million and $57.6 million, in the three-month period ending on July 31, 2018 and the full fiscal years ending in 2019 through 2022, respectively. In performing this analysis, Cowen utilized discount rates ranging from 12.0% to 14.0%, which were selected based on the estimated weighted average cost of capital of Xcerra. Cowen utilized terminal multiples of Adjusted EBITDA ranging from 6.0x to 8.0x, which range was selected by Cowen in its professional judgment. In performing this analysis, Cowen also calculated the present value of Xcerra’s estimated United States federal and 18 state net operating loss carry forwards, as estimated and provided by the management of Xcerra, discounted to present value at a discount rate of 13.1%, which was selected based on Xcerra’s estimated cost of equity.</w:t>
      </w:r>
    </w:p>
    <w:p>
      <w:pPr>
        <w:spacing w:after="0" w:line="165" w:lineRule="exact"/>
        <w:rPr>
          <w:sz w:val="20"/>
          <w:szCs w:val="20"/>
          <w:color w:val="auto"/>
        </w:rPr>
      </w:pPr>
    </w:p>
    <w:p>
      <w:pPr>
        <w:ind w:left="660" w:right="220" w:hanging="328"/>
        <w:spacing w:after="0" w:line="282"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The section of the Proxy Statement titled “The Merger – Opinion of Xcerra’s Financial Advisor, Cowen – Summary of Material Financial Analyses – Cohu Financial Analyses – Analysis of Cohu Selected Publicly Traded Companies”</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The second full paragraph on page 122 of the Proxy Statement is hereby amended and restated as follows:</w:t>
      </w:r>
    </w:p>
    <w:p>
      <w:pPr>
        <w:spacing w:after="0" w:line="225" w:lineRule="exact"/>
        <w:rPr>
          <w:sz w:val="20"/>
          <w:szCs w:val="20"/>
          <w:color w:val="auto"/>
        </w:rPr>
      </w:pPr>
    </w:p>
    <w:p>
      <w:pPr>
        <w:jc w:val="both"/>
        <w:ind w:right="100" w:firstLine="486"/>
        <w:spacing w:after="0" w:line="264" w:lineRule="auto"/>
        <w:rPr>
          <w:sz w:val="20"/>
          <w:szCs w:val="20"/>
          <w:color w:val="auto"/>
        </w:rPr>
      </w:pPr>
      <w:r>
        <w:rPr>
          <w:rFonts w:ascii="Arial" w:cs="Arial" w:eastAsia="Arial" w:hAnsi="Arial"/>
          <w:sz w:val="18"/>
          <w:szCs w:val="18"/>
          <w:color w:val="auto"/>
        </w:rPr>
        <w:t>The following tables present the multiple of Implied Enterprise Value to revenue and Adjusted EBITDA and the multiple of closing price per share, as of May 4, 2018, to Non-GAAP EPS, in each case, for the Cohu Selected Companies and for CY2017A and CY2018E. The information in the tables is based on the closing stock prices of the Cohu Selected Companies per Capital IQ on May 4, 2018.</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0" w:type="dxa"/>
            <w:vAlign w:val="bottom"/>
            <w:tcBorders>
              <w:right w:val="single" w:sz="8" w:color="auto"/>
            </w:tcBorders>
          </w:tcPr>
          <w:p>
            <w:pPr>
              <w:spacing w:after="0"/>
              <w:rPr>
                <w:sz w:val="18"/>
                <w:szCs w:val="18"/>
                <w:color w:val="auto"/>
              </w:rPr>
            </w:pPr>
          </w:p>
        </w:tc>
        <w:tc>
          <w:tcPr>
            <w:tcW w:w="2360" w:type="dxa"/>
            <w:vAlign w:val="bottom"/>
            <w:tcBorders>
              <w:top w:val="single" w:sz="8" w:color="auto"/>
              <w:right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right w:val="single" w:sz="8" w:color="auto"/>
            </w:tcBorders>
          </w:tcPr>
          <w:p>
            <w:pPr>
              <w:spacing w:after="0"/>
              <w:rPr>
                <w:sz w:val="18"/>
                <w:szCs w:val="18"/>
                <w:color w:val="auto"/>
              </w:rPr>
            </w:pPr>
          </w:p>
        </w:tc>
        <w:tc>
          <w:tcPr>
            <w:tcW w:w="2920" w:type="dxa"/>
            <w:vAlign w:val="bottom"/>
            <w:tcBorders>
              <w:top w:val="single" w:sz="8" w:color="auto"/>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Price per share as a</w:t>
            </w:r>
          </w:p>
        </w:tc>
      </w:tr>
      <w:tr>
        <w:trPr>
          <w:trHeight w:val="234"/>
        </w:trPr>
        <w:tc>
          <w:tcPr>
            <w:tcW w:w="40" w:type="dxa"/>
            <w:vAlign w:val="bottom"/>
            <w:tcBorders>
              <w:right w:val="single" w:sz="8" w:color="auto"/>
            </w:tcBorders>
          </w:tcPr>
          <w:p>
            <w:pPr>
              <w:spacing w:after="0"/>
              <w:rPr>
                <w:sz w:val="20"/>
                <w:szCs w:val="20"/>
                <w:color w:val="auto"/>
              </w:rPr>
            </w:pPr>
          </w:p>
        </w:tc>
        <w:tc>
          <w:tcPr>
            <w:tcW w:w="2360" w:type="dxa"/>
            <w:vAlign w:val="bottom"/>
            <w:tcBorders>
              <w:right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4"/>
          </w:tcPr>
          <w:p>
            <w:pPr>
              <w:ind w:left="220"/>
              <w:spacing w:after="0"/>
              <w:rPr>
                <w:sz w:val="20"/>
                <w:szCs w:val="20"/>
                <w:color w:val="auto"/>
              </w:rPr>
            </w:pPr>
            <w:r>
              <w:rPr>
                <w:rFonts w:ascii="Arial" w:cs="Arial" w:eastAsia="Arial" w:hAnsi="Arial"/>
                <w:sz w:val="18"/>
                <w:szCs w:val="18"/>
                <w:b w:val="1"/>
                <w:bCs w:val="1"/>
                <w:color w:val="auto"/>
                <w:w w:val="93"/>
              </w:rPr>
              <w:t>Implied Enterprise Value as a multiple of:</w:t>
            </w:r>
          </w:p>
        </w:tc>
        <w:tc>
          <w:tcPr>
            <w:tcW w:w="136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940" w:type="dxa"/>
            <w:vAlign w:val="bottom"/>
            <w:tcBorders>
              <w:bottom w:val="single" w:sz="8" w:color="auto"/>
              <w:right w:val="single" w:sz="8" w:color="auto"/>
            </w:tcBorders>
            <w:gridSpan w:val="2"/>
          </w:tcPr>
          <w:p>
            <w:pPr>
              <w:jc w:val="center"/>
              <w:ind w:right="910"/>
              <w:spacing w:after="0"/>
              <w:rPr>
                <w:sz w:val="20"/>
                <w:szCs w:val="20"/>
                <w:color w:val="auto"/>
              </w:rPr>
            </w:pPr>
            <w:r>
              <w:rPr>
                <w:rFonts w:ascii="Arial" w:cs="Arial" w:eastAsia="Arial" w:hAnsi="Arial"/>
                <w:sz w:val="18"/>
                <w:szCs w:val="18"/>
                <w:b w:val="1"/>
                <w:bCs w:val="1"/>
                <w:color w:val="auto"/>
                <w:w w:val="92"/>
              </w:rPr>
              <w:t>multiple of:</w:t>
            </w:r>
          </w:p>
        </w:tc>
      </w:tr>
      <w:tr>
        <w:trPr>
          <w:trHeight w:val="191"/>
        </w:trPr>
        <w:tc>
          <w:tcPr>
            <w:tcW w:w="40" w:type="dxa"/>
            <w:vAlign w:val="bottom"/>
            <w:tcBorders>
              <w:right w:val="single" w:sz="8" w:color="auto"/>
            </w:tcBorders>
          </w:tcPr>
          <w:p>
            <w:pPr>
              <w:spacing w:after="0"/>
              <w:rPr>
                <w:sz w:val="16"/>
                <w:szCs w:val="16"/>
                <w:color w:val="auto"/>
              </w:rPr>
            </w:pPr>
          </w:p>
        </w:tc>
        <w:tc>
          <w:tcPr>
            <w:tcW w:w="2360" w:type="dxa"/>
            <w:vAlign w:val="bottom"/>
            <w:tcBorders>
              <w:right w:val="single" w:sz="8" w:color="auto"/>
            </w:tcBorders>
          </w:tcPr>
          <w:p>
            <w:pPr>
              <w:spacing w:after="0"/>
              <w:rPr>
                <w:sz w:val="16"/>
                <w:szCs w:val="16"/>
                <w:color w:val="auto"/>
              </w:rPr>
            </w:pPr>
          </w:p>
        </w:tc>
        <w:tc>
          <w:tcPr>
            <w:tcW w:w="120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c>
          <w:tcPr>
            <w:tcW w:w="980" w:type="dxa"/>
            <w:vAlign w:val="bottom"/>
          </w:tcPr>
          <w:p>
            <w:pPr>
              <w:ind w:left="220"/>
              <w:spacing w:after="0" w:line="191" w:lineRule="exact"/>
              <w:rPr>
                <w:sz w:val="20"/>
                <w:szCs w:val="20"/>
                <w:color w:val="auto"/>
              </w:rPr>
            </w:pPr>
            <w:r>
              <w:rPr>
                <w:rFonts w:ascii="Arial" w:cs="Arial" w:eastAsia="Arial" w:hAnsi="Arial"/>
                <w:sz w:val="18"/>
                <w:szCs w:val="18"/>
                <w:b w:val="1"/>
                <w:bCs w:val="1"/>
                <w:color w:val="auto"/>
                <w:w w:val="94"/>
              </w:rPr>
              <w:t>CY2017A</w:t>
            </w:r>
          </w:p>
        </w:tc>
        <w:tc>
          <w:tcPr>
            <w:tcW w:w="48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ind w:left="220"/>
              <w:spacing w:after="0" w:line="191" w:lineRule="exact"/>
              <w:rPr>
                <w:sz w:val="20"/>
                <w:szCs w:val="20"/>
                <w:color w:val="auto"/>
              </w:rPr>
            </w:pPr>
            <w:r>
              <w:rPr>
                <w:rFonts w:ascii="Arial" w:cs="Arial" w:eastAsia="Arial" w:hAnsi="Arial"/>
                <w:sz w:val="18"/>
                <w:szCs w:val="18"/>
                <w:b w:val="1"/>
                <w:bCs w:val="1"/>
                <w:color w:val="auto"/>
              </w:rPr>
              <w:t>CY2018E</w:t>
            </w:r>
          </w:p>
        </w:tc>
      </w:tr>
      <w:tr>
        <w:trPr>
          <w:trHeight w:val="216"/>
        </w:trPr>
        <w:tc>
          <w:tcPr>
            <w:tcW w:w="40" w:type="dxa"/>
            <w:vAlign w:val="bottom"/>
            <w:tcBorders>
              <w:right w:val="single" w:sz="8" w:color="auto"/>
            </w:tcBorders>
          </w:tcPr>
          <w:p>
            <w:pPr>
              <w:spacing w:after="0"/>
              <w:rPr>
                <w:sz w:val="18"/>
                <w:szCs w:val="18"/>
                <w:color w:val="auto"/>
              </w:rPr>
            </w:pPr>
          </w:p>
        </w:tc>
        <w:tc>
          <w:tcPr>
            <w:tcW w:w="2360" w:type="dxa"/>
            <w:vAlign w:val="bottom"/>
            <w:tcBorders>
              <w:righ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ind w:left="200"/>
              <w:spacing w:after="0"/>
              <w:rPr>
                <w:sz w:val="20"/>
                <w:szCs w:val="20"/>
                <w:color w:val="auto"/>
              </w:rPr>
            </w:pPr>
            <w:r>
              <w:rPr>
                <w:rFonts w:ascii="Arial" w:cs="Arial" w:eastAsia="Arial" w:hAnsi="Arial"/>
                <w:sz w:val="18"/>
                <w:szCs w:val="18"/>
                <w:b w:val="1"/>
                <w:bCs w:val="1"/>
                <w:color w:val="auto"/>
              </w:rPr>
              <w:t>CY2017A</w:t>
            </w:r>
          </w:p>
        </w:tc>
        <w:tc>
          <w:tcPr>
            <w:tcW w:w="120" w:type="dxa"/>
            <w:vAlign w:val="bottom"/>
          </w:tcPr>
          <w:p>
            <w:pPr>
              <w:spacing w:after="0"/>
              <w:rPr>
                <w:sz w:val="18"/>
                <w:szCs w:val="18"/>
                <w:color w:val="auto"/>
              </w:rPr>
            </w:pPr>
          </w:p>
        </w:tc>
        <w:tc>
          <w:tcPr>
            <w:tcW w:w="136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CY2018E</w:t>
            </w:r>
          </w:p>
        </w:tc>
        <w:tc>
          <w:tcPr>
            <w:tcW w:w="980" w:type="dxa"/>
            <w:vAlign w:val="bottom"/>
          </w:tcPr>
          <w:p>
            <w:pPr>
              <w:ind w:left="220"/>
              <w:spacing w:after="0"/>
              <w:rPr>
                <w:sz w:val="20"/>
                <w:szCs w:val="20"/>
                <w:color w:val="auto"/>
              </w:rPr>
            </w:pPr>
            <w:r>
              <w:rPr>
                <w:rFonts w:ascii="Arial" w:cs="Arial" w:eastAsia="Arial" w:hAnsi="Arial"/>
                <w:sz w:val="18"/>
                <w:szCs w:val="18"/>
                <w:b w:val="1"/>
                <w:bCs w:val="1"/>
                <w:color w:val="auto"/>
              </w:rPr>
              <w:t>Non-</w:t>
            </w:r>
          </w:p>
        </w:tc>
        <w:tc>
          <w:tcPr>
            <w:tcW w:w="48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ind w:left="220"/>
              <w:spacing w:after="0"/>
              <w:rPr>
                <w:sz w:val="20"/>
                <w:szCs w:val="20"/>
                <w:color w:val="auto"/>
              </w:rPr>
            </w:pPr>
            <w:r>
              <w:rPr>
                <w:rFonts w:ascii="Arial" w:cs="Arial" w:eastAsia="Arial" w:hAnsi="Arial"/>
                <w:sz w:val="18"/>
                <w:szCs w:val="18"/>
                <w:b w:val="1"/>
                <w:bCs w:val="1"/>
                <w:color w:val="auto"/>
              </w:rPr>
              <w:t>Non-</w:t>
            </w:r>
          </w:p>
        </w:tc>
      </w:tr>
      <w:tr>
        <w:trPr>
          <w:trHeight w:val="216"/>
        </w:trPr>
        <w:tc>
          <w:tcPr>
            <w:tcW w:w="40" w:type="dxa"/>
            <w:vAlign w:val="bottom"/>
            <w:tcBorders>
              <w:right w:val="single" w:sz="8" w:color="auto"/>
            </w:tcBorders>
          </w:tcPr>
          <w:p>
            <w:pPr>
              <w:spacing w:after="0"/>
              <w:rPr>
                <w:sz w:val="18"/>
                <w:szCs w:val="18"/>
                <w:color w:val="auto"/>
              </w:rPr>
            </w:pPr>
          </w:p>
        </w:tc>
        <w:tc>
          <w:tcPr>
            <w:tcW w:w="2360" w:type="dxa"/>
            <w:vAlign w:val="bottom"/>
            <w:tcBorders>
              <w:right w:val="single" w:sz="8" w:color="auto"/>
            </w:tcBorders>
          </w:tcPr>
          <w:p>
            <w:pPr>
              <w:spacing w:after="0"/>
              <w:rPr>
                <w:sz w:val="18"/>
                <w:szCs w:val="18"/>
                <w:color w:val="auto"/>
              </w:rPr>
            </w:pPr>
          </w:p>
        </w:tc>
        <w:tc>
          <w:tcPr>
            <w:tcW w:w="1200" w:type="dxa"/>
            <w:vAlign w:val="bottom"/>
          </w:tcPr>
          <w:p>
            <w:pPr>
              <w:ind w:left="220"/>
              <w:spacing w:after="0"/>
              <w:rPr>
                <w:sz w:val="20"/>
                <w:szCs w:val="20"/>
                <w:color w:val="auto"/>
              </w:rPr>
            </w:pPr>
            <w:r>
              <w:rPr>
                <w:rFonts w:ascii="Arial" w:cs="Arial" w:eastAsia="Arial" w:hAnsi="Arial"/>
                <w:sz w:val="18"/>
                <w:szCs w:val="18"/>
                <w:b w:val="1"/>
                <w:bCs w:val="1"/>
                <w:color w:val="auto"/>
              </w:rPr>
              <w:t>CY2017A</w:t>
            </w:r>
          </w:p>
        </w:tc>
        <w:tc>
          <w:tcPr>
            <w:tcW w:w="40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CY2018E</w:t>
            </w:r>
          </w:p>
        </w:tc>
        <w:tc>
          <w:tcPr>
            <w:tcW w:w="1540" w:type="dxa"/>
            <w:vAlign w:val="bottom"/>
            <w:tcBorders>
              <w:right w:val="single" w:sz="8" w:color="auto"/>
            </w:tcBorders>
          </w:tcPr>
          <w:p>
            <w:pPr>
              <w:ind w:left="200"/>
              <w:spacing w:after="0"/>
              <w:rPr>
                <w:sz w:val="20"/>
                <w:szCs w:val="20"/>
                <w:color w:val="auto"/>
              </w:rPr>
            </w:pPr>
            <w:r>
              <w:rPr>
                <w:rFonts w:ascii="Arial" w:cs="Arial" w:eastAsia="Arial" w:hAnsi="Arial"/>
                <w:sz w:val="18"/>
                <w:szCs w:val="18"/>
                <w:b w:val="1"/>
                <w:bCs w:val="1"/>
                <w:color w:val="auto"/>
              </w:rPr>
              <w:t>Adjusted</w:t>
            </w:r>
          </w:p>
        </w:tc>
        <w:tc>
          <w:tcPr>
            <w:tcW w:w="120" w:type="dxa"/>
            <w:vAlign w:val="bottom"/>
          </w:tcPr>
          <w:p>
            <w:pPr>
              <w:spacing w:after="0"/>
              <w:rPr>
                <w:sz w:val="18"/>
                <w:szCs w:val="18"/>
                <w:color w:val="auto"/>
              </w:rPr>
            </w:pPr>
          </w:p>
        </w:tc>
        <w:tc>
          <w:tcPr>
            <w:tcW w:w="136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Adjusted</w:t>
            </w:r>
          </w:p>
        </w:tc>
        <w:tc>
          <w:tcPr>
            <w:tcW w:w="980" w:type="dxa"/>
            <w:vAlign w:val="bottom"/>
          </w:tcPr>
          <w:p>
            <w:pPr>
              <w:ind w:left="220"/>
              <w:spacing w:after="0"/>
              <w:rPr>
                <w:sz w:val="20"/>
                <w:szCs w:val="20"/>
                <w:color w:val="auto"/>
              </w:rPr>
            </w:pPr>
            <w:r>
              <w:rPr>
                <w:rFonts w:ascii="Arial" w:cs="Arial" w:eastAsia="Arial" w:hAnsi="Arial"/>
                <w:sz w:val="18"/>
                <w:szCs w:val="18"/>
                <w:b w:val="1"/>
                <w:bCs w:val="1"/>
                <w:color w:val="auto"/>
              </w:rPr>
              <w:t>GAAP</w:t>
            </w:r>
          </w:p>
        </w:tc>
        <w:tc>
          <w:tcPr>
            <w:tcW w:w="48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ind w:left="220"/>
              <w:spacing w:after="0"/>
              <w:rPr>
                <w:sz w:val="20"/>
                <w:szCs w:val="20"/>
                <w:color w:val="auto"/>
              </w:rPr>
            </w:pPr>
            <w:r>
              <w:rPr>
                <w:rFonts w:ascii="Arial" w:cs="Arial" w:eastAsia="Arial" w:hAnsi="Arial"/>
                <w:sz w:val="18"/>
                <w:szCs w:val="18"/>
                <w:b w:val="1"/>
                <w:bCs w:val="1"/>
                <w:color w:val="auto"/>
              </w:rPr>
              <w:t>GAAP</w:t>
            </w:r>
          </w:p>
        </w:tc>
      </w:tr>
      <w:tr>
        <w:trPr>
          <w:trHeight w:val="234"/>
        </w:trPr>
        <w:tc>
          <w:tcPr>
            <w:tcW w:w="40" w:type="dxa"/>
            <w:vAlign w:val="bottom"/>
            <w:tcBorders>
              <w:right w:val="single" w:sz="8" w:color="auto"/>
            </w:tcBorders>
          </w:tcPr>
          <w:p>
            <w:pPr>
              <w:spacing w:after="0"/>
              <w:rPr>
                <w:sz w:val="20"/>
                <w:szCs w:val="20"/>
                <w:color w:val="auto"/>
              </w:rPr>
            </w:pPr>
          </w:p>
        </w:tc>
        <w:tc>
          <w:tcPr>
            <w:tcW w:w="23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Company</w:t>
            </w:r>
          </w:p>
        </w:tc>
        <w:tc>
          <w:tcPr>
            <w:tcW w:w="120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Revenue</w:t>
            </w:r>
          </w:p>
        </w:tc>
        <w:tc>
          <w:tcPr>
            <w:tcW w:w="40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Revenue</w:t>
            </w:r>
          </w:p>
        </w:tc>
        <w:tc>
          <w:tcPr>
            <w:tcW w:w="15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b w:val="1"/>
                <w:bCs w:val="1"/>
                <w:color w:val="auto"/>
              </w:rPr>
              <w:t>EBITDA</w:t>
            </w: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EBITDA</w:t>
            </w:r>
          </w:p>
        </w:tc>
        <w:tc>
          <w:tcPr>
            <w:tcW w:w="98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EPS</w:t>
            </w:r>
          </w:p>
        </w:tc>
        <w:tc>
          <w:tcPr>
            <w:tcW w:w="48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b w:val="1"/>
                <w:bCs w:val="1"/>
                <w:color w:val="auto"/>
              </w:rPr>
              <w:t>EPS</w:t>
            </w:r>
          </w:p>
        </w:tc>
      </w:tr>
      <w:tr>
        <w:trPr>
          <w:trHeight w:val="210"/>
        </w:trPr>
        <w:tc>
          <w:tcPr>
            <w:tcW w:w="40" w:type="dxa"/>
            <w:vAlign w:val="bottom"/>
            <w:tcBorders>
              <w:right w:val="single" w:sz="8" w:color="auto"/>
            </w:tcBorders>
          </w:tcPr>
          <w:p>
            <w:pPr>
              <w:spacing w:after="0"/>
              <w:rPr>
                <w:sz w:val="18"/>
                <w:szCs w:val="18"/>
                <w:color w:val="auto"/>
              </w:rPr>
            </w:pPr>
          </w:p>
        </w:tc>
        <w:tc>
          <w:tcPr>
            <w:tcW w:w="2360" w:type="dxa"/>
            <w:vAlign w:val="bottom"/>
            <w:tcBorders>
              <w:bottom w:val="single" w:sz="8" w:color="auto"/>
              <w:right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Small / Mid Cap</w:t>
            </w:r>
          </w:p>
        </w:tc>
        <w:tc>
          <w:tcPr>
            <w:tcW w:w="12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right w:val="single" w:sz="8" w:color="CCEEFF"/>
            </w:tcBorders>
            <w:shd w:val="clear" w:color="auto" w:fill="CCEEFF"/>
          </w:tcPr>
          <w:p>
            <w:pPr>
              <w:spacing w:after="0"/>
              <w:rPr>
                <w:sz w:val="18"/>
                <w:szCs w:val="18"/>
                <w:color w:val="auto"/>
              </w:rPr>
            </w:pPr>
          </w:p>
        </w:tc>
        <w:tc>
          <w:tcPr>
            <w:tcW w:w="1480" w:type="dxa"/>
            <w:vAlign w:val="bottom"/>
            <w:tcBorders>
              <w:bottom w:val="single" w:sz="8" w:color="auto"/>
              <w:right w:val="single" w:sz="8" w:color="CCEEFF"/>
            </w:tcBorders>
            <w:shd w:val="clear" w:color="auto" w:fill="CCEEFF"/>
          </w:tcPr>
          <w:p>
            <w:pPr>
              <w:spacing w:after="0"/>
              <w:rPr>
                <w:sz w:val="18"/>
                <w:szCs w:val="18"/>
                <w:color w:val="auto"/>
              </w:rPr>
            </w:pPr>
          </w:p>
        </w:tc>
        <w:tc>
          <w:tcPr>
            <w:tcW w:w="1540" w:type="dxa"/>
            <w:vAlign w:val="bottom"/>
            <w:tcBorders>
              <w:bottom w:val="single" w:sz="8" w:color="auto"/>
              <w:righ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right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right w:val="single" w:sz="8" w:color="CCEEFF"/>
            </w:tcBorders>
            <w:shd w:val="clear" w:color="auto" w:fill="CCEEFF"/>
          </w:tcPr>
          <w:p>
            <w:pPr>
              <w:spacing w:after="0"/>
              <w:rPr>
                <w:sz w:val="18"/>
                <w:szCs w:val="18"/>
                <w:color w:val="auto"/>
              </w:rPr>
            </w:pPr>
          </w:p>
        </w:tc>
        <w:tc>
          <w:tcPr>
            <w:tcW w:w="146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40" w:type="dxa"/>
            <w:vAlign w:val="bottom"/>
            <w:tcBorders>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Camtek Ltd.</w:t>
            </w:r>
          </w:p>
        </w:tc>
        <w:tc>
          <w:tcPr>
            <w:tcW w:w="120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2.4x</w:t>
            </w:r>
          </w:p>
        </w:tc>
        <w:tc>
          <w:tcPr>
            <w:tcW w:w="40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jc w:val="right"/>
              <w:ind w:right="510"/>
              <w:spacing w:after="0"/>
              <w:rPr>
                <w:sz w:val="20"/>
                <w:szCs w:val="20"/>
                <w:color w:val="auto"/>
              </w:rPr>
            </w:pPr>
            <w:r>
              <w:rPr>
                <w:rFonts w:ascii="Arial" w:cs="Arial" w:eastAsia="Arial" w:hAnsi="Arial"/>
                <w:sz w:val="18"/>
                <w:szCs w:val="18"/>
                <w:color w:val="auto"/>
              </w:rPr>
              <w:t>1.9x</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17.6x</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jc w:val="center"/>
              <w:ind w:right="70"/>
              <w:spacing w:after="0"/>
              <w:rPr>
                <w:sz w:val="20"/>
                <w:szCs w:val="20"/>
                <w:color w:val="auto"/>
              </w:rPr>
            </w:pPr>
            <w:r>
              <w:rPr>
                <w:rFonts w:ascii="Arial" w:cs="Arial" w:eastAsia="Arial" w:hAnsi="Arial"/>
                <w:sz w:val="18"/>
                <w:szCs w:val="18"/>
                <w:color w:val="auto"/>
                <w:w w:val="90"/>
              </w:rPr>
              <w:t>10.7x</w:t>
            </w:r>
          </w:p>
        </w:tc>
        <w:tc>
          <w:tcPr>
            <w:tcW w:w="980" w:type="dxa"/>
            <w:vAlign w:val="bottom"/>
            <w:tcBorders>
              <w:bottom w:val="single" w:sz="8" w:color="auto"/>
            </w:tcBorders>
          </w:tcPr>
          <w:p>
            <w:pPr>
              <w:jc w:val="center"/>
              <w:ind w:left="370"/>
              <w:spacing w:after="0"/>
              <w:rPr>
                <w:sz w:val="20"/>
                <w:szCs w:val="20"/>
                <w:color w:val="auto"/>
              </w:rPr>
            </w:pPr>
            <w:r>
              <w:rPr>
                <w:rFonts w:ascii="Arial" w:cs="Arial" w:eastAsia="Arial" w:hAnsi="Arial"/>
                <w:sz w:val="18"/>
                <w:szCs w:val="18"/>
                <w:color w:val="auto"/>
                <w:w w:val="90"/>
              </w:rPr>
              <w:t>26.9x</w:t>
            </w:r>
          </w:p>
        </w:tc>
        <w:tc>
          <w:tcPr>
            <w:tcW w:w="48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14.3x</w:t>
            </w:r>
          </w:p>
        </w:tc>
      </w:tr>
      <w:tr>
        <w:trPr>
          <w:trHeight w:val="210"/>
        </w:trPr>
        <w:tc>
          <w:tcPr>
            <w:tcW w:w="40" w:type="dxa"/>
            <w:vAlign w:val="bottom"/>
            <w:tcBorders>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FormFactor, Inc.</w:t>
            </w:r>
          </w:p>
        </w:tc>
        <w:tc>
          <w:tcPr>
            <w:tcW w:w="120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1.7x</w:t>
            </w:r>
          </w:p>
        </w:tc>
        <w:tc>
          <w:tcPr>
            <w:tcW w:w="400" w:type="dxa"/>
            <w:vAlign w:val="bottom"/>
            <w:tcBorders>
              <w:bottom w:val="single" w:sz="8" w:color="auto"/>
              <w:right w:val="single" w:sz="8" w:color="auto"/>
            </w:tcBorders>
            <w:shd w:val="clear" w:color="auto" w:fill="CCEEFF"/>
          </w:tcPr>
          <w:p>
            <w:pPr>
              <w:spacing w:after="0"/>
              <w:rPr>
                <w:sz w:val="18"/>
                <w:szCs w:val="18"/>
                <w:color w:val="auto"/>
              </w:rPr>
            </w:pPr>
          </w:p>
        </w:tc>
        <w:tc>
          <w:tcPr>
            <w:tcW w:w="1480" w:type="dxa"/>
            <w:vAlign w:val="bottom"/>
            <w:tcBorders>
              <w:bottom w:val="single" w:sz="8" w:color="auto"/>
              <w:right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1.7x</w:t>
            </w:r>
          </w:p>
        </w:tc>
        <w:tc>
          <w:tcPr>
            <w:tcW w:w="15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8.3x</w:t>
            </w: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right w:val="single" w:sz="8" w:color="auto"/>
            </w:tcBorders>
            <w:shd w:val="clear" w:color="auto" w:fill="CCEEFF"/>
          </w:tcPr>
          <w:p>
            <w:pPr>
              <w:jc w:val="center"/>
              <w:ind w:right="70"/>
              <w:spacing w:after="0"/>
              <w:rPr>
                <w:sz w:val="20"/>
                <w:szCs w:val="20"/>
                <w:color w:val="auto"/>
              </w:rPr>
            </w:pPr>
            <w:r>
              <w:rPr>
                <w:rFonts w:ascii="Arial" w:cs="Arial" w:eastAsia="Arial" w:hAnsi="Arial"/>
                <w:sz w:val="18"/>
                <w:szCs w:val="18"/>
                <w:color w:val="auto"/>
                <w:w w:val="93"/>
              </w:rPr>
              <w:t>9.1x</w:t>
            </w:r>
          </w:p>
        </w:tc>
        <w:tc>
          <w:tcPr>
            <w:tcW w:w="980" w:type="dxa"/>
            <w:vAlign w:val="bottom"/>
            <w:tcBorders>
              <w:bottom w:val="single" w:sz="8" w:color="auto"/>
            </w:tcBorders>
            <w:shd w:val="clear" w:color="auto" w:fill="CCEEFF"/>
          </w:tcPr>
          <w:p>
            <w:pPr>
              <w:jc w:val="center"/>
              <w:ind w:left="370"/>
              <w:spacing w:after="0"/>
              <w:rPr>
                <w:sz w:val="20"/>
                <w:szCs w:val="20"/>
                <w:color w:val="auto"/>
              </w:rPr>
            </w:pPr>
            <w:r>
              <w:rPr>
                <w:rFonts w:ascii="Arial" w:cs="Arial" w:eastAsia="Arial" w:hAnsi="Arial"/>
                <w:sz w:val="18"/>
                <w:szCs w:val="18"/>
                <w:color w:val="auto"/>
                <w:w w:val="90"/>
              </w:rPr>
              <w:t>10.2x</w:t>
            </w:r>
          </w:p>
        </w:tc>
        <w:tc>
          <w:tcPr>
            <w:tcW w:w="480" w:type="dxa"/>
            <w:vAlign w:val="bottom"/>
            <w:tcBorders>
              <w:bottom w:val="single" w:sz="8" w:color="auto"/>
              <w:right w:val="single" w:sz="8" w:color="auto"/>
            </w:tcBorders>
            <w:shd w:val="clear" w:color="auto" w:fill="CCEEFF"/>
          </w:tcPr>
          <w:p>
            <w:pPr>
              <w:spacing w:after="0"/>
              <w:rPr>
                <w:sz w:val="18"/>
                <w:szCs w:val="18"/>
                <w:color w:val="auto"/>
              </w:rPr>
            </w:pPr>
          </w:p>
        </w:tc>
        <w:tc>
          <w:tcPr>
            <w:tcW w:w="14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12.1x</w:t>
            </w:r>
          </w:p>
        </w:tc>
      </w:tr>
      <w:tr>
        <w:trPr>
          <w:trHeight w:val="210"/>
        </w:trPr>
        <w:tc>
          <w:tcPr>
            <w:tcW w:w="40" w:type="dxa"/>
            <w:vAlign w:val="bottom"/>
            <w:tcBorders>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inTest Corporation</w:t>
            </w:r>
          </w:p>
        </w:tc>
        <w:tc>
          <w:tcPr>
            <w:tcW w:w="120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0.9x</w:t>
            </w:r>
          </w:p>
        </w:tc>
        <w:tc>
          <w:tcPr>
            <w:tcW w:w="40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jc w:val="right"/>
              <w:ind w:right="510"/>
              <w:spacing w:after="0"/>
              <w:rPr>
                <w:sz w:val="20"/>
                <w:szCs w:val="20"/>
                <w:color w:val="auto"/>
              </w:rPr>
            </w:pPr>
            <w:r>
              <w:rPr>
                <w:rFonts w:ascii="Arial" w:cs="Arial" w:eastAsia="Arial" w:hAnsi="Arial"/>
                <w:sz w:val="18"/>
                <w:szCs w:val="18"/>
                <w:color w:val="auto"/>
              </w:rPr>
              <w:t>0.8x</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4.4x</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jc w:val="center"/>
              <w:ind w:right="70"/>
              <w:spacing w:after="0"/>
              <w:rPr>
                <w:sz w:val="20"/>
                <w:szCs w:val="20"/>
                <w:color w:val="auto"/>
              </w:rPr>
            </w:pPr>
            <w:r>
              <w:rPr>
                <w:rFonts w:ascii="Arial" w:cs="Arial" w:eastAsia="Arial" w:hAnsi="Arial"/>
                <w:sz w:val="18"/>
                <w:szCs w:val="18"/>
                <w:color w:val="auto"/>
                <w:w w:val="93"/>
              </w:rPr>
              <w:t>5.0x</w:t>
            </w:r>
          </w:p>
        </w:tc>
        <w:tc>
          <w:tcPr>
            <w:tcW w:w="980" w:type="dxa"/>
            <w:vAlign w:val="bottom"/>
            <w:tcBorders>
              <w:bottom w:val="single" w:sz="8" w:color="auto"/>
            </w:tcBorders>
          </w:tcPr>
          <w:p>
            <w:pPr>
              <w:jc w:val="center"/>
              <w:ind w:left="370"/>
              <w:spacing w:after="0"/>
              <w:rPr>
                <w:sz w:val="20"/>
                <w:szCs w:val="20"/>
                <w:color w:val="auto"/>
              </w:rPr>
            </w:pPr>
            <w:r>
              <w:rPr>
                <w:rFonts w:ascii="Arial" w:cs="Arial" w:eastAsia="Arial" w:hAnsi="Arial"/>
                <w:sz w:val="18"/>
                <w:szCs w:val="18"/>
                <w:color w:val="auto"/>
                <w:w w:val="93"/>
              </w:rPr>
              <w:t>7.6x</w:t>
            </w:r>
          </w:p>
        </w:tc>
        <w:tc>
          <w:tcPr>
            <w:tcW w:w="48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8.1x</w:t>
            </w:r>
          </w:p>
        </w:tc>
      </w:tr>
      <w:tr>
        <w:trPr>
          <w:trHeight w:val="195"/>
        </w:trPr>
        <w:tc>
          <w:tcPr>
            <w:tcW w:w="40" w:type="dxa"/>
            <w:vAlign w:val="bottom"/>
            <w:tcBorders>
              <w:right w:val="single" w:sz="8" w:color="auto"/>
            </w:tcBorders>
          </w:tcPr>
          <w:p>
            <w:pPr>
              <w:spacing w:after="0"/>
              <w:rPr>
                <w:sz w:val="16"/>
                <w:szCs w:val="16"/>
                <w:color w:val="auto"/>
              </w:rPr>
            </w:pPr>
          </w:p>
        </w:tc>
        <w:tc>
          <w:tcPr>
            <w:tcW w:w="2360" w:type="dxa"/>
            <w:vAlign w:val="bottom"/>
            <w:tcBorders>
              <w:right w:val="single" w:sz="8" w:color="auto"/>
            </w:tcBorders>
            <w:shd w:val="clear" w:color="auto" w:fill="CCEEFF"/>
          </w:tcPr>
          <w:p>
            <w:pPr>
              <w:ind w:left="80"/>
              <w:spacing w:after="0" w:line="195" w:lineRule="exact"/>
              <w:rPr>
                <w:sz w:val="20"/>
                <w:szCs w:val="20"/>
                <w:color w:val="auto"/>
              </w:rPr>
            </w:pPr>
            <w:r>
              <w:rPr>
                <w:rFonts w:ascii="Arial" w:cs="Arial" w:eastAsia="Arial" w:hAnsi="Arial"/>
                <w:sz w:val="18"/>
                <w:szCs w:val="18"/>
                <w:color w:val="auto"/>
                <w:w w:val="98"/>
              </w:rPr>
              <w:t>Kulicke and Soffa Industries,</w:t>
            </w:r>
          </w:p>
        </w:tc>
        <w:tc>
          <w:tcPr>
            <w:tcW w:w="1200" w:type="dxa"/>
            <w:vAlign w:val="bottom"/>
            <w:shd w:val="clear" w:color="auto" w:fill="CCEEFF"/>
          </w:tcPr>
          <w:p>
            <w:pPr>
              <w:ind w:left="620"/>
              <w:spacing w:after="0" w:line="195" w:lineRule="exact"/>
              <w:rPr>
                <w:sz w:val="20"/>
                <w:szCs w:val="20"/>
                <w:color w:val="auto"/>
              </w:rPr>
            </w:pPr>
            <w:r>
              <w:rPr>
                <w:rFonts w:ascii="Arial" w:cs="Arial" w:eastAsia="Arial" w:hAnsi="Arial"/>
                <w:sz w:val="18"/>
                <w:szCs w:val="18"/>
                <w:color w:val="auto"/>
              </w:rPr>
              <w:t>1.2x</w:t>
            </w:r>
          </w:p>
        </w:tc>
        <w:tc>
          <w:tcPr>
            <w:tcW w:w="400" w:type="dxa"/>
            <w:vAlign w:val="bottom"/>
            <w:tcBorders>
              <w:right w:val="single" w:sz="8" w:color="auto"/>
            </w:tcBorders>
            <w:shd w:val="clear" w:color="auto" w:fill="CCEEFF"/>
          </w:tcPr>
          <w:p>
            <w:pPr>
              <w:spacing w:after="0"/>
              <w:rPr>
                <w:sz w:val="16"/>
                <w:szCs w:val="16"/>
                <w:color w:val="auto"/>
              </w:rPr>
            </w:pPr>
          </w:p>
        </w:tc>
        <w:tc>
          <w:tcPr>
            <w:tcW w:w="1480" w:type="dxa"/>
            <w:vAlign w:val="bottom"/>
            <w:tcBorders>
              <w:right w:val="single" w:sz="8" w:color="auto"/>
            </w:tcBorders>
            <w:shd w:val="clear" w:color="auto" w:fill="CCEEFF"/>
          </w:tcPr>
          <w:p>
            <w:pPr>
              <w:jc w:val="right"/>
              <w:ind w:right="510"/>
              <w:spacing w:after="0" w:line="195" w:lineRule="exact"/>
              <w:rPr>
                <w:sz w:val="20"/>
                <w:szCs w:val="20"/>
                <w:color w:val="auto"/>
              </w:rPr>
            </w:pPr>
            <w:r>
              <w:rPr>
                <w:rFonts w:ascii="Arial" w:cs="Arial" w:eastAsia="Arial" w:hAnsi="Arial"/>
                <w:sz w:val="18"/>
                <w:szCs w:val="18"/>
                <w:color w:val="auto"/>
              </w:rPr>
              <w:t>1.2x</w:t>
            </w:r>
          </w:p>
        </w:tc>
        <w:tc>
          <w:tcPr>
            <w:tcW w:w="154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8"/>
              </w:rPr>
              <w:t>5.5x</w:t>
            </w:r>
          </w:p>
        </w:tc>
        <w:tc>
          <w:tcPr>
            <w:tcW w:w="120" w:type="dxa"/>
            <w:vAlign w:val="bottom"/>
            <w:shd w:val="clear" w:color="auto" w:fill="CCEEFF"/>
          </w:tcPr>
          <w:p>
            <w:pPr>
              <w:spacing w:after="0"/>
              <w:rPr>
                <w:sz w:val="16"/>
                <w:szCs w:val="16"/>
                <w:color w:val="auto"/>
              </w:rPr>
            </w:pPr>
          </w:p>
        </w:tc>
        <w:tc>
          <w:tcPr>
            <w:tcW w:w="1360" w:type="dxa"/>
            <w:vAlign w:val="bottom"/>
            <w:tcBorders>
              <w:right w:val="single" w:sz="8" w:color="auto"/>
            </w:tcBorders>
            <w:shd w:val="clear" w:color="auto" w:fill="CCEEFF"/>
          </w:tcPr>
          <w:p>
            <w:pPr>
              <w:jc w:val="center"/>
              <w:ind w:right="70"/>
              <w:spacing w:after="0" w:line="195" w:lineRule="exact"/>
              <w:rPr>
                <w:sz w:val="20"/>
                <w:szCs w:val="20"/>
                <w:color w:val="auto"/>
              </w:rPr>
            </w:pPr>
            <w:r>
              <w:rPr>
                <w:rFonts w:ascii="Arial" w:cs="Arial" w:eastAsia="Arial" w:hAnsi="Arial"/>
                <w:sz w:val="18"/>
                <w:szCs w:val="18"/>
                <w:color w:val="auto"/>
                <w:w w:val="93"/>
              </w:rPr>
              <w:t>5.6x</w:t>
            </w:r>
          </w:p>
        </w:tc>
        <w:tc>
          <w:tcPr>
            <w:tcW w:w="980" w:type="dxa"/>
            <w:vAlign w:val="bottom"/>
            <w:shd w:val="clear" w:color="auto" w:fill="CCEEFF"/>
          </w:tcPr>
          <w:p>
            <w:pPr>
              <w:jc w:val="center"/>
              <w:ind w:left="370"/>
              <w:spacing w:after="0" w:line="195" w:lineRule="exact"/>
              <w:rPr>
                <w:sz w:val="20"/>
                <w:szCs w:val="20"/>
                <w:color w:val="auto"/>
              </w:rPr>
            </w:pPr>
            <w:r>
              <w:rPr>
                <w:rFonts w:ascii="Arial" w:cs="Arial" w:eastAsia="Arial" w:hAnsi="Arial"/>
                <w:sz w:val="18"/>
                <w:szCs w:val="18"/>
                <w:color w:val="auto"/>
                <w:w w:val="90"/>
              </w:rPr>
              <w:t>10.3x</w:t>
            </w:r>
          </w:p>
        </w:tc>
        <w:tc>
          <w:tcPr>
            <w:tcW w:w="480" w:type="dxa"/>
            <w:vAlign w:val="bottom"/>
            <w:tcBorders>
              <w:right w:val="single" w:sz="8" w:color="auto"/>
            </w:tcBorders>
            <w:shd w:val="clear" w:color="auto" w:fill="CCEEFF"/>
          </w:tcPr>
          <w:p>
            <w:pPr>
              <w:spacing w:after="0"/>
              <w:rPr>
                <w:sz w:val="16"/>
                <w:szCs w:val="16"/>
                <w:color w:val="auto"/>
              </w:rPr>
            </w:pPr>
          </w:p>
        </w:tc>
        <w:tc>
          <w:tcPr>
            <w:tcW w:w="146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12.0x</w:t>
            </w:r>
          </w:p>
        </w:tc>
      </w:tr>
      <w:tr>
        <w:trPr>
          <w:trHeight w:val="230"/>
        </w:trPr>
        <w:tc>
          <w:tcPr>
            <w:tcW w:w="40" w:type="dxa"/>
            <w:vAlign w:val="bottom"/>
            <w:tcBorders>
              <w:right w:val="single" w:sz="8" w:color="auto"/>
            </w:tcBorders>
          </w:tcPr>
          <w:p>
            <w:pPr>
              <w:spacing w:after="0"/>
              <w:rPr>
                <w:sz w:val="20"/>
                <w:szCs w:val="20"/>
                <w:color w:val="auto"/>
              </w:rPr>
            </w:pPr>
          </w:p>
        </w:tc>
        <w:tc>
          <w:tcPr>
            <w:tcW w:w="23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Inc.</w:t>
            </w:r>
          </w:p>
        </w:tc>
        <w:tc>
          <w:tcPr>
            <w:tcW w:w="120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right w:val="single" w:sz="8" w:color="auto"/>
            </w:tcBorders>
            <w:shd w:val="clear" w:color="auto" w:fill="CCEEFF"/>
          </w:tcPr>
          <w:p>
            <w:pPr>
              <w:spacing w:after="0"/>
              <w:rPr>
                <w:sz w:val="20"/>
                <w:szCs w:val="20"/>
                <w:color w:val="auto"/>
              </w:rPr>
            </w:pPr>
          </w:p>
        </w:tc>
        <w:tc>
          <w:tcPr>
            <w:tcW w:w="1480" w:type="dxa"/>
            <w:vAlign w:val="bottom"/>
            <w:tcBorders>
              <w:bottom w:val="single" w:sz="8" w:color="auto"/>
              <w:right w:val="single" w:sz="8" w:color="auto"/>
            </w:tcBorders>
            <w:shd w:val="clear" w:color="auto" w:fill="CCEEFF"/>
          </w:tcPr>
          <w:p>
            <w:pPr>
              <w:spacing w:after="0"/>
              <w:rPr>
                <w:sz w:val="20"/>
                <w:szCs w:val="20"/>
                <w:color w:val="auto"/>
              </w:rPr>
            </w:pPr>
          </w:p>
        </w:tc>
        <w:tc>
          <w:tcPr>
            <w:tcW w:w="1540" w:type="dxa"/>
            <w:vAlign w:val="bottom"/>
            <w:tcBorders>
              <w:bottom w:val="single" w:sz="8" w:color="auto"/>
              <w:right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right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right w:val="single" w:sz="8" w:color="auto"/>
            </w:tcBorders>
            <w:shd w:val="clear" w:color="auto" w:fill="CCEEFF"/>
          </w:tcPr>
          <w:p>
            <w:pPr>
              <w:spacing w:after="0"/>
              <w:rPr>
                <w:sz w:val="20"/>
                <w:szCs w:val="20"/>
                <w:color w:val="auto"/>
              </w:rPr>
            </w:pPr>
          </w:p>
        </w:tc>
        <w:tc>
          <w:tcPr>
            <w:tcW w:w="146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210"/>
        </w:trPr>
        <w:tc>
          <w:tcPr>
            <w:tcW w:w="40" w:type="dxa"/>
            <w:vAlign w:val="bottom"/>
            <w:tcBorders>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Xcerra Corporation</w:t>
            </w:r>
          </w:p>
        </w:tc>
        <w:tc>
          <w:tcPr>
            <w:tcW w:w="120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1.2x</w:t>
            </w:r>
          </w:p>
        </w:tc>
        <w:tc>
          <w:tcPr>
            <w:tcW w:w="40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jc w:val="right"/>
              <w:ind w:right="510"/>
              <w:spacing w:after="0"/>
              <w:rPr>
                <w:sz w:val="20"/>
                <w:szCs w:val="20"/>
                <w:color w:val="auto"/>
              </w:rPr>
            </w:pPr>
            <w:r>
              <w:rPr>
                <w:rFonts w:ascii="Arial" w:cs="Arial" w:eastAsia="Arial" w:hAnsi="Arial"/>
                <w:sz w:val="18"/>
                <w:szCs w:val="18"/>
                <w:color w:val="auto"/>
              </w:rPr>
              <w:t>1.2x</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7.1x</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jc w:val="center"/>
              <w:ind w:right="70"/>
              <w:spacing w:after="0"/>
              <w:rPr>
                <w:sz w:val="20"/>
                <w:szCs w:val="20"/>
                <w:color w:val="auto"/>
              </w:rPr>
            </w:pPr>
            <w:r>
              <w:rPr>
                <w:rFonts w:ascii="Arial" w:cs="Arial" w:eastAsia="Arial" w:hAnsi="Arial"/>
                <w:sz w:val="18"/>
                <w:szCs w:val="18"/>
                <w:color w:val="auto"/>
                <w:w w:val="93"/>
              </w:rPr>
              <w:t>7.4x</w:t>
            </w:r>
          </w:p>
        </w:tc>
        <w:tc>
          <w:tcPr>
            <w:tcW w:w="980" w:type="dxa"/>
            <w:vAlign w:val="bottom"/>
            <w:tcBorders>
              <w:bottom w:val="single" w:sz="8" w:color="auto"/>
            </w:tcBorders>
          </w:tcPr>
          <w:p>
            <w:pPr>
              <w:jc w:val="center"/>
              <w:ind w:left="370"/>
              <w:spacing w:after="0"/>
              <w:rPr>
                <w:sz w:val="20"/>
                <w:szCs w:val="20"/>
                <w:color w:val="auto"/>
              </w:rPr>
            </w:pPr>
            <w:r>
              <w:rPr>
                <w:rFonts w:ascii="Arial" w:cs="Arial" w:eastAsia="Arial" w:hAnsi="Arial"/>
                <w:sz w:val="18"/>
                <w:szCs w:val="18"/>
                <w:color w:val="auto"/>
                <w:w w:val="90"/>
              </w:rPr>
              <w:t>11.7x</w:t>
            </w:r>
          </w:p>
        </w:tc>
        <w:tc>
          <w:tcPr>
            <w:tcW w:w="48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11.4x</w:t>
            </w:r>
          </w:p>
        </w:tc>
      </w:tr>
      <w:tr>
        <w:trPr>
          <w:trHeight w:val="210"/>
        </w:trPr>
        <w:tc>
          <w:tcPr>
            <w:tcW w:w="40" w:type="dxa"/>
            <w:vAlign w:val="bottom"/>
            <w:tcBorders>
              <w:right w:val="single" w:sz="8" w:color="auto"/>
            </w:tcBorders>
          </w:tcPr>
          <w:p>
            <w:pPr>
              <w:spacing w:after="0"/>
              <w:rPr>
                <w:sz w:val="18"/>
                <w:szCs w:val="18"/>
                <w:color w:val="auto"/>
              </w:rPr>
            </w:pPr>
          </w:p>
        </w:tc>
        <w:tc>
          <w:tcPr>
            <w:tcW w:w="2360" w:type="dxa"/>
            <w:vAlign w:val="bottom"/>
            <w:tcBorders>
              <w:bottom w:val="single" w:sz="8" w:color="auto"/>
              <w:right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Large Cap</w:t>
            </w:r>
          </w:p>
        </w:tc>
        <w:tc>
          <w:tcPr>
            <w:tcW w:w="12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right w:val="single" w:sz="8" w:color="CCEEFF"/>
            </w:tcBorders>
            <w:shd w:val="clear" w:color="auto" w:fill="CCEEFF"/>
          </w:tcPr>
          <w:p>
            <w:pPr>
              <w:spacing w:after="0"/>
              <w:rPr>
                <w:sz w:val="18"/>
                <w:szCs w:val="18"/>
                <w:color w:val="auto"/>
              </w:rPr>
            </w:pPr>
          </w:p>
        </w:tc>
        <w:tc>
          <w:tcPr>
            <w:tcW w:w="1480" w:type="dxa"/>
            <w:vAlign w:val="bottom"/>
            <w:tcBorders>
              <w:bottom w:val="single" w:sz="8" w:color="auto"/>
              <w:right w:val="single" w:sz="8" w:color="CCEEFF"/>
            </w:tcBorders>
            <w:shd w:val="clear" w:color="auto" w:fill="CCEEFF"/>
          </w:tcPr>
          <w:p>
            <w:pPr>
              <w:spacing w:after="0"/>
              <w:rPr>
                <w:sz w:val="18"/>
                <w:szCs w:val="18"/>
                <w:color w:val="auto"/>
              </w:rPr>
            </w:pPr>
          </w:p>
        </w:tc>
        <w:tc>
          <w:tcPr>
            <w:tcW w:w="1540" w:type="dxa"/>
            <w:vAlign w:val="bottom"/>
            <w:tcBorders>
              <w:bottom w:val="single" w:sz="8" w:color="auto"/>
              <w:righ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right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right w:val="single" w:sz="8" w:color="CCEEFF"/>
            </w:tcBorders>
            <w:shd w:val="clear" w:color="auto" w:fill="CCEEFF"/>
          </w:tcPr>
          <w:p>
            <w:pPr>
              <w:spacing w:after="0"/>
              <w:rPr>
                <w:sz w:val="18"/>
                <w:szCs w:val="18"/>
                <w:color w:val="auto"/>
              </w:rPr>
            </w:pPr>
          </w:p>
        </w:tc>
        <w:tc>
          <w:tcPr>
            <w:tcW w:w="146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40" w:type="dxa"/>
            <w:vAlign w:val="bottom"/>
            <w:tcBorders>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Advantest Corporation</w:t>
            </w:r>
          </w:p>
        </w:tc>
        <w:tc>
          <w:tcPr>
            <w:tcW w:w="120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2.4x</w:t>
            </w:r>
          </w:p>
        </w:tc>
        <w:tc>
          <w:tcPr>
            <w:tcW w:w="40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jc w:val="right"/>
              <w:ind w:right="510"/>
              <w:spacing w:after="0"/>
              <w:rPr>
                <w:sz w:val="20"/>
                <w:szCs w:val="20"/>
                <w:color w:val="auto"/>
              </w:rPr>
            </w:pPr>
            <w:r>
              <w:rPr>
                <w:rFonts w:ascii="Arial" w:cs="Arial" w:eastAsia="Arial" w:hAnsi="Arial"/>
                <w:sz w:val="18"/>
                <w:szCs w:val="18"/>
                <w:color w:val="auto"/>
              </w:rPr>
              <w:t>2.0x</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22.1x</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jc w:val="center"/>
              <w:ind w:right="70"/>
              <w:spacing w:after="0"/>
              <w:rPr>
                <w:sz w:val="20"/>
                <w:szCs w:val="20"/>
                <w:color w:val="auto"/>
              </w:rPr>
            </w:pPr>
            <w:r>
              <w:rPr>
                <w:rFonts w:ascii="Arial" w:cs="Arial" w:eastAsia="Arial" w:hAnsi="Arial"/>
                <w:sz w:val="18"/>
                <w:szCs w:val="18"/>
                <w:color w:val="auto"/>
                <w:w w:val="90"/>
              </w:rPr>
              <w:t>10.6x</w:t>
            </w:r>
          </w:p>
        </w:tc>
        <w:tc>
          <w:tcPr>
            <w:tcW w:w="980" w:type="dxa"/>
            <w:vAlign w:val="bottom"/>
            <w:tcBorders>
              <w:bottom w:val="single" w:sz="8" w:color="auto"/>
            </w:tcBorders>
          </w:tcPr>
          <w:p>
            <w:pPr>
              <w:jc w:val="center"/>
              <w:ind w:left="370"/>
              <w:spacing w:after="0"/>
              <w:rPr>
                <w:sz w:val="20"/>
                <w:szCs w:val="20"/>
                <w:color w:val="auto"/>
              </w:rPr>
            </w:pPr>
            <w:r>
              <w:rPr>
                <w:rFonts w:ascii="Arial" w:cs="Arial" w:eastAsia="Arial" w:hAnsi="Arial"/>
                <w:sz w:val="18"/>
                <w:szCs w:val="18"/>
                <w:color w:val="auto"/>
                <w:w w:val="90"/>
              </w:rPr>
              <w:t>33.0x</w:t>
            </w:r>
          </w:p>
        </w:tc>
        <w:tc>
          <w:tcPr>
            <w:tcW w:w="48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16.4x</w:t>
            </w:r>
          </w:p>
        </w:tc>
      </w:tr>
      <w:tr>
        <w:trPr>
          <w:trHeight w:val="210"/>
        </w:trPr>
        <w:tc>
          <w:tcPr>
            <w:tcW w:w="40" w:type="dxa"/>
            <w:vAlign w:val="bottom"/>
            <w:tcBorders>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Teradyne, Inc.</w:t>
            </w:r>
          </w:p>
        </w:tc>
        <w:tc>
          <w:tcPr>
            <w:tcW w:w="120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3.0x</w:t>
            </w:r>
          </w:p>
        </w:tc>
        <w:tc>
          <w:tcPr>
            <w:tcW w:w="400" w:type="dxa"/>
            <w:vAlign w:val="bottom"/>
            <w:tcBorders>
              <w:bottom w:val="single" w:sz="8" w:color="auto"/>
              <w:right w:val="single" w:sz="8" w:color="auto"/>
            </w:tcBorders>
            <w:shd w:val="clear" w:color="auto" w:fill="CCEEFF"/>
          </w:tcPr>
          <w:p>
            <w:pPr>
              <w:spacing w:after="0"/>
              <w:rPr>
                <w:sz w:val="18"/>
                <w:szCs w:val="18"/>
                <w:color w:val="auto"/>
              </w:rPr>
            </w:pPr>
          </w:p>
        </w:tc>
        <w:tc>
          <w:tcPr>
            <w:tcW w:w="1480" w:type="dxa"/>
            <w:vAlign w:val="bottom"/>
            <w:tcBorders>
              <w:bottom w:val="single" w:sz="8" w:color="auto"/>
              <w:right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3.2x</w:t>
            </w:r>
          </w:p>
        </w:tc>
        <w:tc>
          <w:tcPr>
            <w:tcW w:w="15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9.4x</w:t>
            </w: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right w:val="single" w:sz="8" w:color="auto"/>
            </w:tcBorders>
            <w:shd w:val="clear" w:color="auto" w:fill="CCEEFF"/>
          </w:tcPr>
          <w:p>
            <w:pPr>
              <w:jc w:val="center"/>
              <w:ind w:right="70"/>
              <w:spacing w:after="0"/>
              <w:rPr>
                <w:sz w:val="20"/>
                <w:szCs w:val="20"/>
                <w:color w:val="auto"/>
              </w:rPr>
            </w:pPr>
            <w:r>
              <w:rPr>
                <w:rFonts w:ascii="Arial" w:cs="Arial" w:eastAsia="Arial" w:hAnsi="Arial"/>
                <w:sz w:val="18"/>
                <w:szCs w:val="18"/>
                <w:color w:val="auto"/>
                <w:w w:val="90"/>
              </w:rPr>
              <w:t>11.7x</w:t>
            </w:r>
          </w:p>
        </w:tc>
        <w:tc>
          <w:tcPr>
            <w:tcW w:w="980" w:type="dxa"/>
            <w:vAlign w:val="bottom"/>
            <w:tcBorders>
              <w:bottom w:val="single" w:sz="8" w:color="auto"/>
            </w:tcBorders>
            <w:shd w:val="clear" w:color="auto" w:fill="CCEEFF"/>
          </w:tcPr>
          <w:p>
            <w:pPr>
              <w:jc w:val="center"/>
              <w:ind w:left="370"/>
              <w:spacing w:after="0"/>
              <w:rPr>
                <w:sz w:val="20"/>
                <w:szCs w:val="20"/>
                <w:color w:val="auto"/>
              </w:rPr>
            </w:pPr>
            <w:r>
              <w:rPr>
                <w:rFonts w:ascii="Arial" w:cs="Arial" w:eastAsia="Arial" w:hAnsi="Arial"/>
                <w:sz w:val="18"/>
                <w:szCs w:val="18"/>
                <w:color w:val="auto"/>
                <w:w w:val="90"/>
              </w:rPr>
              <w:t>15.2x</w:t>
            </w:r>
          </w:p>
        </w:tc>
        <w:tc>
          <w:tcPr>
            <w:tcW w:w="480" w:type="dxa"/>
            <w:vAlign w:val="bottom"/>
            <w:tcBorders>
              <w:bottom w:val="single" w:sz="8" w:color="auto"/>
              <w:right w:val="single" w:sz="8" w:color="auto"/>
            </w:tcBorders>
            <w:shd w:val="clear" w:color="auto" w:fill="CCEEFF"/>
          </w:tcPr>
          <w:p>
            <w:pPr>
              <w:spacing w:after="0"/>
              <w:rPr>
                <w:sz w:val="18"/>
                <w:szCs w:val="18"/>
                <w:color w:val="auto"/>
              </w:rPr>
            </w:pPr>
          </w:p>
        </w:tc>
        <w:tc>
          <w:tcPr>
            <w:tcW w:w="14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18.8x</w:t>
            </w:r>
          </w:p>
        </w:tc>
      </w:tr>
      <w:tr>
        <w:trPr>
          <w:trHeight w:val="568"/>
        </w:trPr>
        <w:tc>
          <w:tcPr>
            <w:tcW w:w="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5" w:name="page6"/>
    <w:bookmarkEnd w:id="5"/>
    <w:p>
      <w:pPr>
        <w:ind w:left="660" w:right="180" w:hanging="328"/>
        <w:spacing w:after="0" w:line="282"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The section of the Proxy Statement titled “The Merger – Opinion of Xcerra’s Financial Advisor, Cowen – Summary of Material Financial Analyses – Cohu Financial Analyses – Discounted Cash Flow Analysis”</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The second full paragraph on page 123 of the Proxy Statement is hereby amended and restated as follows:</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Cowen estimated a range of values for the shares of Cohu Common Stock based upon the discounted present value of Cohu’s projected unlevered free cash flow for the eight-month period ending on December 29, 2018 and the full fiscal years ending in 2019 through 2022 and the terminal value of Cohu based on multiples of Cohu’s forecasted Adjusted EBITDA for Cohu’s fiscal year ending in 2023, and assuming a Merger closing date of April 30, 2018. Cowen calculated unlevered free cash flow based on financial forecast information provided by or at the direction of Cohu management as (a) Adjusted EBITDA, less (b) stock based compensation expense, less (c) cash taxes, less (d) capital expenditures, less (e) change in net working capital, and this analysis was based upon certain assumptions described by, projections supplied by and discussions held with the management of Cohu, which resulted in unlevered free cash flows of $23.3 million, $46.5 million, $53.1 million, $57.9 million and $60.2 million, in the eight-month period ending on December 29, 2018 and the full fiscal years ending in 2019 through 2022, respectively. In performing this analysis, Cowen utilized discount rates ranging from 9.5% to 11.5%, which were selected based on the estimates derived from a weighted average cost of capital analysis of Cohu. Cowen utilized terminal multiples of Adjusted EBITDA ranging from 6.0x to 8.0x, which range was selected by Cowen in its professional judgment.</w:t>
      </w:r>
    </w:p>
    <w:p>
      <w:pPr>
        <w:spacing w:after="0" w:line="16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The section of the Proxy Statement titled “The Merger – Legal Proceedings”</w:t>
      </w:r>
    </w:p>
    <w:p>
      <w:pPr>
        <w:spacing w:after="0" w:line="229"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i w:val="1"/>
          <w:iCs w:val="1"/>
          <w:color w:val="auto"/>
        </w:rPr>
        <w:t>The section of the Proxy Statement titled “The Merger - Legal Proceedings” on page 140 of the Proxy Statement is hereby amended and restated as follows:</w:t>
      </w:r>
    </w:p>
    <w:p>
      <w:pPr>
        <w:spacing w:after="0" w:line="170"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 xml:space="preserve">On July 23, 2018, a putative shareholder class action complaint was filed in the United States District Court for the District of Massachusetts against Xcerra and each member of the Xcerra Board, captioned </w:t>
      </w:r>
      <w:r>
        <w:rPr>
          <w:rFonts w:ascii="Arial" w:cs="Arial" w:eastAsia="Arial" w:hAnsi="Arial"/>
          <w:sz w:val="18"/>
          <w:szCs w:val="18"/>
          <w:i w:val="1"/>
          <w:iCs w:val="1"/>
          <w:color w:val="auto"/>
        </w:rPr>
        <w:t>Xinkang Shui v. Xcerra Corporation, et al.</w:t>
      </w:r>
      <w:r>
        <w:rPr>
          <w:rFonts w:ascii="Arial" w:cs="Arial" w:eastAsia="Arial" w:hAnsi="Arial"/>
          <w:sz w:val="18"/>
          <w:szCs w:val="18"/>
          <w:color w:val="auto"/>
        </w:rPr>
        <w:t>, C.A. No. 1:18-cv-11529 (the "Shui Action"). The complaint alleges, among other things, that Xcerra and each member of the Xcerra Board violated federal securities laws and regulations by soliciting stockholder votes in connection with the Merger through a proxy statement that purportedly omits material facts necessary to make the statements therein not false or misleading. The complaint seeks, among other things, either to enjoin Xcerra from conducting the stockholder vote on the Merger unless and until the allegedly omitted material information is disclosed or, in the event the Merger is consummated, to recover damages. The complaint also seeks an award of costs and attorneys’ fees.</w:t>
      </w:r>
    </w:p>
    <w:p>
      <w:pPr>
        <w:spacing w:after="0" w:line="189"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 xml:space="preserve">On July 30, 2018, a second putative shareholder class action complaint was filed in the United States District Court for the District of Massachusetts against Xcerra and each member of the Xcerra Board, captioned </w:t>
      </w:r>
      <w:r>
        <w:rPr>
          <w:rFonts w:ascii="Arial" w:cs="Arial" w:eastAsia="Arial" w:hAnsi="Arial"/>
          <w:sz w:val="17"/>
          <w:szCs w:val="17"/>
          <w:i w:val="1"/>
          <w:iCs w:val="1"/>
          <w:color w:val="auto"/>
        </w:rPr>
        <w:t>Waseem Khan v. Xcerra Corporation, et al.</w:t>
      </w:r>
      <w:r>
        <w:rPr>
          <w:rFonts w:ascii="Arial" w:cs="Arial" w:eastAsia="Arial" w:hAnsi="Arial"/>
          <w:sz w:val="17"/>
          <w:szCs w:val="17"/>
          <w:color w:val="auto"/>
        </w:rPr>
        <w:t>, C.A. No. 1:18-cv-11592 (the "Khan Action" and together with the Shui Action, the "Actions"). The complaint alleges, among other things, that Xcerra and each member of the Xcerra Board violated federal securities laws and regulations by soliciting stockholder votes in connection with the Merger through a proxy statement that purportedly omits material facts necessary to make the statements therein not false or misleading. The complaint seeks, among other things, either to enjoin Xcerra from conducting the stockholder vote on the Merger unless and until the allegedly omitted material information is disclosed or, in the event the Merger is consummated, to rescind it or recover rescissory damages. The complaint also seeks an award of costs and attorneys’ fees.</w:t>
      </w:r>
    </w:p>
    <w:p>
      <w:pPr>
        <w:spacing w:after="0" w:line="178" w:lineRule="exact"/>
        <w:rPr>
          <w:sz w:val="20"/>
          <w:szCs w:val="20"/>
          <w:color w:val="auto"/>
        </w:rPr>
      </w:pPr>
    </w:p>
    <w:p>
      <w:pPr>
        <w:ind w:right="320" w:firstLine="486"/>
        <w:spacing w:after="0" w:line="342" w:lineRule="auto"/>
        <w:rPr>
          <w:sz w:val="20"/>
          <w:szCs w:val="20"/>
          <w:color w:val="auto"/>
        </w:rPr>
      </w:pPr>
      <w:r>
        <w:rPr>
          <w:rFonts w:ascii="Arial" w:cs="Arial" w:eastAsia="Arial" w:hAnsi="Arial"/>
          <w:sz w:val="16"/>
          <w:szCs w:val="16"/>
          <w:color w:val="auto"/>
        </w:rPr>
        <w:t>On August 19, 2018, Xcerra and each member of the Xcerra Board and the plaintiff in the Shui Action reached agreement whereby plaintiff would dismiss his complaint based on Xcerra’s intent to make certain supplemental disclosures relating to the Merger (the “</w:t>
      </w:r>
      <w:r>
        <w:rPr>
          <w:rFonts w:ascii="Arial" w:cs="Arial" w:eastAsia="Arial" w:hAnsi="Arial"/>
          <w:sz w:val="16"/>
          <w:szCs w:val="16"/>
          <w:u w:val="single" w:color="auto"/>
          <w:color w:val="auto"/>
        </w:rPr>
        <w:t>Supplemental Disclosures</w:t>
      </w:r>
      <w:r>
        <w:rPr>
          <w:rFonts w:ascii="Arial" w:cs="Arial" w:eastAsia="Arial" w:hAnsi="Arial"/>
          <w:sz w:val="16"/>
          <w:szCs w:val="16"/>
          <w:color w:val="auto"/>
        </w:rPr>
        <w:t>”).</w:t>
      </w:r>
    </w:p>
    <w:p>
      <w:pPr>
        <w:spacing w:after="0" w:line="124" w:lineRule="exact"/>
        <w:rPr>
          <w:sz w:val="20"/>
          <w:szCs w:val="20"/>
          <w:color w:val="auto"/>
        </w:rPr>
      </w:pPr>
    </w:p>
    <w:p>
      <w:pPr>
        <w:ind w:right="380" w:firstLine="486"/>
        <w:spacing w:after="0" w:line="259" w:lineRule="auto"/>
        <w:rPr>
          <w:sz w:val="20"/>
          <w:szCs w:val="20"/>
          <w:color w:val="auto"/>
        </w:rPr>
      </w:pPr>
      <w:r>
        <w:rPr>
          <w:rFonts w:ascii="Arial" w:cs="Arial" w:eastAsia="Arial" w:hAnsi="Arial"/>
          <w:sz w:val="18"/>
          <w:szCs w:val="18"/>
          <w:color w:val="auto"/>
        </w:rPr>
        <w:t>The Supplemental Disclosures are being made in response to the complaints in the Actions and solely for the purpose of mooting the allegations contained therein. Xcerra denies the allegations of the two class action complaints, including that it committed any violations of law. Xcerra continues to believe that the allegations in the complaints are without merit and is mooting the claims solely for the purpose of avoiding the expense and burden of litigation.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This communication does not constitute an offer to sell or the solicitation of an offer to buy any securities or a solicitation of any vote or approval. No offer of securities shall be made except by means of a prospectus meeting the requirements of Section 10 of the Securities Act of 1933, as amended.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jc w:val="both"/>
        <w:ind w:firstLine="486"/>
        <w:spacing w:after="0" w:line="283" w:lineRule="auto"/>
        <w:rPr>
          <w:sz w:val="20"/>
          <w:szCs w:val="20"/>
          <w:color w:val="auto"/>
        </w:rPr>
      </w:pPr>
      <w:r>
        <w:rPr>
          <w:rFonts w:ascii="Arial" w:cs="Arial" w:eastAsia="Arial" w:hAnsi="Arial"/>
          <w:sz w:val="16"/>
          <w:szCs w:val="16"/>
          <w:color w:val="auto"/>
        </w:rPr>
        <w:t>Certain statements contained in this filing may be considered forward-looking statements within the meaning of the U.S. Private Securities Litigation Reform Act of 1995, including statements regarding the proposed transaction involving Cohu and Xcerra and the ability to consummate the proposed transaction. Forward-looking statements generally include statements that are predictive in nature and depend upon or refer to future events or conditions, and include words such as “may,” “will,” “should,” “would,” “expect,” “anticipate,” “plan,” “likely,” “believe,” “estimate,” “project,” “intend,” and other similar expressions among others. Statements that are not historical facts are forward-looking statements. Forward-looking statements are based on current beliefs and assumptions that are subject to risks and uncertainties and are not guarantees of future performance. Actual results could differ materially from those contained in any forward-looking statement as a result of various factors, including, without limitation: (i) the risk that the conditions to the closing of the proposed transaction are not satisfied, including the failure to timely or at all obtain stockholder approval for the proposed transaction or the failure to timely or at all obtain any required regulatory clearances, including under the Hart-Scott-Rodino Antitrust Improvements Act of 1976 (HSR); (ii) uncertainties as to the timing of the consummation of the proposed transaction and the ability of each of Cohu and Xcerra to consummate the proposed transaction, including as a result of the failure of Cohu to obtain or provide on a timely basis or at all the necessary financing; (iii) the ability of Cohu and Xcerra to integrate their businesses successfully and to achieve anticipated synergies; (iv) the possibility that other anticipated benefits of the proposed transaction will not be realized, including without limitation, anticipated revenues, expenses, earnings and other financial results, and growth and expansion of the combined company’s operations, and the anticipated tax treatment of the combination; (v) potential litigation relating to the proposed transaction that could be instituted against Cohu, Xcerra, or their respective directors; (vi) possible disruptions from the proposed transaction that could harm Cohu’s and/or Xcerra’s respective businesses; (vii) the ability of Cohu or Xcerra to retain, attract and hire key personnel; (viii) potential adverse reactions or changes to relationships with customers, employees, suppliers or other parties resulting from the announcement or completion of the proposed transaction; (ix) potential business uncertainty, including changes to existing business relationships, during the pendency of the proposed transaction that could affect Cohu’s or Xcerra’s financial performance; (x) certain restrictions during the pendency of the proposed transaction that may impact Cohu’s or Xcerra’s ability to pursue certain business opportunities or strategic transactions; (xi) the adverse impact to Cohu’s operating results from interest expense on the financing debt, rising interest rates, and any restrictions on operations related to such debt; (xii) continued availability of capital and financing and rating agency actions; (xiii) legislative, regulatory and economic developments; (xiv) unpredictability and severity of catastrophic events, including, but not limited to, acts of terrorism or outbreak of war or hostilities, as well as management’s response to any of the aforementioned factors; and (xv) such other factors as are set forth in (A) Cohu’s periodic public filings with the Securities and Exchange Commission (the “</w:t>
      </w:r>
      <w:r>
        <w:rPr>
          <w:rFonts w:ascii="Arial" w:cs="Arial" w:eastAsia="Arial" w:hAnsi="Arial"/>
          <w:sz w:val="16"/>
          <w:szCs w:val="16"/>
          <w:u w:val="single" w:color="auto"/>
          <w:color w:val="auto"/>
        </w:rPr>
        <w:t>SEC</w:t>
      </w:r>
      <w:r>
        <w:rPr>
          <w:rFonts w:ascii="Arial" w:cs="Arial" w:eastAsia="Arial" w:hAnsi="Arial"/>
          <w:sz w:val="16"/>
          <w:szCs w:val="16"/>
          <w:color w:val="auto"/>
        </w:rPr>
        <w:t>”), including but not limited to those described under the heading “Risk Factors” in Cohu’s Form 10-K for the fiscal year ended December 31, 2017, (B) Xcerra’s periodic public filings with the SEC, including but not limited to those described under the heading “Risk Factors” in Xcerra’s Form 10-K for the fiscal year ended July 31, 2017, (C) in the Registration Statement on Form S-4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that has been filed by Cohu with the SEC containing a prospectus with respect to the Cohu common stock to be issued in the proposed transaction and a joint proxy statement of Cohu and Xcerra in connection with the proposed transaction (the “</w:t>
      </w:r>
      <w:r>
        <w:rPr>
          <w:rFonts w:ascii="Arial" w:cs="Arial" w:eastAsia="Arial" w:hAnsi="Arial"/>
          <w:sz w:val="16"/>
          <w:szCs w:val="16"/>
          <w:u w:val="single" w:color="auto"/>
          <w:color w:val="auto"/>
        </w:rPr>
        <w:t>Joint Proxy Statement/Prospectus</w:t>
      </w:r>
      <w:r>
        <w:rPr>
          <w:rFonts w:ascii="Arial" w:cs="Arial" w:eastAsia="Arial" w:hAnsi="Arial"/>
          <w:sz w:val="16"/>
          <w:szCs w:val="16"/>
          <w:color w:val="auto"/>
        </w:rPr>
        <w:t>”) that is contained therein, and (D) the other filings made by Cohu or Xcerra with the SEC from time to time, which are available via the SEC’s website at www.sec.gov. Neither Cohu nor Xcerra can give any assurance that the conditions to the proposed transaction will be satisfied. Except as required by applicable law, neither Cohu nor Xcerra undertakes any obligation to revise or update any forward-looking statement, or to make any other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489585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Additional Information and Where You Can Find It</w:t>
      </w:r>
    </w:p>
    <w:p>
      <w:pPr>
        <w:spacing w:after="0" w:line="229" w:lineRule="exact"/>
        <w:rPr>
          <w:sz w:val="20"/>
          <w:szCs w:val="20"/>
          <w:color w:val="auto"/>
        </w:rPr>
      </w:pPr>
    </w:p>
    <w:p>
      <w:pPr>
        <w:jc w:val="both"/>
        <w:ind w:firstLine="441"/>
        <w:spacing w:after="0" w:line="268" w:lineRule="auto"/>
        <w:rPr>
          <w:sz w:val="20"/>
          <w:szCs w:val="20"/>
          <w:color w:val="auto"/>
        </w:rPr>
      </w:pPr>
      <w:r>
        <w:rPr>
          <w:rFonts w:ascii="Arial" w:cs="Arial" w:eastAsia="Arial" w:hAnsi="Arial"/>
          <w:sz w:val="17"/>
          <w:szCs w:val="17"/>
          <w:color w:val="auto"/>
        </w:rPr>
        <w:t>On June 21, 2018, Cohu filed with the SEC the Registration Statement containing the Joint Proxy Statement/Prospectus which was subsequently amended on July 26, 2018. The Registration Statement was declared effective by the SEC on July 30, 2018. Each of Cohu and Xcerra commenced mailing the definitive Joint Proxy Statement/Prospectus to its respective stockholders on July 30, 2018. This communication is not a substitute for the Registration Statement, the definitive Joint Proxy Statement/Prospectus or any other documents that Xcerra or Cohu may file or may have filed with the SEC, or will send or have sent to stockholders in connection with the proposed transaction. INVESTORS AND SECURITY HOLDERS ARE URGED TO READ ALL RELEVANT DOCUMENTS FILED WITH THE SEC, INCLUDING THE DEFINITIVE JOINT PROXY STATEMENT/PROSPECTUS, CAREFULLY AND IN THEIR ENTIRETY BECAUSE THEY WILL CONTAIN IMPORTANT INFORMATION. Investors and security holders may obtain free copies of these documents and other documents filed by Xcerra and Cohu with the SEC at the SEC’s website at www.sec.gov. In addition, investors and security holders may obtain free copies of the documents filed with the SEC by visiting the Xcerra Investor Relations page on its corporate website at https://xcerra.com/investors or by contacting Xcerra Investor Relations by telephone at (781) 467-5063 or by mail at Xcerra Investor Relations, Xcerra Corporation, 825 University Avenue, Norwood, MA 02062, attention Rich Yerganian, or by visiting the Cohu Investor Relations page on its corporate website at https://cohu.gcs-web.com or by contacting Cohu Investor Relations by telephone at (858) 848-8106 or by mail at Cohu Corporate Headquarters, 12367 Crosthwaite Circle, Poway, CA 92064, attention Jeffrey D. Jones.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 xml:space="preserve">Cohu, Xcerra, certain of their respective directors, executive officers, members of management and employees may, under the rules of the SEC, be deemed to be participants in the solicitation of proxies in connection with the proposed transaction. Information regarding the persons who may, under the rules of the SEC, be deemed “participants” in the solicitation of proxies in connection with the proposed transaction, and a description of their direct and indirect interests in the proposed transaction, which may differ from the interests of Xcerra stockholders or Cohu stockholders generally, is set forth in the Joint Proxy Statement/Prospectus filed with the SEC. Information regarding Xcerra’s directors and executive officers and their beneficial ownership of Xcerra common stock is also set forth in Xcerra’s proxy statement on Schedule 14A filed with the SEC on September 5, 2017, and in its Annual Report on Form 10-K for the year ended July 31, 2017, and is supplemented by other public filings made, and to be made, with the SEC by Xcerra. These documents are available free of charge at the SEC’s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or by visiting the Xcerra Investor Relations page on its corporate website at </w:t>
      </w:r>
      <w:r>
        <w:rPr>
          <w:rFonts w:ascii="Arial" w:cs="Arial" w:eastAsia="Arial" w:hAnsi="Arial"/>
          <w:sz w:val="17"/>
          <w:szCs w:val="17"/>
          <w:u w:val="single" w:color="auto"/>
          <w:color w:val="auto"/>
        </w:rPr>
        <w:t>https://Xcerra.com/investors</w:t>
      </w:r>
      <w:r>
        <w:rPr>
          <w:rFonts w:ascii="Arial" w:cs="Arial" w:eastAsia="Arial" w:hAnsi="Arial"/>
          <w:sz w:val="17"/>
          <w:szCs w:val="17"/>
          <w:color w:val="auto"/>
        </w:rPr>
        <w:t xml:space="preserve">. Information concerning Cohu’s directors and executive officers and their beneficial ownership of Cohu’s common stock is set forth in the Registration Statement, Cohu’s annual proxy statement on Schedule 14A filed with the SEC on April 3, 2018, and in its Annual Report on Form 10-K for the year ended December 30, 2017, and is supplemented by other public filings made, and to be made, with the SEC by Cohu. These documents are available free of charge at the SEC’s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or by visiting the Cohu Investor Relations page on its corporate website at </w:t>
      </w:r>
      <w:r>
        <w:rPr>
          <w:rFonts w:ascii="Arial" w:cs="Arial" w:eastAsia="Arial" w:hAnsi="Arial"/>
          <w:sz w:val="17"/>
          <w:szCs w:val="17"/>
          <w:u w:val="single" w:color="auto"/>
          <w:color w:val="auto"/>
        </w:rPr>
        <w:t>https://Cohu.gcs-web.com</w:t>
      </w:r>
      <w:r>
        <w:rPr>
          <w:rFonts w:ascii="Arial" w:cs="Arial" w:eastAsia="Arial" w:hAnsi="Arial"/>
          <w:sz w:val="17"/>
          <w:szCs w:val="17"/>
          <w:color w:val="auto"/>
        </w:rPr>
        <w:t xml:space="preserve">. Other information regarding the participants in the proxy solicitations and a description of their direct and indirect interests, by security holdings or otherwise, are contained in the Joint Proxy Statement/Prospectus regarding the proposed transaction and other relevant materials that have been or will be filed with the SEC when they become available. You may obtain copies of the documents described in the preceding sentence when they become available free of charge by visiting the SEC’s website at </w:t>
      </w:r>
      <w:r>
        <w:rPr>
          <w:rFonts w:ascii="Arial" w:cs="Arial" w:eastAsia="Arial" w:hAnsi="Arial"/>
          <w:sz w:val="17"/>
          <w:szCs w:val="17"/>
          <w:u w:val="single" w:color="auto"/>
          <w:color w:val="auto"/>
        </w:rPr>
        <w:t>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346710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414655</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t>SIGNATURE</w:t>
      </w:r>
    </w:p>
    <w:p>
      <w:pPr>
        <w:spacing w:after="0" w:line="219" w:lineRule="exact"/>
        <w:rPr>
          <w:sz w:val="20"/>
          <w:szCs w:val="20"/>
          <w:color w:val="auto"/>
        </w:rPr>
      </w:pPr>
    </w:p>
    <w:p>
      <w:pPr>
        <w:ind w:right="640"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Date: August 20, 2018</w:t>
            </w:r>
          </w:p>
        </w:tc>
        <w:tc>
          <w:tcPr>
            <w:tcW w:w="7140" w:type="dxa"/>
            <w:vAlign w:val="bottom"/>
            <w:gridSpan w:val="2"/>
          </w:tcPr>
          <w:p>
            <w:pPr>
              <w:ind w:left="2620"/>
              <w:spacing w:after="0"/>
              <w:rPr>
                <w:sz w:val="20"/>
                <w:szCs w:val="20"/>
                <w:color w:val="auto"/>
              </w:rPr>
            </w:pPr>
            <w:r>
              <w:rPr>
                <w:rFonts w:ascii="Arial" w:cs="Arial" w:eastAsia="Arial" w:hAnsi="Arial"/>
                <w:sz w:val="18"/>
                <w:szCs w:val="18"/>
                <w:color w:val="auto"/>
              </w:rPr>
              <w:t>Cohu, Inc.</w:t>
            </w:r>
          </w:p>
        </w:tc>
      </w:tr>
      <w:tr>
        <w:trPr>
          <w:trHeight w:val="216"/>
        </w:trPr>
        <w:tc>
          <w:tcPr>
            <w:tcW w:w="4280" w:type="dxa"/>
            <w:vAlign w:val="bottom"/>
          </w:tcPr>
          <w:p>
            <w:pPr>
              <w:spacing w:after="0"/>
              <w:rPr>
                <w:sz w:val="18"/>
                <w:szCs w:val="18"/>
                <w:color w:val="auto"/>
              </w:rPr>
            </w:pPr>
          </w:p>
        </w:tc>
        <w:tc>
          <w:tcPr>
            <w:tcW w:w="7140" w:type="dxa"/>
            <w:vAlign w:val="bottom"/>
            <w:gridSpan w:val="2"/>
          </w:tcPr>
          <w:p>
            <w:pPr>
              <w:ind w:left="2620"/>
              <w:spacing w:after="0"/>
              <w:rPr>
                <w:sz w:val="20"/>
                <w:szCs w:val="20"/>
                <w:color w:val="auto"/>
              </w:rPr>
            </w:pPr>
            <w:r>
              <w:rPr>
                <w:rFonts w:ascii="Arial" w:cs="Arial" w:eastAsia="Arial" w:hAnsi="Arial"/>
                <w:sz w:val="18"/>
                <w:szCs w:val="18"/>
                <w:color w:val="auto"/>
              </w:rPr>
              <w:t>By:</w:t>
            </w:r>
          </w:p>
        </w:tc>
      </w:tr>
      <w:tr>
        <w:trPr>
          <w:trHeight w:val="230"/>
        </w:trPr>
        <w:tc>
          <w:tcPr>
            <w:tcW w:w="42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D. Jones</w:t>
            </w:r>
          </w:p>
        </w:tc>
      </w:tr>
      <w:tr>
        <w:trPr>
          <w:trHeight w:val="195"/>
        </w:trPr>
        <w:tc>
          <w:tcPr>
            <w:tcW w:w="42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4240" w:type="dxa"/>
            <w:vAlign w:val="bottom"/>
          </w:tcPr>
          <w:p>
            <w:pPr>
              <w:spacing w:after="0" w:line="195" w:lineRule="exact"/>
              <w:rPr>
                <w:sz w:val="20"/>
                <w:szCs w:val="20"/>
                <w:color w:val="auto"/>
              </w:rPr>
            </w:pPr>
            <w:r>
              <w:rPr>
                <w:rFonts w:ascii="Arial" w:cs="Arial" w:eastAsia="Arial" w:hAnsi="Arial"/>
                <w:sz w:val="18"/>
                <w:szCs w:val="18"/>
                <w:color w:val="auto"/>
              </w:rPr>
              <w:t>Name:Jeffrey D. Jones</w:t>
            </w:r>
          </w:p>
        </w:tc>
      </w:tr>
      <w:tr>
        <w:trPr>
          <w:trHeight w:val="230"/>
        </w:trPr>
        <w:tc>
          <w:tcPr>
            <w:tcW w:w="42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Title: VP Finance and Chief Financial Officer</w:t>
            </w:r>
          </w:p>
        </w:tc>
      </w:tr>
    </w:tbl>
    <w:p>
      <w:pPr>
        <w:spacing w:after="0" w:line="1" w:lineRule="exact"/>
        <w:rPr>
          <w:sz w:val="20"/>
          <w:szCs w:val="20"/>
          <w:color w:val="auto"/>
        </w:rPr>
      </w:pPr>
    </w:p>
    <w:sectPr>
      <w:pgSz w:w="11900" w:h="16838" w:orient="portrait"/>
      <w:cols w:equalWidth="0" w:num="1">
        <w:col w:w="11420"/>
      </w:cols>
      <w:pgMar w:left="240" w:top="72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Roman"/>
      <w:start w:val="10"/>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2"/>
    </w:lvl>
  </w:abstractNum>
  <w:abstractNum w:abstractNumId="3">
    <w:nsid w:val="2EB141F2"/>
    <w:multiLevelType w:val="hybridMultilevel"/>
    <w:lvl w:ilvl="0">
      <w:lvlJc w:val="left"/>
      <w:lvlText w:val="%1."/>
      <w:numFmt w:val="decimal"/>
      <w:start w:val="3"/>
    </w:lvl>
  </w:abstractNum>
  <w:abstractNum w:abstractNumId="4">
    <w:nsid w:val="41B71EFB"/>
    <w:multiLevelType w:val="hybridMultilevel"/>
    <w:lvl w:ilvl="0">
      <w:lvlJc w:val="left"/>
      <w:lvlText w:val="%1."/>
      <w:numFmt w:val="decimal"/>
      <w:start w:val="4"/>
    </w:lvl>
  </w:abstractNum>
  <w:abstractNum w:abstractNumId="5">
    <w:nsid w:val="79E2A9E3"/>
    <w:multiLevelType w:val="hybridMultilevel"/>
    <w:lvl w:ilvl="0">
      <w:lvlJc w:val="left"/>
      <w:lvlText w:val="%1."/>
      <w:numFmt w:val="decimal"/>
      <w:start w:val="5"/>
    </w:lvl>
  </w:abstractNum>
  <w:abstractNum w:abstractNumId="6">
    <w:nsid w:val="7545E146"/>
    <w:multiLevelType w:val="hybridMultilevel"/>
    <w:lvl w:ilvl="0">
      <w:lvlJc w:val="left"/>
      <w:lvlText w:val="%1."/>
      <w:numFmt w:val="decimal"/>
      <w:start w:val="6"/>
    </w:lvl>
  </w:abstractNum>
  <w:abstractNum w:abstractNumId="7">
    <w:nsid w:val="515F007C"/>
    <w:multiLevelType w:val="hybridMultilevel"/>
    <w:lvl w:ilvl="0">
      <w:lvlJc w:val="left"/>
      <w:lvlText w:val="%1."/>
      <w:numFmt w:val="decimal"/>
      <w:start w:val="7"/>
    </w:lvl>
  </w:abstractNum>
  <w:abstractNum w:abstractNumId="8">
    <w:nsid w:val="5BD062C2"/>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2019-12-05T03:59:39Z</dcterms:created>
  <dcterms:modified xsi:type="dcterms:W3CDTF">2019-12-05T03:59:39Z</dcterms:modified>
</cp:coreProperties>
</file>