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August 9, 2018</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2"/>
              </w:rPr>
              <w:t>Delaware</w:t>
            </w:r>
          </w:p>
        </w:tc>
        <w:tc>
          <w:tcPr>
            <w:tcW w:w="2240" w:type="dxa"/>
            <w:vAlign w:val="bottom"/>
          </w:tcPr>
          <w:p>
            <w:pPr>
              <w:jc w:val="right"/>
              <w:ind w:right="970"/>
              <w:spacing w:after="0"/>
              <w:rPr>
                <w:sz w:val="20"/>
                <w:szCs w:val="20"/>
                <w:color w:val="auto"/>
              </w:rPr>
            </w:pPr>
            <w:r>
              <w:rPr>
                <w:rFonts w:ascii="Arial" w:cs="Arial" w:eastAsia="Arial" w:hAnsi="Arial"/>
                <w:sz w:val="18"/>
                <w:szCs w:val="18"/>
                <w:color w:val="auto"/>
              </w:rPr>
              <w:t>001-04298</w:t>
            </w:r>
          </w:p>
        </w:tc>
        <w:tc>
          <w:tcPr>
            <w:tcW w:w="2980" w:type="dxa"/>
            <w:vAlign w:val="bottom"/>
          </w:tcPr>
          <w:p>
            <w:pPr>
              <w:jc w:val="center"/>
              <w:ind w:left="1550"/>
              <w:spacing w:after="0"/>
              <w:rPr>
                <w:sz w:val="20"/>
                <w:szCs w:val="20"/>
                <w:color w:val="auto"/>
              </w:rPr>
            </w:pPr>
            <w:r>
              <w:rPr>
                <w:rFonts w:ascii="Arial" w:cs="Arial" w:eastAsia="Arial" w:hAnsi="Arial"/>
                <w:sz w:val="18"/>
                <w:szCs w:val="18"/>
                <w:color w:val="auto"/>
                <w:w w:val="89"/>
              </w:rPr>
              <w:t>95-1934119</w:t>
            </w:r>
          </w:p>
        </w:tc>
      </w:tr>
      <w:tr>
        <w:trPr>
          <w:trHeight w:val="216"/>
        </w:trPr>
        <w:tc>
          <w:tcPr>
            <w:tcW w:w="4480" w:type="dxa"/>
            <w:vAlign w:val="bottom"/>
          </w:tcPr>
          <w:p>
            <w:pPr>
              <w:jc w:val="right"/>
              <w:ind w:right="1950"/>
              <w:spacing w:after="0"/>
              <w:rPr>
                <w:sz w:val="20"/>
                <w:szCs w:val="20"/>
                <w:color w:val="auto"/>
              </w:rPr>
            </w:pPr>
            <w:r>
              <w:rPr>
                <w:rFonts w:ascii="Arial" w:cs="Arial" w:eastAsia="Arial" w:hAnsi="Arial"/>
                <w:sz w:val="18"/>
                <w:szCs w:val="18"/>
                <w:color w:val="auto"/>
              </w:rPr>
              <w:t>_____________________</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_____________</w:t>
            </w:r>
          </w:p>
        </w:tc>
        <w:tc>
          <w:tcPr>
            <w:tcW w:w="2980" w:type="dxa"/>
            <w:vAlign w:val="bottom"/>
          </w:tcPr>
          <w:p>
            <w:pPr>
              <w:jc w:val="center"/>
              <w:ind w:left="1550"/>
              <w:spacing w:after="0"/>
              <w:rPr>
                <w:sz w:val="20"/>
                <w:szCs w:val="20"/>
                <w:color w:val="auto"/>
              </w:rPr>
            </w:pPr>
            <w:r>
              <w:rPr>
                <w:rFonts w:ascii="Arial" w:cs="Arial" w:eastAsia="Arial" w:hAnsi="Arial"/>
                <w:sz w:val="18"/>
                <w:szCs w:val="18"/>
                <w:color w:val="auto"/>
                <w:w w:val="89"/>
              </w:rPr>
              <w:t>______________</w:t>
            </w:r>
          </w:p>
        </w:tc>
      </w:tr>
      <w:tr>
        <w:trPr>
          <w:trHeight w:val="216"/>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w:t>
            </w:r>
          </w:p>
        </w:tc>
        <w:tc>
          <w:tcPr>
            <w:tcW w:w="2240" w:type="dxa"/>
            <w:vAlign w:val="bottom"/>
          </w:tcPr>
          <w:p>
            <w:pPr>
              <w:jc w:val="center"/>
              <w:ind w:right="590"/>
              <w:spacing w:after="0"/>
              <w:rPr>
                <w:sz w:val="20"/>
                <w:szCs w:val="20"/>
                <w:color w:val="auto"/>
              </w:rPr>
            </w:pPr>
            <w:r>
              <w:rPr>
                <w:rFonts w:ascii="Arial" w:cs="Arial" w:eastAsia="Arial" w:hAnsi="Arial"/>
                <w:sz w:val="18"/>
                <w:szCs w:val="18"/>
                <w:color w:val="auto"/>
                <w:w w:val="91"/>
              </w:rPr>
              <w:t>(Commission</w:t>
            </w:r>
          </w:p>
        </w:tc>
        <w:tc>
          <w:tcPr>
            <w:tcW w:w="2980" w:type="dxa"/>
            <w:vAlign w:val="bottom"/>
          </w:tcPr>
          <w:p>
            <w:pPr>
              <w:jc w:val="center"/>
              <w:ind w:left="1530"/>
              <w:spacing w:after="0"/>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3"/>
              </w:rPr>
              <w:t>of incorporation)</w:t>
            </w:r>
          </w:p>
        </w:tc>
        <w:tc>
          <w:tcPr>
            <w:tcW w:w="2240" w:type="dxa"/>
            <w:vAlign w:val="bottom"/>
          </w:tcPr>
          <w:p>
            <w:pPr>
              <w:jc w:val="center"/>
              <w:ind w:right="590"/>
              <w:spacing w:after="0"/>
              <w:rPr>
                <w:sz w:val="20"/>
                <w:szCs w:val="20"/>
                <w:color w:val="auto"/>
              </w:rPr>
            </w:pPr>
            <w:r>
              <w:rPr>
                <w:rFonts w:ascii="Arial" w:cs="Arial" w:eastAsia="Arial" w:hAnsi="Arial"/>
                <w:sz w:val="18"/>
                <w:szCs w:val="18"/>
                <w:color w:val="auto"/>
                <w:w w:val="92"/>
              </w:rPr>
              <w:t>File Number)</w:t>
            </w:r>
          </w:p>
        </w:tc>
        <w:tc>
          <w:tcPr>
            <w:tcW w:w="2980" w:type="dxa"/>
            <w:vAlign w:val="bottom"/>
          </w:tcPr>
          <w:p>
            <w:pPr>
              <w:jc w:val="center"/>
              <w:ind w:left="15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1"/>
              </w:rPr>
              <w:t>12367 Crosthwaite Circle, Poway,</w:t>
            </w:r>
          </w:p>
        </w:tc>
        <w:tc>
          <w:tcPr>
            <w:tcW w:w="2240" w:type="dxa"/>
            <w:vAlign w:val="bottom"/>
          </w:tcPr>
          <w:p>
            <w:pPr>
              <w:spacing w:after="0"/>
              <w:rPr>
                <w:sz w:val="24"/>
                <w:szCs w:val="24"/>
                <w:color w:val="auto"/>
              </w:rPr>
            </w:pPr>
          </w:p>
        </w:tc>
        <w:tc>
          <w:tcPr>
            <w:tcW w:w="2980" w:type="dxa"/>
            <w:vAlign w:val="bottom"/>
          </w:tcPr>
          <w:p>
            <w:pPr>
              <w:jc w:val="center"/>
              <w:ind w:left="1530"/>
              <w:spacing w:after="0"/>
              <w:rPr>
                <w:sz w:val="20"/>
                <w:szCs w:val="20"/>
                <w:color w:val="auto"/>
              </w:rPr>
            </w:pPr>
            <w:r>
              <w:rPr>
                <w:rFonts w:ascii="Arial" w:cs="Arial" w:eastAsia="Arial" w:hAnsi="Arial"/>
                <w:sz w:val="18"/>
                <w:szCs w:val="18"/>
                <w:color w:val="auto"/>
                <w:w w:val="87"/>
              </w:rPr>
              <w:t>92064</w:t>
            </w:r>
          </w:p>
        </w:tc>
      </w:tr>
      <w:tr>
        <w:trPr>
          <w:trHeight w:val="216"/>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7"/>
              </w:rPr>
              <w:t>California</w:t>
            </w:r>
          </w:p>
        </w:tc>
        <w:tc>
          <w:tcPr>
            <w:tcW w:w="22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480" w:type="dxa"/>
            <w:vAlign w:val="bottom"/>
          </w:tcPr>
          <w:p>
            <w:pPr>
              <w:jc w:val="right"/>
              <w:ind w:right="1410"/>
              <w:spacing w:after="0"/>
              <w:rPr>
                <w:sz w:val="20"/>
                <w:szCs w:val="20"/>
                <w:color w:val="auto"/>
              </w:rPr>
            </w:pPr>
            <w:r>
              <w:rPr>
                <w:rFonts w:ascii="Arial" w:cs="Arial" w:eastAsia="Arial" w:hAnsi="Arial"/>
                <w:sz w:val="18"/>
                <w:szCs w:val="18"/>
                <w:color w:val="auto"/>
                <w:w w:val="89"/>
              </w:rPr>
              <w:t>_________________________________</w:t>
            </w:r>
          </w:p>
        </w:tc>
        <w:tc>
          <w:tcPr>
            <w:tcW w:w="2240" w:type="dxa"/>
            <w:vAlign w:val="bottom"/>
          </w:tcPr>
          <w:p>
            <w:pPr>
              <w:spacing w:after="0"/>
              <w:rPr>
                <w:sz w:val="18"/>
                <w:szCs w:val="18"/>
                <w:color w:val="auto"/>
              </w:rPr>
            </w:pPr>
          </w:p>
        </w:tc>
        <w:tc>
          <w:tcPr>
            <w:tcW w:w="2980" w:type="dxa"/>
            <w:vAlign w:val="bottom"/>
          </w:tcPr>
          <w:p>
            <w:pPr>
              <w:jc w:val="center"/>
              <w:ind w:left="1530"/>
              <w:spacing w:after="0"/>
              <w:rPr>
                <w:sz w:val="20"/>
                <w:szCs w:val="20"/>
                <w:color w:val="auto"/>
              </w:rPr>
            </w:pPr>
            <w:r>
              <w:rPr>
                <w:rFonts w:ascii="Arial" w:cs="Arial" w:eastAsia="Arial" w:hAnsi="Arial"/>
                <w:sz w:val="18"/>
                <w:szCs w:val="18"/>
                <w:color w:val="auto"/>
                <w:w w:val="90"/>
              </w:rPr>
              <w:t>___________</w:t>
            </w:r>
          </w:p>
        </w:tc>
      </w:tr>
      <w:tr>
        <w:trPr>
          <w:trHeight w:val="230"/>
        </w:trPr>
        <w:tc>
          <w:tcPr>
            <w:tcW w:w="448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spacing w:after="0"/>
              <w:rPr>
                <w:sz w:val="20"/>
                <w:szCs w:val="20"/>
                <w:color w:val="auto"/>
              </w:rPr>
            </w:pPr>
          </w:p>
        </w:tc>
        <w:tc>
          <w:tcPr>
            <w:tcW w:w="2980" w:type="dxa"/>
            <w:vAlign w:val="bottom"/>
          </w:tcPr>
          <w:p>
            <w:pPr>
              <w:jc w:val="center"/>
              <w:ind w:left="1530"/>
              <w:spacing w:after="0"/>
              <w:rPr>
                <w:sz w:val="20"/>
                <w:szCs w:val="20"/>
                <w:color w:val="auto"/>
              </w:rPr>
            </w:pPr>
            <w:r>
              <w:rPr>
                <w:rFonts w:ascii="Arial" w:cs="Arial" w:eastAsia="Arial" w:hAnsi="Arial"/>
                <w:sz w:val="18"/>
                <w:szCs w:val="18"/>
                <w:color w:val="auto"/>
                <w:w w:val="94"/>
              </w:rPr>
              <w:t>(Zip Code)</w:t>
            </w:r>
          </w:p>
        </w:tc>
      </w:tr>
      <w:tr>
        <w:trPr>
          <w:trHeight w:val="432"/>
        </w:trPr>
        <w:tc>
          <w:tcPr>
            <w:tcW w:w="4480" w:type="dxa"/>
            <w:vAlign w:val="bottom"/>
          </w:tcPr>
          <w:p>
            <w:pPr>
              <w:ind w:left="540"/>
              <w:spacing w:after="0"/>
              <w:rPr>
                <w:sz w:val="20"/>
                <w:szCs w:val="20"/>
                <w:color w:val="auto"/>
              </w:rPr>
            </w:pPr>
            <w:r>
              <w:rPr>
                <w:rFonts w:ascii="Arial" w:cs="Arial" w:eastAsia="Arial" w:hAnsi="Arial"/>
                <w:sz w:val="18"/>
                <w:szCs w:val="18"/>
                <w:color w:val="auto"/>
                <w:w w:val="94"/>
              </w:rPr>
              <w:t>Registrant’s telephone number, including area code:</w:t>
            </w:r>
          </w:p>
        </w:tc>
        <w:tc>
          <w:tcPr>
            <w:tcW w:w="2240" w:type="dxa"/>
            <w:vAlign w:val="bottom"/>
          </w:tcPr>
          <w:p>
            <w:pPr>
              <w:spacing w:after="0"/>
              <w:rPr>
                <w:sz w:val="24"/>
                <w:szCs w:val="24"/>
                <w:color w:val="auto"/>
              </w:rPr>
            </w:pPr>
          </w:p>
        </w:tc>
        <w:tc>
          <w:tcPr>
            <w:tcW w:w="2980" w:type="dxa"/>
            <w:vAlign w:val="bottom"/>
          </w:tcPr>
          <w:p>
            <w:pPr>
              <w:jc w:val="right"/>
              <w:ind w:right="990"/>
              <w:spacing w:after="0"/>
              <w:rPr>
                <w:sz w:val="20"/>
                <w:szCs w:val="20"/>
                <w:color w:val="auto"/>
              </w:rPr>
            </w:pPr>
            <w:r>
              <w:rPr>
                <w:rFonts w:ascii="Arial" w:cs="Arial" w:eastAsia="Arial" w:hAnsi="Arial"/>
                <w:sz w:val="18"/>
                <w:szCs w:val="18"/>
                <w:color w:val="auto"/>
              </w:rPr>
              <w:t>858-848-8100</w:t>
            </w:r>
          </w:p>
        </w:tc>
      </w:tr>
      <w:tr>
        <w:trPr>
          <w:trHeight w:val="432"/>
        </w:trPr>
        <w:tc>
          <w:tcPr>
            <w:tcW w:w="4480" w:type="dxa"/>
            <w:vAlign w:val="bottom"/>
          </w:tcPr>
          <w:p>
            <w:pPr>
              <w:spacing w:after="0"/>
              <w:rPr>
                <w:sz w:val="24"/>
                <w:szCs w:val="24"/>
                <w:color w:val="auto"/>
              </w:rPr>
            </w:pPr>
          </w:p>
        </w:tc>
        <w:tc>
          <w:tcPr>
            <w:tcW w:w="2240" w:type="dxa"/>
            <w:vAlign w:val="bottom"/>
          </w:tcPr>
          <w:p>
            <w:pPr>
              <w:jc w:val="center"/>
              <w:ind w:right="610"/>
              <w:spacing w:after="0"/>
              <w:rPr>
                <w:sz w:val="20"/>
                <w:szCs w:val="20"/>
                <w:color w:val="auto"/>
              </w:rPr>
            </w:pPr>
            <w:r>
              <w:rPr>
                <w:rFonts w:ascii="Arial" w:cs="Arial" w:eastAsia="Arial" w:hAnsi="Arial"/>
                <w:sz w:val="18"/>
                <w:szCs w:val="18"/>
                <w:color w:val="auto"/>
                <w:w w:val="94"/>
              </w:rPr>
              <w:t>Not Applicable</w:t>
            </w:r>
          </w:p>
        </w:tc>
        <w:tc>
          <w:tcPr>
            <w:tcW w:w="2980" w:type="dxa"/>
            <w:vAlign w:val="bottom"/>
          </w:tcPr>
          <w:p>
            <w:pPr>
              <w:spacing w:after="0"/>
              <w:rPr>
                <w:sz w:val="24"/>
                <w:szCs w:val="24"/>
                <w:color w:val="auto"/>
              </w:rPr>
            </w:pPr>
          </w:p>
        </w:tc>
      </w:tr>
    </w:tbl>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As previously announced, on May 7, 2018, Cohu, Inc., a Delaware corporation (“</w:t>
      </w:r>
      <w:r>
        <w:rPr>
          <w:rFonts w:ascii="Arial" w:cs="Arial" w:eastAsia="Arial" w:hAnsi="Arial"/>
          <w:sz w:val="18"/>
          <w:szCs w:val="18"/>
          <w:u w:val="single" w:color="auto"/>
          <w:color w:val="auto"/>
        </w:rPr>
        <w:t>Cohu</w:t>
      </w:r>
      <w:r>
        <w:rPr>
          <w:rFonts w:ascii="Arial" w:cs="Arial" w:eastAsia="Arial" w:hAnsi="Arial"/>
          <w:sz w:val="18"/>
          <w:szCs w:val="18"/>
          <w:color w:val="auto"/>
        </w:rPr>
        <w:t>”), entered into an Agreement and Plan of Merger, by and among Cohu, Xcerra Corporation, a Massachusetts corporation (“</w:t>
      </w:r>
      <w:r>
        <w:rPr>
          <w:rFonts w:ascii="Arial" w:cs="Arial" w:eastAsia="Arial" w:hAnsi="Arial"/>
          <w:sz w:val="18"/>
          <w:szCs w:val="18"/>
          <w:u w:val="single" w:color="auto"/>
          <w:color w:val="auto"/>
        </w:rPr>
        <w:t>Xcerra</w:t>
      </w:r>
      <w:r>
        <w:rPr>
          <w:rFonts w:ascii="Arial" w:cs="Arial" w:eastAsia="Arial" w:hAnsi="Arial"/>
          <w:sz w:val="18"/>
          <w:szCs w:val="18"/>
          <w:color w:val="auto"/>
        </w:rPr>
        <w:t>”), and Xavier Acquisition Corporation, a Delaware corporation and a wholly owned subsidiary of Cohu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Merger Sub will merge with and into Xcerra, with Xcerra surviving such merger as a wholly owned subsidiary of Cohu.</w:t>
      </w:r>
    </w:p>
    <w:p>
      <w:pPr>
        <w:spacing w:after="0" w:line="18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On August 9, 2018, Cohu disseminated an investor presentation discussing the proposed acquisition on the Investor Relations page of its corporate website at https://cohu.gcs-web.com. A copy of such investor presentation is furnished herewith as Exhibit 99.1 and is incorporated by reference in this Item 7.01. This investor presentation updates the investor presentations (i) filed as Exhibit 99.2 to Cohu’s second Current Report on Form 8-K filed on May 8, 2018 (ii) filed as Exhibit 99.1 to Cohu’s Current Report on Form 8-K filed on May 23, 2018 and (iii) filed as Exhibit 99.1 to Cohu’s Current Report on Form 8-K filed on June 4, 2018 (together, the “</w:t>
      </w:r>
      <w:r>
        <w:rPr>
          <w:rFonts w:ascii="Arial" w:cs="Arial" w:eastAsia="Arial" w:hAnsi="Arial"/>
          <w:sz w:val="16"/>
          <w:szCs w:val="16"/>
          <w:u w:val="single" w:color="auto"/>
          <w:color w:val="auto"/>
        </w:rPr>
        <w:t>Prior Presentations</w:t>
      </w:r>
      <w:r>
        <w:rPr>
          <w:rFonts w:ascii="Arial" w:cs="Arial" w:eastAsia="Arial" w:hAnsi="Arial"/>
          <w:sz w:val="16"/>
          <w:szCs w:val="16"/>
          <w:color w:val="auto"/>
        </w:rPr>
        <w:t>”) and investors should no longer rely on the Prior Presentations.</w:t>
      </w:r>
    </w:p>
    <w:p>
      <w:pPr>
        <w:spacing w:after="0" w:line="15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and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be subject to the liabilities of that section, nor shall it be deemed to be incorporated by reference in any filing under the Securities Act of 1933, as amended, or the Exchange Act.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extent required, the information included in Item 7.01 of this Current Report on Form 8-K is incorporated into this Item 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been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The Registration Statement was declared effective by the SEC on July 30, 2018. Each of Cohu and Xcerra commenced mailing the definitive Joint Proxy Statement/Prospectus to its respective stockholders on July 30, 2018.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31,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exhibits to this report are listed in Item 8.01 above and in the Index of Exhibits that precedes the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00" w:type="dxa"/>
            <w:vAlign w:val="bottom"/>
            <w:gridSpan w:val="2"/>
          </w:tcPr>
          <w:p>
            <w:pPr>
              <w:ind w:left="274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7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gridSpan w:val="2"/>
          </w:tcPr>
          <w:p>
            <w:pPr>
              <w:ind w:left="35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95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Investor Presentation, dated August 2018, posted to the Investor Relations page of Cohu, Inc.’s corporate website at https://cohu.gcs-</w:t>
              </w:r>
            </w:hyperlink>
          </w:p>
        </w:tc>
        <w:tc>
          <w:tcPr>
            <w:tcW w:w="2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0" w:type="dxa"/>
            <w:vAlign w:val="bottom"/>
            <w:gridSpan w:val="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web.com.</w:t>
              </w:r>
            </w:hyperlink>
          </w:p>
        </w:tc>
      </w:tr>
      <w:tr>
        <w:trPr>
          <w:trHeight w:val="595"/>
        </w:trPr>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86"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 August 9, 2018</w:t>
            </w:r>
          </w:p>
        </w:tc>
        <w:tc>
          <w:tcPr>
            <w:tcW w:w="7820" w:type="dxa"/>
            <w:vAlign w:val="bottom"/>
            <w:gridSpan w:val="2"/>
          </w:tcPr>
          <w:p>
            <w:pPr>
              <w:ind w:left="2060"/>
              <w:spacing w:after="0"/>
              <w:rPr>
                <w:sz w:val="20"/>
                <w:szCs w:val="20"/>
                <w:color w:val="auto"/>
              </w:rPr>
            </w:pPr>
            <w:r>
              <w:rPr>
                <w:rFonts w:ascii="Arial" w:cs="Arial" w:eastAsia="Arial" w:hAnsi="Arial"/>
                <w:sz w:val="18"/>
                <w:szCs w:val="18"/>
                <w:color w:val="auto"/>
              </w:rPr>
              <w:t>Cohu, Inc.</w:t>
            </w:r>
          </w:p>
        </w:tc>
      </w:tr>
      <w:tr>
        <w:trPr>
          <w:trHeight w:val="216"/>
        </w:trPr>
        <w:tc>
          <w:tcPr>
            <w:tcW w:w="3600" w:type="dxa"/>
            <w:vAlign w:val="bottom"/>
          </w:tcPr>
          <w:p>
            <w:pPr>
              <w:spacing w:after="0"/>
              <w:rPr>
                <w:sz w:val="18"/>
                <w:szCs w:val="18"/>
                <w:color w:val="auto"/>
              </w:rPr>
            </w:pPr>
          </w:p>
        </w:tc>
        <w:tc>
          <w:tcPr>
            <w:tcW w:w="7820" w:type="dxa"/>
            <w:vAlign w:val="bottom"/>
            <w:gridSpan w:val="2"/>
          </w:tcPr>
          <w:p>
            <w:pPr>
              <w:ind w:left="2060"/>
              <w:spacing w:after="0"/>
              <w:rPr>
                <w:sz w:val="20"/>
                <w:szCs w:val="20"/>
                <w:color w:val="auto"/>
              </w:rPr>
            </w:pPr>
            <w:r>
              <w:rPr>
                <w:rFonts w:ascii="Arial" w:cs="Arial" w:eastAsia="Arial" w:hAnsi="Arial"/>
                <w:sz w:val="18"/>
                <w:szCs w:val="18"/>
                <w:color w:val="auto"/>
              </w:rPr>
              <w:t>By:</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Name:Jeffrey D. Jones</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Title: VP Finance and Chief Financial Officer</w:t>
            </w:r>
          </w:p>
        </w:tc>
      </w:tr>
    </w:tbl>
    <w:p>
      <w:pPr>
        <w:sectPr>
          <w:pgSz w:w="11900" w:h="16838" w:orient="portrait"/>
          <w:cols w:equalWidth="0" w:num="1">
            <w:col w:w="11420"/>
          </w:cols>
          <w:pgMar w:left="240" w:top="486" w:right="239" w:bottom="1440" w:gutter="0" w:footer="0" w:header="0"/>
        </w:sectPr>
      </w:pPr>
    </w:p>
    <w:bookmarkStart w:id="6" w:name="page7"/>
    <w:bookmarkEnd w:id="6"/>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340995</wp:posOffset>
            </wp:positionV>
            <wp:extent cx="7289165" cy="4493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476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409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2019-12-28T19:49:20Z</dcterms:created>
  <dcterms:modified xsi:type="dcterms:W3CDTF">2019-12-28T19:49:20Z</dcterms:modified>
</cp:coreProperties>
</file>