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color w:val="auto"/>
        </w:rPr>
        <w:t>UNITED STATES</w:t>
      </w:r>
    </w:p>
    <w:p>
      <w:pPr>
        <w:jc w:val="center"/>
        <w:ind w:right="-11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0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August 2, 2018</w:t>
      </w: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tbl>
      <w:tblPr>
        <w:tblLayout w:type="fixed"/>
        <w:tblInd w:w="32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340" w:type="dxa"/>
            <w:vAlign w:val="bottom"/>
          </w:tcPr>
          <w:p>
            <w:pPr>
              <w:spacing w:after="0"/>
              <w:rPr>
                <w:sz w:val="20"/>
                <w:szCs w:val="20"/>
                <w:color w:val="auto"/>
              </w:rPr>
            </w:pPr>
          </w:p>
        </w:tc>
      </w:tr>
      <w:tr>
        <w:trPr>
          <w:trHeight w:val="418"/>
        </w:trPr>
        <w:tc>
          <w:tcPr>
            <w:tcW w:w="3380" w:type="dxa"/>
            <w:vAlign w:val="bottom"/>
          </w:tcPr>
          <w:p>
            <w:pPr>
              <w:jc w:val="center"/>
              <w:ind w:right="70"/>
              <w:spacing w:after="0"/>
              <w:rPr>
                <w:sz w:val="20"/>
                <w:szCs w:val="20"/>
                <w:color w:val="auto"/>
              </w:rPr>
            </w:pPr>
            <w:r>
              <w:rPr>
                <w:rFonts w:ascii="Arial" w:cs="Arial" w:eastAsia="Arial" w:hAnsi="Arial"/>
                <w:sz w:val="18"/>
                <w:szCs w:val="18"/>
                <w:color w:val="auto"/>
                <w:w w:val="92"/>
              </w:rPr>
              <w:t>Delaware</w:t>
            </w:r>
          </w:p>
        </w:tc>
        <w:tc>
          <w:tcPr>
            <w:tcW w:w="4120" w:type="dxa"/>
            <w:vAlign w:val="bottom"/>
          </w:tcPr>
          <w:p>
            <w:pPr>
              <w:jc w:val="right"/>
              <w:ind w:right="1610"/>
              <w:spacing w:after="0"/>
              <w:rPr>
                <w:sz w:val="20"/>
                <w:szCs w:val="20"/>
                <w:color w:val="auto"/>
              </w:rPr>
            </w:pPr>
            <w:r>
              <w:rPr>
                <w:rFonts w:ascii="Arial" w:cs="Arial" w:eastAsia="Arial" w:hAnsi="Arial"/>
                <w:sz w:val="18"/>
                <w:szCs w:val="18"/>
                <w:color w:val="auto"/>
              </w:rPr>
              <w:t>001-04298</w:t>
            </w:r>
          </w:p>
        </w:tc>
        <w:tc>
          <w:tcPr>
            <w:tcW w:w="2340" w:type="dxa"/>
            <w:vAlign w:val="bottom"/>
          </w:tcPr>
          <w:p>
            <w:pPr>
              <w:jc w:val="center"/>
              <w:ind w:left="910"/>
              <w:spacing w:after="0"/>
              <w:rPr>
                <w:sz w:val="20"/>
                <w:szCs w:val="20"/>
                <w:color w:val="auto"/>
              </w:rPr>
            </w:pPr>
            <w:r>
              <w:rPr>
                <w:rFonts w:ascii="Arial" w:cs="Arial" w:eastAsia="Arial" w:hAnsi="Arial"/>
                <w:sz w:val="18"/>
                <w:szCs w:val="18"/>
                <w:color w:val="auto"/>
                <w:w w:val="89"/>
              </w:rPr>
              <w:t>95-1934119</w:t>
            </w:r>
          </w:p>
        </w:tc>
      </w:tr>
      <w:tr>
        <w:trPr>
          <w:trHeight w:val="216"/>
        </w:trPr>
        <w:tc>
          <w:tcPr>
            <w:tcW w:w="3380" w:type="dxa"/>
            <w:vAlign w:val="bottom"/>
          </w:tcPr>
          <w:p>
            <w:pPr>
              <w:jc w:val="right"/>
              <w:ind w:right="710"/>
              <w:spacing w:after="0"/>
              <w:rPr>
                <w:sz w:val="20"/>
                <w:szCs w:val="20"/>
                <w:color w:val="auto"/>
              </w:rPr>
            </w:pPr>
            <w:r>
              <w:rPr>
                <w:rFonts w:ascii="Arial" w:cs="Arial" w:eastAsia="Arial" w:hAnsi="Arial"/>
                <w:sz w:val="18"/>
                <w:szCs w:val="18"/>
                <w:color w:val="auto"/>
              </w:rPr>
              <w:t>_____________________</w:t>
            </w:r>
          </w:p>
        </w:tc>
        <w:tc>
          <w:tcPr>
            <w:tcW w:w="4120" w:type="dxa"/>
            <w:vAlign w:val="bottom"/>
          </w:tcPr>
          <w:p>
            <w:pPr>
              <w:jc w:val="right"/>
              <w:ind w:right="1430"/>
              <w:spacing w:after="0"/>
              <w:rPr>
                <w:sz w:val="20"/>
                <w:szCs w:val="20"/>
                <w:color w:val="auto"/>
              </w:rPr>
            </w:pPr>
            <w:r>
              <w:rPr>
                <w:rFonts w:ascii="Arial" w:cs="Arial" w:eastAsia="Arial" w:hAnsi="Arial"/>
                <w:sz w:val="18"/>
                <w:szCs w:val="18"/>
                <w:color w:val="auto"/>
              </w:rPr>
              <w:t>_____________</w:t>
            </w:r>
          </w:p>
        </w:tc>
        <w:tc>
          <w:tcPr>
            <w:tcW w:w="2340" w:type="dxa"/>
            <w:vAlign w:val="bottom"/>
          </w:tcPr>
          <w:p>
            <w:pPr>
              <w:jc w:val="center"/>
              <w:ind w:left="910"/>
              <w:spacing w:after="0"/>
              <w:rPr>
                <w:sz w:val="20"/>
                <w:szCs w:val="20"/>
                <w:color w:val="auto"/>
              </w:rPr>
            </w:pPr>
            <w:r>
              <w:rPr>
                <w:rFonts w:ascii="Arial" w:cs="Arial" w:eastAsia="Arial" w:hAnsi="Arial"/>
                <w:sz w:val="18"/>
                <w:szCs w:val="18"/>
                <w:color w:val="auto"/>
                <w:w w:val="89"/>
              </w:rPr>
              <w:t>______________</w:t>
            </w:r>
          </w:p>
        </w:tc>
      </w:tr>
      <w:tr>
        <w:trPr>
          <w:trHeight w:val="216"/>
        </w:trPr>
        <w:tc>
          <w:tcPr>
            <w:tcW w:w="3380" w:type="dxa"/>
            <w:vAlign w:val="bottom"/>
          </w:tcPr>
          <w:p>
            <w:pPr>
              <w:jc w:val="center"/>
              <w:ind w:right="30"/>
              <w:spacing w:after="0"/>
              <w:rPr>
                <w:sz w:val="20"/>
                <w:szCs w:val="20"/>
                <w:color w:val="auto"/>
              </w:rPr>
            </w:pPr>
            <w:r>
              <w:rPr>
                <w:rFonts w:ascii="Arial" w:cs="Arial" w:eastAsia="Arial" w:hAnsi="Arial"/>
                <w:sz w:val="18"/>
                <w:szCs w:val="18"/>
                <w:color w:val="auto"/>
                <w:w w:val="92"/>
              </w:rPr>
              <w:t>(State or other jurisdiction</w:t>
            </w:r>
          </w:p>
        </w:tc>
        <w:tc>
          <w:tcPr>
            <w:tcW w:w="4120" w:type="dxa"/>
            <w:vAlign w:val="bottom"/>
          </w:tcPr>
          <w:p>
            <w:pPr>
              <w:jc w:val="center"/>
              <w:spacing w:after="0"/>
              <w:rPr>
                <w:sz w:val="20"/>
                <w:szCs w:val="20"/>
                <w:color w:val="auto"/>
              </w:rPr>
            </w:pPr>
            <w:r>
              <w:rPr>
                <w:rFonts w:ascii="Arial" w:cs="Arial" w:eastAsia="Arial" w:hAnsi="Arial"/>
                <w:sz w:val="18"/>
                <w:szCs w:val="18"/>
                <w:color w:val="auto"/>
                <w:w w:val="91"/>
              </w:rPr>
              <w:t>(Commission</w:t>
            </w:r>
          </w:p>
        </w:tc>
        <w:tc>
          <w:tcPr>
            <w:tcW w:w="2340" w:type="dxa"/>
            <w:vAlign w:val="bottom"/>
          </w:tcPr>
          <w:p>
            <w:pPr>
              <w:jc w:val="center"/>
              <w:ind w:left="890"/>
              <w:spacing w:after="0"/>
              <w:rPr>
                <w:sz w:val="20"/>
                <w:szCs w:val="20"/>
                <w:color w:val="auto"/>
              </w:rPr>
            </w:pPr>
            <w:r>
              <w:rPr>
                <w:rFonts w:ascii="Arial" w:cs="Arial" w:eastAsia="Arial" w:hAnsi="Arial"/>
                <w:sz w:val="18"/>
                <w:szCs w:val="18"/>
                <w:color w:val="auto"/>
                <w:w w:val="93"/>
              </w:rPr>
              <w:t>(I.R.S. Employer</w:t>
            </w:r>
          </w:p>
        </w:tc>
      </w:tr>
      <w:tr>
        <w:trPr>
          <w:trHeight w:val="230"/>
        </w:trPr>
        <w:tc>
          <w:tcPr>
            <w:tcW w:w="3380" w:type="dxa"/>
            <w:vAlign w:val="bottom"/>
          </w:tcPr>
          <w:p>
            <w:pPr>
              <w:jc w:val="center"/>
              <w:ind w:right="30"/>
              <w:spacing w:after="0"/>
              <w:rPr>
                <w:sz w:val="20"/>
                <w:szCs w:val="20"/>
                <w:color w:val="auto"/>
              </w:rPr>
            </w:pPr>
            <w:r>
              <w:rPr>
                <w:rFonts w:ascii="Arial" w:cs="Arial" w:eastAsia="Arial" w:hAnsi="Arial"/>
                <w:sz w:val="18"/>
                <w:szCs w:val="18"/>
                <w:color w:val="auto"/>
                <w:w w:val="93"/>
              </w:rPr>
              <w:t>of incorporation)</w:t>
            </w:r>
          </w:p>
        </w:tc>
        <w:tc>
          <w:tcPr>
            <w:tcW w:w="4120" w:type="dxa"/>
            <w:vAlign w:val="bottom"/>
          </w:tcPr>
          <w:p>
            <w:pPr>
              <w:jc w:val="center"/>
              <w:spacing w:after="0"/>
              <w:rPr>
                <w:sz w:val="20"/>
                <w:szCs w:val="20"/>
                <w:color w:val="auto"/>
              </w:rPr>
            </w:pPr>
            <w:r>
              <w:rPr>
                <w:rFonts w:ascii="Arial" w:cs="Arial" w:eastAsia="Arial" w:hAnsi="Arial"/>
                <w:sz w:val="18"/>
                <w:szCs w:val="18"/>
                <w:color w:val="auto"/>
                <w:w w:val="92"/>
              </w:rPr>
              <w:t>File Number)</w:t>
            </w:r>
          </w:p>
        </w:tc>
        <w:tc>
          <w:tcPr>
            <w:tcW w:w="2340" w:type="dxa"/>
            <w:vAlign w:val="bottom"/>
          </w:tcPr>
          <w:p>
            <w:pPr>
              <w:jc w:val="center"/>
              <w:ind w:left="9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380" w:type="dxa"/>
            <w:vAlign w:val="bottom"/>
          </w:tcPr>
          <w:p>
            <w:pPr>
              <w:jc w:val="center"/>
              <w:ind w:right="70"/>
              <w:spacing w:after="0"/>
              <w:rPr>
                <w:sz w:val="20"/>
                <w:szCs w:val="20"/>
                <w:color w:val="auto"/>
              </w:rPr>
            </w:pPr>
            <w:r>
              <w:rPr>
                <w:rFonts w:ascii="Arial" w:cs="Arial" w:eastAsia="Arial" w:hAnsi="Arial"/>
                <w:sz w:val="18"/>
                <w:szCs w:val="18"/>
                <w:color w:val="auto"/>
                <w:w w:val="91"/>
              </w:rPr>
              <w:t>12367 Crosthwaite Circle, Poway, California</w:t>
            </w:r>
          </w:p>
        </w:tc>
        <w:tc>
          <w:tcPr>
            <w:tcW w:w="4120" w:type="dxa"/>
            <w:vAlign w:val="bottom"/>
          </w:tcPr>
          <w:p>
            <w:pPr>
              <w:spacing w:after="0"/>
              <w:rPr>
                <w:sz w:val="24"/>
                <w:szCs w:val="24"/>
                <w:color w:val="auto"/>
              </w:rPr>
            </w:pPr>
          </w:p>
        </w:tc>
        <w:tc>
          <w:tcPr>
            <w:tcW w:w="2340" w:type="dxa"/>
            <w:vAlign w:val="bottom"/>
          </w:tcPr>
          <w:p>
            <w:pPr>
              <w:jc w:val="center"/>
              <w:ind w:left="890"/>
              <w:spacing w:after="0"/>
              <w:rPr>
                <w:sz w:val="20"/>
                <w:szCs w:val="20"/>
                <w:color w:val="auto"/>
              </w:rPr>
            </w:pPr>
            <w:r>
              <w:rPr>
                <w:rFonts w:ascii="Arial" w:cs="Arial" w:eastAsia="Arial" w:hAnsi="Arial"/>
                <w:sz w:val="18"/>
                <w:szCs w:val="18"/>
                <w:color w:val="auto"/>
                <w:w w:val="87"/>
              </w:rPr>
              <w:t>92064</w:t>
            </w:r>
          </w:p>
        </w:tc>
      </w:tr>
      <w:tr>
        <w:trPr>
          <w:trHeight w:val="216"/>
        </w:trPr>
        <w:tc>
          <w:tcPr>
            <w:tcW w:w="3380" w:type="dxa"/>
            <w:vAlign w:val="bottom"/>
          </w:tcPr>
          <w:p>
            <w:pPr>
              <w:jc w:val="right"/>
              <w:ind w:right="170"/>
              <w:spacing w:after="0"/>
              <w:rPr>
                <w:sz w:val="20"/>
                <w:szCs w:val="20"/>
                <w:color w:val="auto"/>
              </w:rPr>
            </w:pPr>
            <w:r>
              <w:rPr>
                <w:rFonts w:ascii="Arial" w:cs="Arial" w:eastAsia="Arial" w:hAnsi="Arial"/>
                <w:sz w:val="18"/>
                <w:szCs w:val="18"/>
                <w:color w:val="auto"/>
                <w:w w:val="93"/>
              </w:rPr>
              <w:t>_________________________________</w:t>
            </w:r>
          </w:p>
        </w:tc>
        <w:tc>
          <w:tcPr>
            <w:tcW w:w="4120" w:type="dxa"/>
            <w:vAlign w:val="bottom"/>
          </w:tcPr>
          <w:p>
            <w:pPr>
              <w:spacing w:after="0"/>
              <w:rPr>
                <w:sz w:val="18"/>
                <w:szCs w:val="18"/>
                <w:color w:val="auto"/>
              </w:rPr>
            </w:pPr>
          </w:p>
        </w:tc>
        <w:tc>
          <w:tcPr>
            <w:tcW w:w="2340" w:type="dxa"/>
            <w:vAlign w:val="bottom"/>
          </w:tcPr>
          <w:p>
            <w:pPr>
              <w:jc w:val="center"/>
              <w:ind w:left="890"/>
              <w:spacing w:after="0"/>
              <w:rPr>
                <w:sz w:val="20"/>
                <w:szCs w:val="20"/>
                <w:color w:val="auto"/>
              </w:rPr>
            </w:pPr>
            <w:r>
              <w:rPr>
                <w:rFonts w:ascii="Arial" w:cs="Arial" w:eastAsia="Arial" w:hAnsi="Arial"/>
                <w:sz w:val="18"/>
                <w:szCs w:val="18"/>
                <w:color w:val="auto"/>
                <w:w w:val="90"/>
              </w:rPr>
              <w:t>___________</w:t>
            </w:r>
          </w:p>
        </w:tc>
      </w:tr>
      <w:tr>
        <w:trPr>
          <w:trHeight w:val="230"/>
        </w:trPr>
        <w:tc>
          <w:tcPr>
            <w:tcW w:w="338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4120" w:type="dxa"/>
            <w:vAlign w:val="bottom"/>
          </w:tcPr>
          <w:p>
            <w:pPr>
              <w:spacing w:after="0"/>
              <w:rPr>
                <w:sz w:val="20"/>
                <w:szCs w:val="20"/>
                <w:color w:val="auto"/>
              </w:rPr>
            </w:pPr>
          </w:p>
        </w:tc>
        <w:tc>
          <w:tcPr>
            <w:tcW w:w="2340" w:type="dxa"/>
            <w:vAlign w:val="bottom"/>
          </w:tcPr>
          <w:p>
            <w:pPr>
              <w:jc w:val="center"/>
              <w:ind w:left="890"/>
              <w:spacing w:after="0"/>
              <w:rPr>
                <w:sz w:val="20"/>
                <w:szCs w:val="20"/>
                <w:color w:val="auto"/>
              </w:rPr>
            </w:pPr>
            <w:r>
              <w:rPr>
                <w:rFonts w:ascii="Arial" w:cs="Arial" w:eastAsia="Arial" w:hAnsi="Arial"/>
                <w:sz w:val="18"/>
                <w:szCs w:val="18"/>
                <w:color w:val="auto"/>
                <w:w w:val="94"/>
              </w:rPr>
              <w:t>(Zip Code)</w:t>
            </w:r>
          </w:p>
        </w:tc>
      </w:tr>
      <w:tr>
        <w:trPr>
          <w:trHeight w:val="459"/>
        </w:trPr>
        <w:tc>
          <w:tcPr>
            <w:tcW w:w="7500" w:type="dxa"/>
            <w:vAlign w:val="bottom"/>
            <w:gridSpan w:val="2"/>
          </w:tcPr>
          <w:p>
            <w:pPr>
              <w:ind w:left="680"/>
              <w:spacing w:after="0"/>
              <w:rPr>
                <w:sz w:val="20"/>
                <w:szCs w:val="20"/>
                <w:color w:val="auto"/>
              </w:rPr>
            </w:pPr>
            <w:r>
              <w:rPr>
                <w:rFonts w:ascii="Arial" w:cs="Arial" w:eastAsia="Arial" w:hAnsi="Arial"/>
                <w:sz w:val="18"/>
                <w:szCs w:val="18"/>
                <w:color w:val="auto"/>
              </w:rPr>
              <w:t>Registrant’s telephone number, including area code:</w:t>
            </w:r>
          </w:p>
        </w:tc>
        <w:tc>
          <w:tcPr>
            <w:tcW w:w="2340" w:type="dxa"/>
            <w:vAlign w:val="bottom"/>
          </w:tcPr>
          <w:p>
            <w:pPr>
              <w:jc w:val="right"/>
              <w:ind w:right="990"/>
              <w:spacing w:after="0"/>
              <w:rPr>
                <w:sz w:val="20"/>
                <w:szCs w:val="20"/>
                <w:color w:val="auto"/>
              </w:rPr>
            </w:pPr>
            <w:r>
              <w:rPr>
                <w:rFonts w:ascii="Arial" w:cs="Arial" w:eastAsia="Arial" w:hAnsi="Arial"/>
                <w:sz w:val="18"/>
                <w:szCs w:val="18"/>
                <w:color w:val="auto"/>
              </w:rPr>
              <w:t>858-848-8100</w:t>
            </w:r>
          </w:p>
        </w:tc>
      </w:tr>
      <w:tr>
        <w:trPr>
          <w:trHeight w:val="432"/>
        </w:trPr>
        <w:tc>
          <w:tcPr>
            <w:tcW w:w="3380" w:type="dxa"/>
            <w:vAlign w:val="bottom"/>
          </w:tcPr>
          <w:p>
            <w:pPr>
              <w:spacing w:after="0"/>
              <w:rPr>
                <w:sz w:val="24"/>
                <w:szCs w:val="24"/>
                <w:color w:val="auto"/>
              </w:rPr>
            </w:pPr>
          </w:p>
        </w:tc>
        <w:tc>
          <w:tcPr>
            <w:tcW w:w="4120" w:type="dxa"/>
            <w:vAlign w:val="bottom"/>
          </w:tcPr>
          <w:p>
            <w:pPr>
              <w:jc w:val="center"/>
              <w:ind w:right="10"/>
              <w:spacing w:after="0"/>
              <w:rPr>
                <w:sz w:val="20"/>
                <w:szCs w:val="20"/>
                <w:color w:val="auto"/>
              </w:rPr>
            </w:pPr>
            <w:r>
              <w:rPr>
                <w:rFonts w:ascii="Arial" w:cs="Arial" w:eastAsia="Arial" w:hAnsi="Arial"/>
                <w:sz w:val="18"/>
                <w:szCs w:val="18"/>
                <w:color w:val="auto"/>
                <w:w w:val="94"/>
              </w:rPr>
              <w:t>Not Applicable</w:t>
            </w:r>
          </w:p>
        </w:tc>
        <w:tc>
          <w:tcPr>
            <w:tcW w:w="2340" w:type="dxa"/>
            <w:vAlign w:val="bottom"/>
          </w:tcPr>
          <w:p>
            <w:pPr>
              <w:spacing w:after="0"/>
              <w:rPr>
                <w:sz w:val="24"/>
                <w:szCs w:val="24"/>
                <w:color w:val="auto"/>
              </w:rPr>
            </w:pPr>
          </w:p>
        </w:tc>
      </w:tr>
    </w:tbl>
    <w:p>
      <w:pPr>
        <w:ind w:left="364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Securities Exchange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4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On August 2, 2018, Cohu, Inc. (the “Company”) issued a press release regarding its financial results for the second quarter ended June 30, 2018. The Company’s press release is attached as Exhibit 99.1 to this Current Report on Form 8-K and incorporated by reference herein.</w:t>
      </w:r>
    </w:p>
    <w:p>
      <w:pPr>
        <w:spacing w:after="0" w:line="14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Included within this press release are non-GAAP financial measures, including non-GAAP Gross Margin, Income and Income (adjusted earnings) per share, that supplement the Company's Condensed Consolidated Statements of Income prepared under generally accepted accounting principles (GAAP). These non-GAAP financial measures adjust the Company's actual results prepared under GAAP to exclude charges and the related income tax effect for share-based compensation, the amortization of acquired intangible assets, manufacturing transition costs, employee severance costs, acquisition related costs, fair value adjustment to contingent consideration, and purchase accounting inventory step-up included in cost of sales. Reconciliations of GAAP to non-GAAP amounts for the periods presented herein are provided in schedules accompanying this release and should be considered together with the Condensed Consolidated Statements of Income.</w:t>
      </w:r>
    </w:p>
    <w:p>
      <w:pPr>
        <w:spacing w:after="0" w:line="18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matters discussed in this release, including statements regarding capturing new customers; momentum in automotive and industrial semiconductor markets; demand for our equipment for smartphone application processor test; Cohu’s third quarter 2018 sales forecast, guidance and effective tax rate; 2018 sales growth; Cohu mid-term (3 to 5 year) model financial targets; introduction of new Infrared vision module, Kita product deployments, cHybrid and cDragon progress, and all statements regarding the acquisition of Xcerra, integration plans, combined pro formas, EPS accretion, acquisition debt repayment, synergies and expected closing date are forward-looking statements that are subject to risks and uncertainties that could cause actual results to differ materially from those projected or forecasted. Such risks and uncertainties include, but are not limited to,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geopolitical issues; ERP system implementation issues; the seasonal, volatile and unpredictable nature of capital expenditures by semiconductor manufacturers; rapid technological change; and significant risks associated with the Xcerra transaction including but not limited to (i) the risk that the conditions to the closing of the proposed transaction are not satisfied, (ii) uncertainties as to the timing of the consummation of the proposed transaction and the ability of each of Cohu and Xcerra to consummate the proposed transaction, including as a result of the failure of Cohu to obtain or provide on a timely basis or at all the necessary financing, (iii) the ability of Cohu and Xcerra to integrate their businesses successfully and to achieve anticipated synergies, (iv) the possibility that other anticipated benefits of the proposed transaction will not be realized, (v) litigation relating to the proposed transaction that has been or could be instituted against Cohu, Xcerra, or their respective directors, (vi) possible disruptions from the proposed transaction that could harm Cohu’s and/or Xcerra’s respective businesses, (vii) the ability of Cohu or Xcerra to retain, attract and hire key personnel, (viii) potential adverse reactions or changes to relationships with customers, employees, suppliers or other parties resulting from the announcement or completion of the proposed transaction, (ix) potential business uncertainty, including changes to existing business relationships, during the pendency of the proposed transaction that could affect Cohu’s or Xcerra’s financial performance, (x) certain restrictions during the pendency of the proposed transaction that may impact Cohu’s or Xcerra’s ability to pursue certain business opportunities or strategic transactions, (xi) the adverse impact to Cohu’s operating results from interest expense on the financing debt, rising interest rates, and any restrictions on operations related to such debt, and (xii) continued availability of capital and financing and rating agency actions. These and other risks and uncertainties are discussed more fully in Cohu's filings with the Securities and Exchange Commission, including the most recently filed Form 10-K and Form 10-Q, and in the Registration Statement on Form S-4 that has been filed by Cohu with the SEC containing a prospectus with respect to the Cohu common stock to be issued in the proposed Xcerra transaction and a joint proxy statement of Cohu and Xcerra in connection with the proposed transaction that is or will be contained therein. The forward-looking statements included in this release are not assurances, and speak only as of the date of this release, and Cohu does not undertake any obligation to update these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Cohu, Xcerra, certain of their respective directors, executive officers, members of management and employees may, under the rules of the SEC, be deemed to be participants in the solicitation of proxies in connection with the proposed transaction. Information regarding the persons who may, under the rules of the SEC, be deemed “participants” in the solicitation of proxies in connection with the proposed transaction, and a description of their direct and indirect interests in the proposed transaction, which may differ from the interests of Cohu stockholders or Xcerra stockholders generally, is set forth in the Joint Proxy Statement/Prospectus filed with the SEC. Information concerning Cohu’s directors and executive officers and their beneficial ownership of Cohu’s common stock is set forth in Cohu’s Registration Statement on Form S-4, its annual proxy statement on Schedule 14A filed with the SEC on April 3, 2018, and in its Annual Report on Form 10-K for the year ended December 30, 2017. These documents are available free of charge at the SEC’s website at www.sec.gov or by visiting the Cohu Investor Relations page on its corporate website at https://Cohu.gcs-web.com. Information regarding Xcerra’s directors and executive officers and their beneficial ownership of Xcerra common stock is also set forth in Xcerra’s proxy statement on Schedule 14A filed with the SEC on September 5, 2017, and in its Annual Report on Form 10-K for the year ended July 31, 2017, and is supplemented by other public filings made, and to be made, with the SEC by Xcerra. These documents are available free of charge at the SEC’s website at www.sec.gov or by visiting the Xcerra Investor Relations page on its corporate website at https://Xcerra.com/investors. Other information regarding the participants in the proxy solicitations and a description of their direct and indirect interests, by security holdings or otherwise, are contained in the Joint Proxy Statement/Prospectus regarding the proposed transaction and other relevant materials that have been or will be filed with the SEC when they become available. You may obtain copies of the documents described in the preceding sentence when they become available free of charge by visiting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Additional Information and Where You Can Find It:</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June 21, 2018, Cohu filed with the SEC the Registration Statement containing the Joint Proxy Statement/Prospectus, which was subsequently amended on July 26, 2018, and declared effective by the SEC on July 30, 2018. The definitive Joint Proxy Statement/Prospectus was first delivered to the stockholders of Cohu and Xcerra on or around July 30, 2018. This communication is not a substitute for the Registration Statement, the definitive Joint Proxy Statement/Prospectus or any other documents that Cohu or Xcerra may file or may have filed with the SEC, or will send or have sent to stockholders in connection with the proposed transaction. INVESTORS AND SECURITY HOLDERS ARE URGED TO READ ALL RELEVANT DOCUMENTS FILED WITH THE SEC, INCLUDING THE DEFINITIVE JOINT PROXY STATEMENT/PROSPECTUS, CAREFULLY AND IN THEIR ENTIRETY BECAUSE THEY WILL CONTAIN IMPORTANT INFORMATION. Investors and security holders may obtain free copies of these documents and other documents filed by Cohu and Xcerra with the SEC at the SEC’s website at www.sec.gov. In addition, investors and security holders may obtain free copies of the documents filed with the SEC by visiting the Cohu Investor Relations page on its corporate website at https://cohu.gcs-web.com or by contacting Cohu Investor Relations by telephone at (858) 848-8106 or by mail at Cohu Corporate Headquarters, 12367 Crosthwaite Circle, Poway, A 92064, attention Jeffrey D. Jones, or by visiting the Xcerra Investor Relations page on its corporate website at https://xcerra.com/investors or by contacting Xcerra Investor Relations by telephone at (781) 467-5063 or by mail at Xcerra Investor Relations, Xcerra Corporation, 825 University Avenue, Norwood, MA 02062, attention Rich Yerganian</w:t>
      </w:r>
      <w:r>
        <w:rPr>
          <w:rFonts w:ascii="Arial" w:cs="Arial" w:eastAsia="Arial" w:hAnsi="Arial"/>
          <w:sz w:val="17"/>
          <w:szCs w:val="17"/>
          <w:b w:val="1"/>
          <w:b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p>
      <w:pPr>
        <w:ind w:right="10080" w:firstLine="8"/>
        <w:spacing w:after="0" w:line="53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 No. - 99.1</w:t>
      </w:r>
    </w:p>
    <w:p>
      <w:pPr>
        <w:spacing w:after="0"/>
        <w:rPr>
          <w:rFonts w:ascii="Arial" w:cs="Arial" w:eastAsia="Arial" w:hAnsi="Arial"/>
          <w:sz w:val="18"/>
          <w:szCs w:val="18"/>
          <w:color w:val="auto"/>
        </w:rPr>
      </w:pPr>
      <w:r>
        <w:rPr>
          <w:rFonts w:ascii="Arial" w:cs="Arial" w:eastAsia="Arial" w:hAnsi="Arial"/>
          <w:sz w:val="18"/>
          <w:szCs w:val="18"/>
          <w:color w:val="auto"/>
        </w:rPr>
        <w:t xml:space="preserve">Description – </w:t>
      </w:r>
      <w:hyperlink w:anchor="page7">
        <w:r>
          <w:rPr>
            <w:rFonts w:ascii="Arial" w:cs="Arial" w:eastAsia="Arial" w:hAnsi="Arial"/>
            <w:sz w:val="18"/>
            <w:szCs w:val="18"/>
            <w:u w:val="single" w:color="auto"/>
            <w:color w:val="0000EE"/>
          </w:rPr>
          <w:t>Second Quarter 2018 Earnings Release, dated August 2, 2018, of Cohu,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Cohu, Inc.</w:t>
      </w:r>
    </w:p>
    <w:p>
      <w:pPr>
        <w:sectPr>
          <w:pgSz w:w="11900" w:h="16838" w:orient="portrait"/>
          <w:cols w:equalWidth="0" w:num="1">
            <w:col w:w="11220"/>
          </w:cols>
          <w:pgMar w:left="240" w:top="580"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August 2, 2018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Jeffrey D. Jones</w:t>
      </w:r>
    </w:p>
    <w:p>
      <w:pPr>
        <w:spacing w:after="0" w:line="46" w:lineRule="exact"/>
        <w:rPr>
          <w:sz w:val="20"/>
          <w:szCs w:val="20"/>
          <w:color w:val="auto"/>
        </w:rPr>
      </w:pPr>
    </w:p>
    <w:p>
      <w:pPr>
        <w:sectPr>
          <w:pgSz w:w="11900" w:h="16838" w:orient="portrait"/>
          <w:cols w:equalWidth="0" w:num="3">
            <w:col w:w="5060" w:space="720"/>
            <w:col w:w="240" w:space="560"/>
            <w:col w:w="4640"/>
          </w:cols>
          <w:pgMar w:left="240" w:top="580" w:right="439" w:bottom="1440" w:gutter="0" w:footer="0" w:header="0"/>
          <w:type w:val="continuous"/>
        </w:sectPr>
      </w:pPr>
    </w:p>
    <w:p>
      <w:pPr>
        <w:ind w:left="640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6"/>
          <w:szCs w:val="16"/>
          <w:i w:val="1"/>
          <w:iCs w:val="1"/>
          <w:color w:val="auto"/>
        </w:rPr>
        <w:t>Title: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580" w:right="4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60" w:type="dxa"/>
            <w:vAlign w:val="bottom"/>
          </w:tcPr>
          <w:p>
            <w:pPr>
              <w:ind w:left="2060"/>
              <w:spacing w:after="0"/>
              <w:rPr>
                <w:sz w:val="20"/>
                <w:szCs w:val="20"/>
                <w:color w:val="auto"/>
              </w:rPr>
            </w:pPr>
            <w:r>
              <w:rPr>
                <w:rFonts w:ascii="Arial" w:cs="Arial" w:eastAsia="Arial" w:hAnsi="Arial"/>
                <w:sz w:val="18"/>
                <w:szCs w:val="18"/>
                <w:color w:val="auto"/>
              </w:rPr>
              <w:t>Exhibit Index</w:t>
            </w:r>
          </w:p>
        </w:tc>
      </w:tr>
      <w:tr>
        <w:trPr>
          <w:trHeight w:val="648"/>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20" w:type="dxa"/>
            <w:vAlign w:val="bottom"/>
          </w:tcPr>
          <w:p>
            <w:pPr>
              <w:spacing w:after="0"/>
              <w:rPr>
                <w:sz w:val="24"/>
                <w:szCs w:val="24"/>
                <w:color w:val="auto"/>
              </w:rPr>
            </w:pPr>
          </w:p>
        </w:tc>
        <w:tc>
          <w:tcPr>
            <w:tcW w:w="82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840" w:type="dxa"/>
            <w:vAlign w:val="bottom"/>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19"/>
                <w:szCs w:val="19"/>
                <w:color w:val="auto"/>
              </w:rPr>
            </w:pPr>
          </w:p>
        </w:tc>
        <w:tc>
          <w:tcPr>
            <w:tcW w:w="8260" w:type="dxa"/>
            <w:vAlign w:val="bottom"/>
          </w:tcPr>
          <w:p>
            <w:pPr>
              <w:ind w:left="60"/>
              <w:spacing w:after="0"/>
              <w:rPr>
                <w:sz w:val="20"/>
                <w:szCs w:val="20"/>
                <w:color w:val="auto"/>
              </w:rPr>
            </w:pPr>
            <w:r>
              <w:rPr>
                <w:rFonts w:ascii="Arial" w:cs="Arial" w:eastAsia="Arial" w:hAnsi="Arial"/>
                <w:sz w:val="18"/>
                <w:szCs w:val="18"/>
                <w:color w:val="auto"/>
              </w:rPr>
              <w:t>Second Quarter 2018 Earnings Release, dated August 2, 2018, of Cohu, Inc.</w:t>
            </w:r>
          </w:p>
        </w:tc>
      </w:tr>
    </w:tbl>
    <w:p>
      <w:pPr>
        <w:sectPr>
          <w:pgSz w:w="11900" w:h="16838" w:orient="portrait"/>
          <w:cols w:equalWidth="0" w:num="1">
            <w:col w:w="11420"/>
          </w:cols>
          <w:pgMar w:left="240" w:top="584" w:right="239" w:bottom="1440" w:gutter="0" w:footer="0" w:header="0"/>
        </w:sectPr>
      </w:pPr>
    </w:p>
    <w:bookmarkStart w:id="6" w:name="page7"/>
    <w:bookmarkEnd w:id="6"/>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323850</wp:posOffset>
            </wp:positionV>
            <wp:extent cx="2992755" cy="1492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92755"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Second Quarter 2018 Results</w:t>
      </w:r>
    </w:p>
    <w:p>
      <w:pPr>
        <w:spacing w:after="0" w:line="229" w:lineRule="exact"/>
        <w:rPr>
          <w:sz w:val="20"/>
          <w:szCs w:val="20"/>
          <w:color w:val="auto"/>
        </w:rPr>
      </w:pPr>
    </w:p>
    <w:p>
      <w:pPr>
        <w:ind w:left="640" w:hanging="389"/>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First half 2018 sales of $195 million, up 11% year-over-year</w:t>
      </w:r>
    </w:p>
    <w:p>
      <w:pPr>
        <w:spacing w:after="0" w:line="225" w:lineRule="exact"/>
        <w:rPr>
          <w:rFonts w:ascii="Arial" w:cs="Arial" w:eastAsia="Arial" w:hAnsi="Arial"/>
          <w:sz w:val="18"/>
          <w:szCs w:val="18"/>
          <w:i w:val="1"/>
          <w:iCs w:val="1"/>
          <w:color w:val="auto"/>
        </w:rPr>
      </w:pPr>
    </w:p>
    <w:p>
      <w:pPr>
        <w:ind w:left="640" w:hanging="389"/>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GAAP gross margin of 41.6%; non-GAAP gross margin of 42.4%</w:t>
      </w:r>
    </w:p>
    <w:p>
      <w:pPr>
        <w:spacing w:after="0" w:line="225" w:lineRule="exact"/>
        <w:rPr>
          <w:rFonts w:ascii="Arial" w:cs="Arial" w:eastAsia="Arial" w:hAnsi="Arial"/>
          <w:sz w:val="18"/>
          <w:szCs w:val="18"/>
          <w:i w:val="1"/>
          <w:iCs w:val="1"/>
          <w:color w:val="auto"/>
        </w:rPr>
      </w:pPr>
    </w:p>
    <w:p>
      <w:pPr>
        <w:ind w:left="640" w:hanging="389"/>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GAAP earnings per share of $0.39; non-GAAP adjusted earnings per share of $0.64</w:t>
      </w:r>
    </w:p>
    <w:p>
      <w:pPr>
        <w:spacing w:after="0" w:line="225" w:lineRule="exact"/>
        <w:rPr>
          <w:rFonts w:ascii="Arial" w:cs="Arial" w:eastAsia="Arial" w:hAnsi="Arial"/>
          <w:sz w:val="18"/>
          <w:szCs w:val="18"/>
          <w:i w:val="1"/>
          <w:iCs w:val="1"/>
          <w:color w:val="auto"/>
        </w:rPr>
      </w:pPr>
    </w:p>
    <w:p>
      <w:pPr>
        <w:ind w:left="640" w:hanging="389"/>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Received regulatory approvals to proceed with the acquisition of Xcerra</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POWAY, Calif., August 2, 2018 -- Cohu, Inc. (NASDAQ: COHU), a leading supplier of semiconductor equipment, today reported fiscal 2018 second quarter net sales of $99.8 million and GAAP income of $11.6 million or $0.39 per share. Net sales for the first six months of 2018 were $195.0 million and GAAP income was $19.8 million or $0.67 per share.</w:t>
      </w:r>
    </w:p>
    <w:p>
      <w:pPr>
        <w:spacing w:after="0" w:line="181" w:lineRule="exact"/>
        <w:rPr>
          <w:sz w:val="20"/>
          <w:szCs w:val="20"/>
          <w:color w:val="auto"/>
        </w:rPr>
      </w:pPr>
    </w:p>
    <w:p>
      <w:pPr>
        <w:ind w:right="180"/>
        <w:spacing w:after="0" w:line="280" w:lineRule="auto"/>
        <w:rPr>
          <w:sz w:val="20"/>
          <w:szCs w:val="20"/>
          <w:color w:val="auto"/>
        </w:rPr>
      </w:pPr>
      <w:r>
        <w:rPr>
          <w:rFonts w:ascii="Arial" w:cs="Arial" w:eastAsia="Arial" w:hAnsi="Arial"/>
          <w:sz w:val="18"/>
          <w:szCs w:val="18"/>
          <w:color w:val="auto"/>
        </w:rPr>
        <w:t xml:space="preserve">Cohu also reported non-GAAP results, with second quarter 2018 income of $18.8 million or $0.64 per share and income of $29.3 million or $0.99 per share for the first six months of 2018. </w:t>
      </w:r>
      <w:r>
        <w:rPr>
          <w:rFonts w:ascii="Arial" w:cs="Arial" w:eastAsia="Arial" w:hAnsi="Arial"/>
          <w:sz w:val="30"/>
          <w:szCs w:val="30"/>
          <w:color w:val="auto"/>
          <w:vertAlign w:val="superscript"/>
        </w:rPr>
        <w:t>(1)</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609"/>
        </w:trPr>
        <w:tc>
          <w:tcPr>
            <w:tcW w:w="35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GAAP Results </w:t>
            </w:r>
            <w:r>
              <w:rPr>
                <w:rFonts w:ascii="Arial" w:cs="Arial" w:eastAsia="Arial" w:hAnsi="Arial"/>
                <w:sz w:val="30"/>
                <w:szCs w:val="30"/>
                <w:b w:val="1"/>
                <w:bCs w:val="1"/>
                <w:color w:val="auto"/>
                <w:vertAlign w:val="superscript"/>
              </w:rPr>
              <w:t>(1)</w:t>
            </w: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3"/>
              </w:rPr>
              <w:t>6 Months</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right w:val="single" w:sz="8" w:color="auto"/>
            </w:tcBorders>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3"/>
              </w:rPr>
              <w:t>6 Months</w:t>
            </w:r>
          </w:p>
        </w:tc>
        <w:tc>
          <w:tcPr>
            <w:tcW w:w="0" w:type="dxa"/>
            <w:vAlign w:val="bottom"/>
          </w:tcPr>
          <w:p>
            <w:pPr>
              <w:spacing w:after="0"/>
              <w:rPr>
                <w:sz w:val="1"/>
                <w:szCs w:val="1"/>
                <w:color w:val="auto"/>
              </w:rPr>
            </w:pPr>
          </w:p>
        </w:tc>
      </w:tr>
      <w:tr>
        <w:trPr>
          <w:trHeight w:val="75"/>
        </w:trPr>
        <w:tc>
          <w:tcPr>
            <w:tcW w:w="3540" w:type="dxa"/>
            <w:vAlign w:val="bottom"/>
            <w:tcBorders>
              <w:left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354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(in millions, except per share amounts)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Q2 FY 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Q1 FY 2018</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Q2 FY 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40" w:type="dxa"/>
            <w:vAlign w:val="bottom"/>
            <w:tcBorders>
              <w:lef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Net sales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Income</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Income per share</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35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 xml:space="preserve">Non-GAAP Results </w:t>
            </w:r>
            <w:r>
              <w:rPr>
                <w:rFonts w:ascii="Arial" w:cs="Arial" w:eastAsia="Arial" w:hAnsi="Arial"/>
                <w:sz w:val="30"/>
                <w:szCs w:val="30"/>
                <w:b w:val="1"/>
                <w:bCs w:val="1"/>
                <w:color w:val="auto"/>
                <w:vertAlign w:val="superscript"/>
              </w:rPr>
              <w:t>(1)</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3"/>
              </w:rPr>
              <w:t>6 Months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Borders>
              <w:right w:val="single" w:sz="8" w:color="auto"/>
            </w:tcBorders>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3"/>
              </w:rPr>
              <w:t>6 Months</w:t>
            </w:r>
          </w:p>
        </w:tc>
        <w:tc>
          <w:tcPr>
            <w:tcW w:w="0" w:type="dxa"/>
            <w:vAlign w:val="bottom"/>
          </w:tcPr>
          <w:p>
            <w:pPr>
              <w:spacing w:after="0"/>
              <w:rPr>
                <w:sz w:val="1"/>
                <w:szCs w:val="1"/>
                <w:color w:val="auto"/>
              </w:rPr>
            </w:pPr>
          </w:p>
        </w:tc>
      </w:tr>
      <w:tr>
        <w:trPr>
          <w:trHeight w:val="75"/>
        </w:trPr>
        <w:tc>
          <w:tcPr>
            <w:tcW w:w="3540" w:type="dxa"/>
            <w:vAlign w:val="bottom"/>
            <w:tcBorders>
              <w:left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3540" w:type="dxa"/>
            <w:vAlign w:val="bottom"/>
            <w:tcBorders>
              <w:left w:val="single" w:sz="8" w:color="auto"/>
            </w:tcBorders>
          </w:tcPr>
          <w:p>
            <w:pPr>
              <w:ind w:left="120"/>
              <w:spacing w:after="0"/>
              <w:rPr>
                <w:sz w:val="20"/>
                <w:szCs w:val="20"/>
                <w:color w:val="auto"/>
              </w:rPr>
            </w:pPr>
            <w:r>
              <w:rPr>
                <w:rFonts w:ascii="Arial" w:cs="Arial" w:eastAsia="Arial" w:hAnsi="Arial"/>
                <w:sz w:val="18"/>
                <w:szCs w:val="18"/>
                <w:i w:val="1"/>
                <w:iCs w:val="1"/>
                <w:color w:val="auto"/>
              </w:rPr>
              <w:t>(in millions, except per share amounts)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Q2 FY 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Q1 FY 2018</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Q2 FY 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40" w:type="dxa"/>
            <w:vAlign w:val="bottom"/>
            <w:tcBorders>
              <w:lef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Income</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tcPr>
          <w:p>
            <w:pPr>
              <w:ind w:left="300"/>
              <w:spacing w:after="0"/>
              <w:rPr>
                <w:sz w:val="20"/>
                <w:szCs w:val="20"/>
                <w:color w:val="auto"/>
              </w:rPr>
            </w:pPr>
            <w:r>
              <w:rPr>
                <w:rFonts w:ascii="Arial" w:cs="Arial" w:eastAsia="Arial" w:hAnsi="Arial"/>
                <w:sz w:val="18"/>
                <w:szCs w:val="18"/>
                <w:color w:val="auto"/>
              </w:rPr>
              <w:t>Income per share</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0.64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0.99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2"/>
        </w:trPr>
        <w:tc>
          <w:tcPr>
            <w:tcW w:w="3540" w:type="dxa"/>
            <w:vAlign w:val="bottom"/>
            <w:tcBorders>
              <w:left w:val="single" w:sz="8" w:color="auto"/>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All amounts presented are from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cash and investments at the end of the second quarter were $150.9 million.</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Luis Müller, President and Chief Executive Officer of Cohu stated, “Second quarter results were above our expectations, reflecting continued momentum in the automotive and industrial semiconductor markets, further complemented by solid gross margin, earnings expansion and strong cash generation. We captured two new customers for our handlers and book-to-bill was at parity with orders for recurring sales growing to 48% of the total.”</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Müller continued, “The proposed acquisition of Xcerra is progressing on schedule and integration plans are well underway. With regulatory clearance recently granted in the United States and Germany, and no such clearance required in other jurisdictions, we expect to close the transaction early in the fourth quarter, subject to shareholder approvals and other customary closing conditions.”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Cohu expects third quarter 2018 sales to be approximately $92 million, reflecting slower than expected demand for our equipment for smartphone application processor test. Cohu's Board of Directors approved a quarterly cash dividend of $0.06 per share payable on October 19, 2018 to shareholders of record on August 24,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Cohu will host a live conference call and webcast to discuss its second quarter 2018 results on Thursday, August 2, 2018 at 1:30 p.m. Pacific Time/4:30 p.m. Eastern Time. Interested investors and analysts are invited to dial into the conference call by using 1-866-434-5330 (domestic) or +1-213-660-0873 (international) and entering the pass code 3244917. Webcast access is available on the Investor Information section of the company’s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 xml:space="preserve"> and will include a slide presentation.</w:t>
      </w:r>
    </w:p>
    <w:p>
      <w:pPr>
        <w:sectPr>
          <w:pgSz w:w="11900" w:h="16838" w:orient="portrait"/>
          <w:cols w:equalWidth="0" w:num="1">
            <w:col w:w="11420"/>
          </w:cols>
          <w:pgMar w:left="240" w:top="121" w:right="239" w:bottom="88" w:gutter="0" w:footer="0" w:header="0"/>
        </w:sectPr>
      </w:pPr>
    </w:p>
    <w:bookmarkStart w:id="7" w:name="page8"/>
    <w:bookmarkEnd w:id="7"/>
    <w:p>
      <w:pPr>
        <w:spacing w:after="0" w:line="25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ind w:right="620"/>
        <w:spacing w:after="0" w:line="277" w:lineRule="auto"/>
        <w:rPr>
          <w:sz w:val="20"/>
          <w:szCs w:val="20"/>
          <w:color w:val="auto"/>
        </w:rPr>
      </w:pPr>
      <w:r>
        <w:rPr>
          <w:rFonts w:ascii="Arial" w:cs="Arial" w:eastAsia="Arial" w:hAnsi="Arial"/>
          <w:sz w:val="18"/>
          <w:szCs w:val="18"/>
          <w:color w:val="auto"/>
        </w:rPr>
        <w:t>The teleconference replay will be available through September 2, 2018. The replay dial-in number is 1-855-859-2056 (domestic) or +1-404-537-3406 (international) using pass code 3244917. The webcast replay will be available on the website through August 2,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Cohu is a leading supplier of semiconductor test and inspection handlers, micro-electro mechanical system (MEMS) test modules, test contactors and thermal sub-systems used by global semiconductor manufacturers and test subcontractors.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Included within this press release are non-GAAP financial measures, including non-GAAP Gross Margin, Income and Income (adjusted earnings) per share, that supplement the Company's Condensed Consolidated Statements of Income prepared under generally accepted accounting principles (GAAP). These non-GAAP financial measures adjust the Company's actual results prepared under GAAP to exclude charges and the related income tax effect for share-based compensation, the amortization of acquired intangible assets, manufacturing transition costs, employee severance costs, acquisition related costs, fair value adjustment to contingent consideration, and purchase accounting inventory step-up included in cost of sales. Reconciliations of GAAP to non-GAAP amounts for the periods presented herein are provided in schedules accompanying this release and should be considered together with the Condensed Consolidated Statements of Income.</w:t>
      </w:r>
    </w:p>
    <w:p>
      <w:pPr>
        <w:spacing w:after="0" w:line="18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matters discussed in this release, including statements regarding capturing new customers; momentum in automotive and industrial semiconductor markets; demand for our equipment for smartphone application processor test; Cohu’s third quarter 2018 sales forecast, guidance and effective tax rate; 2018 sales growth; Cohu mid-term (3 to 5 year) model financial targets; introduction of new Infrared vision module, Kita product deployments, cHybrid and cDragon progress, and all statements regarding the acquisition of Xcerra, integration plans, combined pro formas, EPS accretion, acquisition debt repayment, synergies and expected closing date are forward-looking statements that are subject to risks and uncertainties that could cause actual results to differ materially from those projected or forecasted. Such risks and uncertainties include, but are not limited to,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geopolitical issues; ERP system implementation issues; the seasonal, volatile and unpredictable nature of capital expenditures by semiconductor manufacturers; rapid technological change; and significant risks associated with the Xcerra transaction including but not limited to (i) the risk that the conditions to the closing of the proposed transaction are not satisfied, (ii) uncertainties as to the timing of the consummation of the proposed transaction and the ability of each of Cohu and Xcerra to consummate the proposed transaction, including as a result of the failure of Cohu to obtain or provide on a timely basis or at all the necessary financing, (iii) the ability of Cohu and Xcerra to integrate their businesses successfully and to achieve anticipated synergies, (iv) the possibility that other anticipated benefits of the proposed transaction will not be realized, (v) litigation relating to the proposed transaction that has been or could be instituted against Cohu, Xcerra, or their respective directors, (vi) possible disruptions from the proposed transaction that could harm Cohu’s and/or Xcerra’s respective businesses, (vii) the ability of Cohu or Xcerra to retain, attract and hire key personnel, (viii) potential adverse reactions or changes to relationships with customers, employees, suppliers or other parties resulting from the announcement or completion of the proposed transaction, (ix) potential business uncertainty, including changes to existing business relationships, during the pendency of the proposed transaction that could affect Cohu’s or Xcerra’s financial performance, (x) certain restrictions during the pendency of the proposed transaction that may impact Cohu’s or Xcerra’s ability to pursue certain business opportunities or strategic transactions, (xi) the adverse impact to Cohu’s operating results from interest expense on the financing debt, rising interest rates, and any restrictions on operations related to such debt, and (xii) continued availability of capital and financing and rating agency actions. These and other risks and uncertainties are discussed more fully in Cohu's filings with the Securities and Exchange Commission, including the most recently filed Form 10-K and Form 10-Q, and in the Registration Statement on Form S-4 that has been filed by Cohu with the SEC containing a prospectus with respect to the Cohu common stock to be issued in the proposed Xcerra transaction and a joint proxy statement of Cohu and Xcerra in connection with the proposed transaction that is or will be contained therein. The forward-looking statements included in this release are not assurances, and speak only as of the date of this release, and Cohu does not undertake any obligation to update these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of 1933,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Cohu, Xcerra, certain of their respective directors, executive officers, members of management and employees may, under the rules of the SEC, be deemed to be participants in the solicitation of proxies in connection with the proposed transaction. Information regarding the persons who may, under the rules of the SEC, be deemed “participants” in the solicitation of proxies in connection with the proposed transaction, and a description of their direct and indirect interests in the proposed transaction, which may differ from the interests of Cohu stockholders or Xcerra stockholders generally, is set forth in the Joint Proxy Statement/Prospectus filed with the SEC. Information concerning Cohu’s directors and executive officers and their beneficial ownership of Cohu’s common stock is set forth in Cohu’s Registration Statement on Form S-4, its annual proxy statement on Schedule 14A filed with the SEC on April 3, 2018, and in its Annual Report on Form 10-K for the year ended December 30, 2017. These documents are available free of charge at the SEC’s website at www.sec.gov or by visiting the Cohu Investor Relations page on its corporate website at https://Cohu.gcs-web.com. Information regarding Xcerra’s directors and executive officers and their beneficial ownership of Xcerra common stock is also set forth in Xcerra’s proxy statement on Schedule 14A filed with the SEC on September 5, 2017, and in its Annual Report on Form 10-K for the year ended July 31, 2017, and is supplemented by other public filings made, and to be made, with the SEC by Xcerra. These documents are available free of charge at the SEC’s website at www.sec.gov or by visiting the Xcerra Investor Relations page on its corporate website at https://Xcerra.com/investors. Other information regarding the participants in the proxy solicitations and a description of their direct and indirect interests, by security holdings or otherwise, are contained in the Joint Proxy Statement/Prospectus regarding the proposed transaction and other relevant materials that have been or will be filed with the SEC when they become available. You may obtain copies of the documents described in the preceding sentence when they become available free of charge by visiting the SEC’s website at www.sec.gov.</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You Can Find It:</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June 21, 2018, Cohu filed with the SEC the Registration Statement containing the Joint Proxy Statement/Prospectus, which was subsequently amended on July 26, 2018, and declared effective by the SEC on July 30, 2018. The definitive Joint Proxy Statement/Prospectus was first delivered to the stockholders of Cohu and Xcerra on or around July 30, 2018. This communication is not a substitute for the Registration Statement, the definitive Joint Proxy Statement/Prospectus or any other documents that Cohu or Xcerra may file or may have filed with the SEC, or will send or have sent to stockholders in connection with the proposed transaction. INVESTORS AND SECURITY HOLDERS ARE URGED TO READ ALL RELEVANT DOCUMENTS FILED WITH THE SEC, INCLUDING THE DEFINITIVE JOINT PROXY STATEMENT/PROSPECTUS, CAREFULLY AND IN THEIR ENTIRETY BECAUSE THEY WILL CONTAIN IMPORTANT INFORMATION. Investors and security holders may obtain free copies of these documents and other documents filed by Cohu and Xcerra with the SEC at the SEC’s website at www.sec.gov. In addition, investors and security holders may obtain free copies of the documents filed with the SEC by visiting the Cohu Investor Relations page on its corporate website at https://cohu.gcs-web.com or by contacting Cohu Investor Relations by telephone at (858) 848-8106 or by mail at Cohu Corporate Headquarters, 12367 Crosthwaite Circle, Poway, CA 92064, attention Jeffrey D. Jones, or by visiting the Xcerra Investor Relations page on its corporate website at https://xcerra.com/investors or by contacting Xcerra Investor Relations by telephone at (781) 467-5063 or by mail at Xcerra Investor Relations, Xcerra Corporation, 825 University Avenue, Norwood, MA 02062, attention Rich Yerganian.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press releases and other information of interest to investors, please visit Cohu’s website at www.cohu.com.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Jeffrey D. Jones - Investor Relations (858) 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ind w:left="240"/>
              <w:spacing w:after="0"/>
              <w:rPr>
                <w:sz w:val="20"/>
                <w:szCs w:val="20"/>
                <w:color w:val="auto"/>
              </w:rPr>
            </w:pPr>
            <w:r>
              <w:rPr>
                <w:rFonts w:ascii="Arial" w:cs="Arial" w:eastAsia="Arial" w:hAnsi="Arial"/>
                <w:sz w:val="18"/>
                <w:szCs w:val="18"/>
                <w:color w:val="auto"/>
              </w:rPr>
              <w:t xml:space="preserve">Three Months Ended </w:t>
            </w:r>
            <w:r>
              <w:rPr>
                <w:rFonts w:ascii="Arial" w:cs="Arial" w:eastAsia="Arial" w:hAnsi="Arial"/>
                <w:sz w:val="30"/>
                <w:szCs w:val="30"/>
                <w:color w:val="auto"/>
                <w:vertAlign w:val="superscript"/>
              </w:rPr>
              <w:t>(1)</w:t>
            </w:r>
          </w:p>
        </w:tc>
        <w:tc>
          <w:tcPr>
            <w:tcW w:w="180" w:type="dxa"/>
            <w:vAlign w:val="bottom"/>
          </w:tcPr>
          <w:p>
            <w:pPr>
              <w:spacing w:after="0"/>
              <w:rPr>
                <w:sz w:val="24"/>
                <w:szCs w:val="24"/>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color w:val="auto"/>
              </w:rPr>
              <w:t xml:space="preserve">Six Months Ended </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June 24,</w:t>
            </w: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June 24,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99,817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93,866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194,967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 and expenses: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sales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58,316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56,736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113,915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11,051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9,466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22,826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19,242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60" w:type="dxa"/>
            <w:vAlign w:val="bottom"/>
            <w:shd w:val="clear" w:color="auto" w:fill="CCEEFF"/>
          </w:tcPr>
          <w:p>
            <w:pPr>
              <w:ind w:left="320"/>
              <w:spacing w:after="0" w:line="243" w:lineRule="exact"/>
              <w:rPr>
                <w:sz w:val="20"/>
                <w:szCs w:val="20"/>
                <w:color w:val="auto"/>
              </w:rPr>
            </w:pPr>
            <w:r>
              <w:rPr>
                <w:rFonts w:ascii="Arial" w:cs="Arial" w:eastAsia="Arial" w:hAnsi="Arial"/>
                <w:sz w:val="17"/>
                <w:szCs w:val="17"/>
                <w:color w:val="auto"/>
              </w:rPr>
              <w:t xml:space="preserve">Selling, general and administrative </w:t>
            </w:r>
            <w:r>
              <w:rPr>
                <w:rFonts w:ascii="Arial" w:cs="Arial" w:eastAsia="Arial" w:hAnsi="Arial"/>
                <w:sz w:val="28"/>
                <w:szCs w:val="28"/>
                <w:color w:val="auto"/>
                <w:vertAlign w:val="superscript"/>
              </w:rPr>
              <w:t>(2)</w:t>
            </w: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16,020</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34,415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86,019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82,222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171,156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155,299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23,811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and other, net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24,365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Income tax provision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19,770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Loss from discontinued operations before taxes </w:t>
            </w:r>
            <w:r>
              <w:rPr>
                <w:rFonts w:ascii="Arial" w:cs="Arial" w:eastAsia="Arial" w:hAnsi="Arial"/>
                <w:sz w:val="29"/>
                <w:szCs w:val="29"/>
                <w:color w:val="auto"/>
                <w:vertAlign w:val="superscript"/>
              </w:rPr>
              <w:t>(3)</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Loss from discontinued operations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11,648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10,430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19,770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Income per share: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0.39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discontinued operations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0.38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0.39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Loss from discontinued operations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0.39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Weighted average shares used in computing income per share: </w:t>
            </w:r>
            <w:r>
              <w:rPr>
                <w:rFonts w:ascii="Arial" w:cs="Arial" w:eastAsia="Arial" w:hAnsi="Arial"/>
                <w:sz w:val="29"/>
                <w:szCs w:val="29"/>
                <w:color w:val="auto"/>
                <w:vertAlign w:val="superscript"/>
              </w:rPr>
              <w:t>(4)</w:t>
            </w:r>
          </w:p>
        </w:tc>
        <w:tc>
          <w:tcPr>
            <w:tcW w:w="7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rPr>
              <w:t>Basic</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28,893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27,708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28,747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Diluted</w:t>
            </w: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29,651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28,725</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29,591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28,488</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360" w:type="dxa"/>
            <w:vAlign w:val="bottom"/>
            <w:tcBorders>
              <w:top w:val="single" w:sz="8" w:color="CCEEFF"/>
              <w:bottom w:val="single" w:sz="8" w:color="auto"/>
            </w:tcBorders>
          </w:tcPr>
          <w:p>
            <w:pPr>
              <w:spacing w:after="0"/>
              <w:rPr>
                <w:sz w:val="3"/>
                <w:szCs w:val="3"/>
                <w:color w:val="auto"/>
              </w:rPr>
            </w:pPr>
          </w:p>
        </w:tc>
        <w:tc>
          <w:tcPr>
            <w:tcW w:w="700" w:type="dxa"/>
            <w:vAlign w:val="bottom"/>
            <w:tcBorders>
              <w:top w:val="single" w:sz="8" w:color="CCEEFF"/>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CCEEFF"/>
              <w:bottom w:val="single" w:sz="8" w:color="auto"/>
            </w:tcBorders>
          </w:tcPr>
          <w:p>
            <w:pPr>
              <w:spacing w:after="0"/>
              <w:rPr>
                <w:sz w:val="3"/>
                <w:szCs w:val="3"/>
                <w:color w:val="auto"/>
              </w:rPr>
            </w:pPr>
          </w:p>
        </w:tc>
        <w:tc>
          <w:tcPr>
            <w:tcW w:w="12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12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right="440" w:hanging="330"/>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three- and six-month periods ended June 30, 2018 were comprised of 13 weeks and 26 weeks, respectively. The three- and six-month periods ended June 24, 2017 were comprised of 13 weeks and 25 weeks, respectively.</w:t>
      </w:r>
    </w:p>
    <w:p>
      <w:pPr>
        <w:spacing w:after="0" w:line="170" w:lineRule="exact"/>
        <w:rPr>
          <w:rFonts w:ascii="Arial" w:cs="Arial" w:eastAsia="Arial" w:hAnsi="Arial"/>
          <w:sz w:val="18"/>
          <w:szCs w:val="18"/>
          <w:color w:val="auto"/>
        </w:rPr>
      </w:pPr>
    </w:p>
    <w:p>
      <w:pPr>
        <w:ind w:left="500" w:right="500" w:hanging="330"/>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SG&amp;A expense for the three- and six-month periods ended June 30, 2018 include Xcerra transaction costs totaling $3.8 million and $4.1 million, respectively.</w:t>
      </w:r>
    </w:p>
    <w:p>
      <w:pPr>
        <w:spacing w:after="0" w:line="170" w:lineRule="exact"/>
        <w:rPr>
          <w:rFonts w:ascii="Arial" w:cs="Arial" w:eastAsia="Arial" w:hAnsi="Arial"/>
          <w:sz w:val="18"/>
          <w:szCs w:val="18"/>
          <w:color w:val="auto"/>
        </w:rPr>
      </w:pPr>
    </w:p>
    <w:p>
      <w:pPr>
        <w:ind w:left="500" w:right="400" w:hanging="330"/>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amounts presented result from an adjustment to the fair value of a contingent consideration receivable recorded in conjunction with the sale of BMS in 2015.</w:t>
      </w:r>
    </w:p>
    <w:p>
      <w:pPr>
        <w:spacing w:after="0" w:line="170" w:lineRule="exact"/>
        <w:rPr>
          <w:rFonts w:ascii="Arial" w:cs="Arial" w:eastAsia="Arial" w:hAnsi="Arial"/>
          <w:sz w:val="18"/>
          <w:szCs w:val="18"/>
          <w:color w:val="auto"/>
        </w:rPr>
      </w:pPr>
    </w:p>
    <w:p>
      <w:pPr>
        <w:ind w:left="500" w:right="180" w:hanging="330"/>
        <w:spacing w:after="0" w:line="25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utilized the "control number" concept in the computation of diluted earnings per share to determine whether a potential common stock instrument is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December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assets:</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investments</w:t>
            </w:r>
          </w:p>
        </w:tc>
        <w:tc>
          <w:tcPr>
            <w:tcW w:w="2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150,873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91,451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63,136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10,986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316,446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Property, plant &amp; equipment, net</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33,537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64,765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5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435,771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420,457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Liabilities &amp; Stockholders’ Equity:</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Deferred profit</w:t>
            </w:r>
          </w:p>
        </w:tc>
        <w:tc>
          <w:tcPr>
            <w:tcW w:w="27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1,709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84,839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86,548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44,760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Stockholders’ equity</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304,463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289,091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&amp; stockholders’ equity</w:t>
            </w:r>
          </w:p>
        </w:tc>
        <w:tc>
          <w:tcPr>
            <w:tcW w:w="25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435,771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420,457</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5600" w:type="dxa"/>
            <w:vAlign w:val="bottom"/>
            <w:tcBorders>
              <w:top w:val="single" w:sz="8" w:color="CCEEFF"/>
              <w:bottom w:val="single" w:sz="8" w:color="auto"/>
            </w:tcBorders>
          </w:tcPr>
          <w:p>
            <w:pPr>
              <w:spacing w:after="0"/>
              <w:rPr>
                <w:sz w:val="24"/>
                <w:szCs w:val="24"/>
                <w:color w:val="auto"/>
              </w:rPr>
            </w:pPr>
          </w:p>
        </w:tc>
        <w:tc>
          <w:tcPr>
            <w:tcW w:w="25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COHU, INC.</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980" w:type="dxa"/>
            <w:vAlign w:val="bottom"/>
            <w:gridSpan w:val="5"/>
          </w:tcPr>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4"/>
            <w:vMerge w:val="restart"/>
          </w:tcPr>
          <w:p>
            <w:pPr>
              <w:jc w:val="center"/>
              <w:ind w:right="140"/>
              <w:spacing w:after="0"/>
              <w:rPr>
                <w:sz w:val="20"/>
                <w:szCs w:val="20"/>
                <w:color w:val="auto"/>
              </w:rPr>
            </w:pPr>
            <w:r>
              <w:rPr>
                <w:rFonts w:ascii="Arial" w:cs="Arial" w:eastAsia="Arial" w:hAnsi="Arial"/>
                <w:sz w:val="18"/>
                <w:szCs w:val="18"/>
                <w:color w:val="auto"/>
                <w:w w:val="90"/>
              </w:rPr>
              <w:t>Three Months Ended</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June 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March 31,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June 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GAAP basis (a)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10,013</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Share-based compensation included in (b):</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 (SG&amp;A)</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1,669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 included in (c):</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676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SG&amp;A</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1,074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Manufacturing transition and severance costs included in SG&amp;A (d)</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contingent consideration included in SG&amp;A (e)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Acquisition costs included in SG&amp;A (f)</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Inventory step-up included in cost of sales (g)</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rPr>
                <w:sz w:val="20"/>
                <w:szCs w:val="20"/>
                <w:color w:val="auto"/>
              </w:rPr>
            </w:pPr>
            <w:r>
              <w:rPr>
                <w:rFonts w:ascii="Arial" w:cs="Arial" w:eastAsia="Arial" w:hAnsi="Arial"/>
                <w:sz w:val="18"/>
                <w:szCs w:val="18"/>
                <w:color w:val="auto"/>
              </w:rPr>
              <w:t>Income from operations - non-GAAP basis (h)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21,290</w:t>
            </w:r>
          </w:p>
        </w:tc>
        <w:tc>
          <w:tcPr>
            <w:tcW w:w="20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12,892</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15,239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Income from continuing operations - GAAP basis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8,122</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Non-GAAP adjustments (as scheduled above)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Tax effect of non-GAAP adjustments (i)</w:t>
            </w:r>
          </w:p>
        </w:tc>
        <w:tc>
          <w:tcPr>
            <w:tcW w:w="2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(501)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 non-GAAP basis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18,835</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13,815</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GAAP income from continuing operations per share -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from continuing operations per share - diluted (j)</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Gross profit - GAAP basis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41,501</w:t>
            </w:r>
          </w:p>
        </w:tc>
        <w:tc>
          <w:tcPr>
            <w:tcW w:w="20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39,551</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37,130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Non-GAAP adjustments to cost of sales (as scheduled above)</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Gross profit - Non-GAAP basis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42,302</w:t>
            </w:r>
          </w:p>
        </w:tc>
        <w:tc>
          <w:tcPr>
            <w:tcW w:w="20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40,348</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38,286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Non-GAAP gross profit as a percentage of net sales</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42.4%</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42.4%</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Operating Expense - GAAP basis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27,703</w:t>
            </w:r>
          </w:p>
        </w:tc>
        <w:tc>
          <w:tcPr>
            <w:tcW w:w="20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29,538</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25,486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Non-GAAP adjustments to R&amp;D and SG&amp;A (as scheduled above)</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(6,691)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Operating Expenses - Non-GAAP basis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21,012</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27,456</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23,047</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Manufacturing transition costs relate principally to employee severance expenses incurred as a result of moving certain manufacturing activities to Asia as part of our cost reduction efforts and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Acquisition costs, fair value adjustment to contingent consideration and inventory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5" w:lineRule="exact"/>
        <w:rPr>
          <w:sz w:val="20"/>
          <w:szCs w:val="20"/>
          <w:color w:val="auto"/>
        </w:rPr>
      </w:pPr>
    </w:p>
    <w:p>
      <w:pPr>
        <w:ind w:left="480" w:hanging="391"/>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13.8%, 10.5% and 12.4% of net sales, respectively.</w:t>
      </w:r>
    </w:p>
    <w:p>
      <w:pPr>
        <w:spacing w:after="0" w:line="9" w:lineRule="exact"/>
        <w:rPr>
          <w:rFonts w:ascii="Arial" w:cs="Arial" w:eastAsia="Arial" w:hAnsi="Arial"/>
          <w:sz w:val="18"/>
          <w:szCs w:val="18"/>
          <w:color w:val="auto"/>
        </w:rPr>
      </w:pPr>
    </w:p>
    <w:p>
      <w:pPr>
        <w:ind w:left="480" w:hanging="391"/>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9" w:lineRule="exact"/>
        <w:rPr>
          <w:rFonts w:ascii="Arial" w:cs="Arial" w:eastAsia="Arial" w:hAnsi="Arial"/>
          <w:sz w:val="18"/>
          <w:szCs w:val="18"/>
          <w:color w:val="auto"/>
        </w:rPr>
      </w:pPr>
    </w:p>
    <w:p>
      <w:pPr>
        <w:ind w:left="480" w:hanging="391"/>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9" w:lineRule="exact"/>
        <w:rPr>
          <w:rFonts w:ascii="Arial" w:cs="Arial" w:eastAsia="Arial" w:hAnsi="Arial"/>
          <w:sz w:val="18"/>
          <w:szCs w:val="18"/>
          <w:color w:val="auto"/>
        </w:rPr>
      </w:pPr>
    </w:p>
    <w:p>
      <w:pPr>
        <w:ind w:left="480" w:hanging="391"/>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manufacturing transition and employee severance costs.</w:t>
      </w:r>
    </w:p>
    <w:p>
      <w:pPr>
        <w:spacing w:after="0" w:line="9" w:lineRule="exact"/>
        <w:rPr>
          <w:rFonts w:ascii="Arial" w:cs="Arial" w:eastAsia="Arial" w:hAnsi="Arial"/>
          <w:sz w:val="18"/>
          <w:szCs w:val="18"/>
          <w:color w:val="auto"/>
        </w:rPr>
      </w:pPr>
    </w:p>
    <w:p>
      <w:pPr>
        <w:ind w:left="480" w:hanging="391"/>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fair value adjustment to contingent consideration related to the acquisition of Kita.</w:t>
      </w:r>
    </w:p>
    <w:p>
      <w:pPr>
        <w:spacing w:after="0" w:line="9" w:lineRule="exact"/>
        <w:rPr>
          <w:rFonts w:ascii="Arial" w:cs="Arial" w:eastAsia="Arial" w:hAnsi="Arial"/>
          <w:sz w:val="18"/>
          <w:szCs w:val="18"/>
          <w:color w:val="auto"/>
        </w:rPr>
      </w:pPr>
    </w:p>
    <w:p>
      <w:pPr>
        <w:ind w:left="480" w:hanging="391"/>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professional fees and other direct incremental expenses incurred related to acquisitions.</w:t>
      </w:r>
    </w:p>
    <w:p>
      <w:pPr>
        <w:spacing w:after="0" w:line="9" w:lineRule="exact"/>
        <w:rPr>
          <w:rFonts w:ascii="Arial" w:cs="Arial" w:eastAsia="Arial" w:hAnsi="Arial"/>
          <w:sz w:val="18"/>
          <w:szCs w:val="18"/>
          <w:color w:val="auto"/>
        </w:rPr>
      </w:pPr>
    </w:p>
    <w:p>
      <w:pPr>
        <w:ind w:left="480" w:hanging="391"/>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inventory step-up costs incurred related to the acquisition of Kita.</w:t>
      </w:r>
    </w:p>
    <w:p>
      <w:pPr>
        <w:spacing w:after="0" w:line="9" w:lineRule="exact"/>
        <w:rPr>
          <w:rFonts w:ascii="Arial" w:cs="Arial" w:eastAsia="Arial" w:hAnsi="Arial"/>
          <w:sz w:val="18"/>
          <w:szCs w:val="18"/>
          <w:color w:val="auto"/>
        </w:rPr>
      </w:pPr>
    </w:p>
    <w:p>
      <w:pPr>
        <w:ind w:left="480" w:hanging="391"/>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21.3%, 13.5% and 16.2% of net sales, respectively.</w:t>
      </w:r>
    </w:p>
    <w:p>
      <w:pPr>
        <w:spacing w:after="0" w:line="9" w:lineRule="exact"/>
        <w:rPr>
          <w:rFonts w:ascii="Arial" w:cs="Arial" w:eastAsia="Arial" w:hAnsi="Arial"/>
          <w:sz w:val="18"/>
          <w:szCs w:val="18"/>
          <w:color w:val="auto"/>
        </w:rPr>
      </w:pPr>
    </w:p>
    <w:p>
      <w:pPr>
        <w:ind w:left="480" w:hanging="391"/>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9" w:lineRule="exact"/>
        <w:rPr>
          <w:rFonts w:ascii="Arial" w:cs="Arial" w:eastAsia="Arial" w:hAnsi="Arial"/>
          <w:sz w:val="18"/>
          <w:szCs w:val="18"/>
          <w:color w:val="auto"/>
        </w:rPr>
      </w:pPr>
    </w:p>
    <w:p>
      <w:pPr>
        <w:ind w:left="480" w:hanging="391"/>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periods presented were computed using the number of GAAP diluted shares outstanding.</w:t>
      </w:r>
    </w:p>
    <w:p>
      <w:pPr>
        <w:sectPr>
          <w:pgSz w:w="11900" w:h="16838" w:orient="portrait"/>
          <w:cols w:equalWidth="0" w:num="1">
            <w:col w:w="11420"/>
          </w:cols>
          <w:pgMar w:left="240" w:top="580" w:right="239" w:bottom="0" w:gutter="0" w:footer="0" w:header="0"/>
        </w:sectPr>
      </w:pPr>
    </w:p>
    <w:bookmarkStart w:id="13" w:name="page14"/>
    <w:bookmarkEnd w:id="13"/>
    <w:p>
      <w:pPr>
        <w:spacing w:after="0"/>
        <w:tabs>
          <w:tab w:leader="none" w:pos="4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COHU, INC.</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60" w:type="dxa"/>
            <w:vAlign w:val="bottom"/>
          </w:tcPr>
          <w:p>
            <w:pPr>
              <w:spacing w:after="0"/>
              <w:rPr>
                <w:sz w:val="20"/>
                <w:szCs w:val="20"/>
                <w:color w:val="auto"/>
              </w:rPr>
            </w:pPr>
          </w:p>
        </w:tc>
        <w:tc>
          <w:tcPr>
            <w:tcW w:w="3120" w:type="dxa"/>
            <w:vAlign w:val="bottom"/>
            <w:gridSpan w:val="6"/>
            <w:vMerge w:val="restart"/>
          </w:tcPr>
          <w:p>
            <w:pPr>
              <w:jc w:val="right"/>
              <w:ind w:right="11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2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June 30,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June 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GAAP basis (a)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Share-based compensation included in (b):</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 (SG&amp;A)</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3,617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 included in (c):</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SG&amp;A</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2,093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Manufacturing transition and severance costs included in SG&amp;A (d)</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contingent consideration included in SG&amp;A (e)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Acquisition costs included in SG&amp;A (f)</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4,144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Inventory step-up included in cost of sales (g)</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40" w:type="dxa"/>
            <w:vAlign w:val="bottom"/>
            <w:gridSpan w:val="2"/>
          </w:tcPr>
          <w:p>
            <w:pPr>
              <w:spacing w:after="0"/>
              <w:rPr>
                <w:sz w:val="20"/>
                <w:szCs w:val="20"/>
                <w:color w:val="auto"/>
              </w:rPr>
            </w:pPr>
            <w:r>
              <w:rPr>
                <w:rFonts w:ascii="Arial" w:cs="Arial" w:eastAsia="Arial" w:hAnsi="Arial"/>
                <w:sz w:val="18"/>
                <w:szCs w:val="18"/>
                <w:color w:val="auto"/>
              </w:rPr>
              <w:t>Income from operations - non-GAAP basis (h)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34,182</w:t>
            </w:r>
          </w:p>
        </w:tc>
        <w:tc>
          <w:tcPr>
            <w:tcW w:w="20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26,724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Income from continuing operations - GAAP basis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19,770</w:t>
            </w:r>
          </w:p>
        </w:tc>
        <w:tc>
          <w:tcPr>
            <w:tcW w:w="20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Non-GAAP adjustments (as scheduled above)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Tax effect of non-GAAP adjustments (i)</w:t>
            </w:r>
          </w:p>
        </w:tc>
        <w:tc>
          <w:tcPr>
            <w:tcW w:w="2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(806)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 non-GAAP basis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29,335</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GAAP income per share -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per share - diluted (j)</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Gross profit - GAAP basis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81,052</w:t>
            </w:r>
          </w:p>
        </w:tc>
        <w:tc>
          <w:tcPr>
            <w:tcW w:w="20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69,386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Non-GAAP adjustments to cost of sales (as scheduled above)</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Gross profit - Non-GAAP basis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82,650</w:t>
            </w:r>
          </w:p>
        </w:tc>
        <w:tc>
          <w:tcPr>
            <w:tcW w:w="20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71,740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Non-GAAP gross profit as a percentage of net sales</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42.4%</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Operating Expense- GAAP basis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57,241</w:t>
            </w:r>
          </w:p>
        </w:tc>
        <w:tc>
          <w:tcPr>
            <w:tcW w:w="20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49,722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Non-GAAP adjustments to R&amp;D and SG&amp;A (as scheduled above)</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Operating Expenses - Non-GAAP basis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48,468</w:t>
            </w: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45,016</w:t>
            </w: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Manufacturing transition costs relate principally to employee severance expenses incurred as a result of moving certain manufacturing activities to Asia as part of our cost reduction efforts and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Acquisition costs, fair value adjustment to contingent consideration and inventory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5" w:lineRule="exact"/>
        <w:rPr>
          <w:sz w:val="20"/>
          <w:szCs w:val="20"/>
          <w:color w:val="auto"/>
        </w:rPr>
      </w:pPr>
    </w:p>
    <w:p>
      <w:pPr>
        <w:ind w:left="320" w:hanging="24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12.2% and 11.2% of net sales, respectively.</w:t>
      </w:r>
    </w:p>
    <w:p>
      <w:pPr>
        <w:spacing w:after="0" w:line="9" w:lineRule="exact"/>
        <w:rPr>
          <w:rFonts w:ascii="Arial" w:cs="Arial" w:eastAsia="Arial" w:hAnsi="Arial"/>
          <w:sz w:val="18"/>
          <w:szCs w:val="18"/>
          <w:color w:val="auto"/>
        </w:rPr>
      </w:pPr>
    </w:p>
    <w:p>
      <w:pPr>
        <w:ind w:left="320" w:hanging="24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9" w:lineRule="exact"/>
        <w:rPr>
          <w:rFonts w:ascii="Arial" w:cs="Arial" w:eastAsia="Arial" w:hAnsi="Arial"/>
          <w:sz w:val="18"/>
          <w:szCs w:val="18"/>
          <w:color w:val="auto"/>
        </w:rPr>
      </w:pPr>
    </w:p>
    <w:p>
      <w:pPr>
        <w:ind w:left="320" w:hanging="24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9" w:lineRule="exact"/>
        <w:rPr>
          <w:rFonts w:ascii="Arial" w:cs="Arial" w:eastAsia="Arial" w:hAnsi="Arial"/>
          <w:sz w:val="18"/>
          <w:szCs w:val="18"/>
          <w:color w:val="auto"/>
        </w:rPr>
      </w:pPr>
    </w:p>
    <w:p>
      <w:pPr>
        <w:ind w:left="320" w:hanging="24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manufacturing transition and employee severance costs.</w:t>
      </w:r>
    </w:p>
    <w:p>
      <w:pPr>
        <w:spacing w:after="0" w:line="9" w:lineRule="exact"/>
        <w:rPr>
          <w:rFonts w:ascii="Arial" w:cs="Arial" w:eastAsia="Arial" w:hAnsi="Arial"/>
          <w:sz w:val="18"/>
          <w:szCs w:val="18"/>
          <w:color w:val="auto"/>
        </w:rPr>
      </w:pPr>
    </w:p>
    <w:p>
      <w:pPr>
        <w:ind w:left="320" w:hanging="24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fair value adjustment to contingent consideration related to the acquisition of Kita.</w:t>
      </w:r>
    </w:p>
    <w:p>
      <w:pPr>
        <w:spacing w:after="0" w:line="9" w:lineRule="exact"/>
        <w:rPr>
          <w:rFonts w:ascii="Arial" w:cs="Arial" w:eastAsia="Arial" w:hAnsi="Arial"/>
          <w:sz w:val="18"/>
          <w:szCs w:val="18"/>
          <w:color w:val="auto"/>
        </w:rPr>
      </w:pPr>
    </w:p>
    <w:p>
      <w:pPr>
        <w:ind w:left="320" w:hanging="24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professional fees and other direct incremental expenses incurred related to the acquisitions.</w:t>
      </w:r>
    </w:p>
    <w:p>
      <w:pPr>
        <w:spacing w:after="0" w:line="9" w:lineRule="exact"/>
        <w:rPr>
          <w:rFonts w:ascii="Arial" w:cs="Arial" w:eastAsia="Arial" w:hAnsi="Arial"/>
          <w:sz w:val="18"/>
          <w:szCs w:val="18"/>
          <w:color w:val="auto"/>
        </w:rPr>
      </w:pPr>
    </w:p>
    <w:p>
      <w:pPr>
        <w:ind w:left="320" w:hanging="24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inventory step-up costs incurred related to acquisitions.</w:t>
      </w:r>
    </w:p>
    <w:p>
      <w:pPr>
        <w:spacing w:after="0" w:line="9" w:lineRule="exact"/>
        <w:rPr>
          <w:rFonts w:ascii="Arial" w:cs="Arial" w:eastAsia="Arial" w:hAnsi="Arial"/>
          <w:sz w:val="18"/>
          <w:szCs w:val="18"/>
          <w:color w:val="auto"/>
        </w:rPr>
      </w:pPr>
    </w:p>
    <w:p>
      <w:pPr>
        <w:ind w:left="320" w:hanging="24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17.5% and 15.3% of net sales, respectively.</w:t>
      </w:r>
    </w:p>
    <w:p>
      <w:pPr>
        <w:spacing w:after="0" w:line="9" w:lineRule="exact"/>
        <w:rPr>
          <w:rFonts w:ascii="Arial" w:cs="Arial" w:eastAsia="Arial" w:hAnsi="Arial"/>
          <w:sz w:val="18"/>
          <w:szCs w:val="18"/>
          <w:color w:val="auto"/>
        </w:rPr>
      </w:pPr>
    </w:p>
    <w:p>
      <w:pPr>
        <w:ind w:left="320" w:hanging="24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9" w:lineRule="exact"/>
        <w:rPr>
          <w:rFonts w:ascii="Arial" w:cs="Arial" w:eastAsia="Arial" w:hAnsi="Arial"/>
          <w:sz w:val="18"/>
          <w:szCs w:val="18"/>
          <w:color w:val="auto"/>
        </w:rPr>
      </w:pPr>
    </w:p>
    <w:p>
      <w:pPr>
        <w:ind w:left="320" w:hanging="24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periods presented were computed using the number of GAAP diluted shares outstanding.</w:t>
      </w:r>
    </w:p>
    <w:sectPr>
      <w:pgSz w:w="11900" w:h="16838" w:orient="portrait"/>
      <w:cols w:equalWidth="0" w:num="1">
        <w:col w:w="11420"/>
      </w:cols>
      <w:pgMar w:left="240" w:top="580"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2019-12-28T19:53:45Z</dcterms:created>
  <dcterms:modified xsi:type="dcterms:W3CDTF">2019-12-28T19:53:45Z</dcterms:modified>
</cp:coreProperties>
</file>