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4680" w:type="dxa"/>
            <w:vAlign w:val="bottom"/>
          </w:tcPr>
          <w:p>
            <w:pPr>
              <w:jc w:val="center"/>
              <w:ind w:right="436"/>
              <w:spacing w:after="0"/>
              <w:rPr>
                <w:sz w:val="20"/>
                <w:szCs w:val="20"/>
                <w:color w:val="auto"/>
              </w:rPr>
            </w:pPr>
            <w:r>
              <w:rPr>
                <w:rFonts w:ascii="Arial" w:cs="Arial" w:eastAsia="Arial" w:hAnsi="Arial"/>
                <w:sz w:val="18"/>
                <w:szCs w:val="18"/>
                <w:color w:val="auto"/>
                <w:w w:val="94"/>
              </w:rPr>
              <w:t>UNITED STATES</w:t>
            </w:r>
          </w:p>
        </w:tc>
        <w:tc>
          <w:tcPr>
            <w:tcW w:w="20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4680" w:type="dxa"/>
            <w:vAlign w:val="bottom"/>
          </w:tcPr>
          <w:p>
            <w:pPr>
              <w:jc w:val="center"/>
              <w:ind w:right="416"/>
              <w:spacing w:after="0"/>
              <w:rPr>
                <w:sz w:val="20"/>
                <w:szCs w:val="20"/>
                <w:color w:val="auto"/>
              </w:rPr>
            </w:pPr>
            <w:r>
              <w:rPr>
                <w:rFonts w:ascii="Arial" w:cs="Arial" w:eastAsia="Arial" w:hAnsi="Arial"/>
                <w:sz w:val="18"/>
                <w:szCs w:val="18"/>
                <w:color w:val="auto"/>
                <w:w w:val="96"/>
              </w:rPr>
              <w:t>SECURITIES AND EXCHANGE COMMISSION</w:t>
            </w:r>
          </w:p>
        </w:tc>
        <w:tc>
          <w:tcPr>
            <w:tcW w:w="20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4680" w:type="dxa"/>
            <w:vAlign w:val="bottom"/>
          </w:tcPr>
          <w:p>
            <w:pPr>
              <w:jc w:val="center"/>
              <w:ind w:right="436"/>
              <w:spacing w:after="0"/>
              <w:rPr>
                <w:sz w:val="20"/>
                <w:szCs w:val="20"/>
                <w:color w:val="auto"/>
              </w:rPr>
            </w:pPr>
            <w:r>
              <w:rPr>
                <w:rFonts w:ascii="Arial" w:cs="Arial" w:eastAsia="Arial" w:hAnsi="Arial"/>
                <w:sz w:val="18"/>
                <w:szCs w:val="18"/>
                <w:color w:val="auto"/>
                <w:w w:val="90"/>
              </w:rPr>
              <w:t>Washington, D.C. 20549</w:t>
            </w:r>
          </w:p>
        </w:tc>
        <w:tc>
          <w:tcPr>
            <w:tcW w:w="2040" w:type="dxa"/>
            <w:vAlign w:val="bottom"/>
          </w:tcPr>
          <w:p>
            <w:pPr>
              <w:spacing w:after="0"/>
              <w:rPr>
                <w:sz w:val="20"/>
                <w:szCs w:val="20"/>
                <w:color w:val="auto"/>
              </w:rPr>
            </w:pPr>
          </w:p>
        </w:tc>
      </w:tr>
      <w:tr>
        <w:trPr>
          <w:trHeight w:val="596"/>
        </w:trPr>
        <w:tc>
          <w:tcPr>
            <w:tcW w:w="3640" w:type="dxa"/>
            <w:vAlign w:val="bottom"/>
          </w:tcPr>
          <w:p>
            <w:pPr>
              <w:spacing w:after="0"/>
              <w:rPr>
                <w:sz w:val="24"/>
                <w:szCs w:val="24"/>
                <w:color w:val="auto"/>
              </w:rPr>
            </w:pPr>
          </w:p>
        </w:tc>
        <w:tc>
          <w:tcPr>
            <w:tcW w:w="4680" w:type="dxa"/>
            <w:vAlign w:val="bottom"/>
          </w:tcPr>
          <w:p>
            <w:pPr>
              <w:jc w:val="center"/>
              <w:ind w:right="436"/>
              <w:spacing w:after="0"/>
              <w:rPr>
                <w:sz w:val="20"/>
                <w:szCs w:val="20"/>
                <w:color w:val="auto"/>
              </w:rPr>
            </w:pPr>
            <w:r>
              <w:rPr>
                <w:rFonts w:ascii="Arial" w:cs="Arial" w:eastAsia="Arial" w:hAnsi="Arial"/>
                <w:sz w:val="32"/>
                <w:szCs w:val="32"/>
                <w:color w:val="auto"/>
                <w:w w:val="98"/>
              </w:rPr>
              <w:t>FORM 8-K</w:t>
            </w:r>
          </w:p>
        </w:tc>
        <w:tc>
          <w:tcPr>
            <w:tcW w:w="2040" w:type="dxa"/>
            <w:vAlign w:val="bottom"/>
          </w:tcPr>
          <w:p>
            <w:pPr>
              <w:spacing w:after="0"/>
              <w:rPr>
                <w:sz w:val="24"/>
                <w:szCs w:val="24"/>
                <w:color w:val="auto"/>
              </w:rPr>
            </w:pPr>
          </w:p>
        </w:tc>
      </w:tr>
      <w:tr>
        <w:trPr>
          <w:trHeight w:val="417"/>
        </w:trPr>
        <w:tc>
          <w:tcPr>
            <w:tcW w:w="3640" w:type="dxa"/>
            <w:vAlign w:val="bottom"/>
          </w:tcPr>
          <w:p>
            <w:pPr>
              <w:spacing w:after="0"/>
              <w:rPr>
                <w:sz w:val="24"/>
                <w:szCs w:val="24"/>
                <w:color w:val="auto"/>
              </w:rPr>
            </w:pPr>
          </w:p>
        </w:tc>
        <w:tc>
          <w:tcPr>
            <w:tcW w:w="4680" w:type="dxa"/>
            <w:vAlign w:val="bottom"/>
          </w:tcPr>
          <w:p>
            <w:pPr>
              <w:jc w:val="center"/>
              <w:ind w:right="416"/>
              <w:spacing w:after="0"/>
              <w:rPr>
                <w:sz w:val="20"/>
                <w:szCs w:val="20"/>
                <w:color w:val="auto"/>
              </w:rPr>
            </w:pPr>
            <w:r>
              <w:rPr>
                <w:rFonts w:ascii="Arial" w:cs="Arial" w:eastAsia="Arial" w:hAnsi="Arial"/>
                <w:sz w:val="18"/>
                <w:szCs w:val="18"/>
                <w:color w:val="auto"/>
                <w:w w:val="92"/>
              </w:rPr>
              <w:t>CURRENT REPORT</w:t>
            </w:r>
          </w:p>
        </w:tc>
        <w:tc>
          <w:tcPr>
            <w:tcW w:w="2040" w:type="dxa"/>
            <w:vAlign w:val="bottom"/>
          </w:tcPr>
          <w:p>
            <w:pPr>
              <w:spacing w:after="0"/>
              <w:rPr>
                <w:sz w:val="24"/>
                <w:szCs w:val="24"/>
                <w:color w:val="auto"/>
              </w:rPr>
            </w:pPr>
          </w:p>
        </w:tc>
      </w:tr>
      <w:tr>
        <w:trPr>
          <w:trHeight w:val="432"/>
        </w:trPr>
        <w:tc>
          <w:tcPr>
            <w:tcW w:w="8320" w:type="dxa"/>
            <w:vAlign w:val="bottom"/>
            <w:gridSpan w:val="2"/>
          </w:tcPr>
          <w:p>
            <w:pPr>
              <w:jc w:val="center"/>
              <w:ind w:left="3010"/>
              <w:spacing w:after="0"/>
              <w:rPr>
                <w:sz w:val="20"/>
                <w:szCs w:val="20"/>
                <w:color w:val="auto"/>
              </w:rPr>
            </w:pPr>
            <w:r>
              <w:rPr>
                <w:rFonts w:ascii="Arial" w:cs="Arial" w:eastAsia="Arial" w:hAnsi="Arial"/>
                <w:sz w:val="18"/>
                <w:szCs w:val="18"/>
                <w:color w:val="auto"/>
                <w:w w:val="90"/>
              </w:rPr>
              <w:t>Pursuant to Section 13 or 15(d) of the Securities Exchange Act of 1934</w:t>
            </w:r>
          </w:p>
        </w:tc>
        <w:tc>
          <w:tcPr>
            <w:tcW w:w="2040" w:type="dxa"/>
            <w:vAlign w:val="bottom"/>
          </w:tcPr>
          <w:p>
            <w:pPr>
              <w:spacing w:after="0"/>
              <w:rPr>
                <w:sz w:val="24"/>
                <w:szCs w:val="24"/>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w w:val="92"/>
              </w:rPr>
              <w:t>Date of Report (Date of Earliest Event Reported):</w:t>
            </w:r>
          </w:p>
        </w:tc>
        <w:tc>
          <w:tcPr>
            <w:tcW w:w="4680" w:type="dxa"/>
            <w:vAlign w:val="bottom"/>
          </w:tcPr>
          <w:p>
            <w:pPr>
              <w:spacing w:after="0"/>
              <w:rPr>
                <w:sz w:val="24"/>
                <w:szCs w:val="24"/>
                <w:color w:val="auto"/>
              </w:rPr>
            </w:pPr>
          </w:p>
        </w:tc>
        <w:tc>
          <w:tcPr>
            <w:tcW w:w="2040" w:type="dxa"/>
            <w:vAlign w:val="bottom"/>
          </w:tcPr>
          <w:p>
            <w:pPr>
              <w:jc w:val="right"/>
              <w:ind w:right="930"/>
              <w:spacing w:after="0"/>
              <w:rPr>
                <w:sz w:val="20"/>
                <w:szCs w:val="20"/>
                <w:color w:val="auto"/>
              </w:rPr>
            </w:pPr>
            <w:r>
              <w:rPr>
                <w:rFonts w:ascii="Arial" w:cs="Arial" w:eastAsia="Arial" w:hAnsi="Arial"/>
                <w:sz w:val="18"/>
                <w:szCs w:val="18"/>
                <w:color w:val="auto"/>
                <w:w w:val="93"/>
              </w:rPr>
              <w:t>July 26, 2018</w:t>
            </w:r>
          </w:p>
        </w:tc>
      </w:tr>
      <w:tr>
        <w:trPr>
          <w:trHeight w:val="701"/>
        </w:trPr>
        <w:tc>
          <w:tcPr>
            <w:tcW w:w="3640" w:type="dxa"/>
            <w:vAlign w:val="bottom"/>
          </w:tcPr>
          <w:p>
            <w:pPr>
              <w:spacing w:after="0"/>
              <w:rPr>
                <w:sz w:val="24"/>
                <w:szCs w:val="24"/>
                <w:color w:val="auto"/>
              </w:rPr>
            </w:pPr>
          </w:p>
        </w:tc>
        <w:tc>
          <w:tcPr>
            <w:tcW w:w="4680" w:type="dxa"/>
            <w:vAlign w:val="bottom"/>
          </w:tcPr>
          <w:p>
            <w:pPr>
              <w:jc w:val="center"/>
              <w:ind w:right="436"/>
              <w:spacing w:after="0"/>
              <w:rPr>
                <w:sz w:val="20"/>
                <w:szCs w:val="20"/>
                <w:color w:val="auto"/>
              </w:rPr>
            </w:pPr>
            <w:r>
              <w:rPr>
                <w:rFonts w:ascii="Arial" w:cs="Arial" w:eastAsia="Arial" w:hAnsi="Arial"/>
                <w:sz w:val="43"/>
                <w:szCs w:val="43"/>
                <w:color w:val="auto"/>
                <w:w w:val="92"/>
              </w:rPr>
              <w:t>Cohu, Inc.</w:t>
            </w:r>
          </w:p>
        </w:tc>
        <w:tc>
          <w:tcPr>
            <w:tcW w:w="204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4680" w:type="dxa"/>
            <w:vAlign w:val="bottom"/>
          </w:tcPr>
          <w:p>
            <w:pPr>
              <w:jc w:val="right"/>
              <w:ind w:right="616"/>
              <w:spacing w:after="0"/>
              <w:rPr>
                <w:sz w:val="20"/>
                <w:szCs w:val="20"/>
                <w:color w:val="auto"/>
              </w:rPr>
            </w:pPr>
            <w:r>
              <w:rPr>
                <w:rFonts w:ascii="Arial" w:cs="Arial" w:eastAsia="Arial" w:hAnsi="Arial"/>
                <w:sz w:val="18"/>
                <w:szCs w:val="18"/>
                <w:color w:val="auto"/>
                <w:w w:val="93"/>
              </w:rPr>
              <w:t>__________________________________________</w:t>
            </w:r>
          </w:p>
        </w:tc>
        <w:tc>
          <w:tcPr>
            <w:tcW w:w="204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4680" w:type="dxa"/>
            <w:vAlign w:val="bottom"/>
          </w:tcPr>
          <w:p>
            <w:pPr>
              <w:jc w:val="center"/>
              <w:ind w:right="416"/>
              <w:spacing w:after="0"/>
              <w:rPr>
                <w:sz w:val="20"/>
                <w:szCs w:val="20"/>
                <w:color w:val="auto"/>
              </w:rPr>
            </w:pPr>
            <w:r>
              <w:rPr>
                <w:rFonts w:ascii="Arial" w:cs="Arial" w:eastAsia="Arial" w:hAnsi="Arial"/>
                <w:sz w:val="18"/>
                <w:szCs w:val="18"/>
                <w:color w:val="auto"/>
                <w:w w:val="90"/>
              </w:rPr>
              <w:t>(Exact name of registrant as specified in its charter)</w:t>
            </w:r>
          </w:p>
        </w:tc>
        <w:tc>
          <w:tcPr>
            <w:tcW w:w="2040" w:type="dxa"/>
            <w:vAlign w:val="bottom"/>
          </w:tcPr>
          <w:p>
            <w:pPr>
              <w:spacing w:after="0"/>
              <w:rPr>
                <w:sz w:val="24"/>
                <w:szCs w:val="24"/>
                <w:color w:val="auto"/>
              </w:rPr>
            </w:pPr>
          </w:p>
        </w:tc>
      </w:tr>
      <w:tr>
        <w:trPr>
          <w:trHeight w:val="634"/>
        </w:trPr>
        <w:tc>
          <w:tcPr>
            <w:tcW w:w="3640" w:type="dxa"/>
            <w:vAlign w:val="bottom"/>
          </w:tcPr>
          <w:p>
            <w:pPr>
              <w:jc w:val="center"/>
              <w:ind w:left="650"/>
              <w:spacing w:after="0"/>
              <w:rPr>
                <w:sz w:val="20"/>
                <w:szCs w:val="20"/>
                <w:color w:val="auto"/>
              </w:rPr>
            </w:pPr>
            <w:r>
              <w:rPr>
                <w:rFonts w:ascii="Arial" w:cs="Arial" w:eastAsia="Arial" w:hAnsi="Arial"/>
                <w:sz w:val="18"/>
                <w:szCs w:val="18"/>
                <w:color w:val="auto"/>
                <w:w w:val="92"/>
              </w:rPr>
              <w:t>Delaware</w:t>
            </w:r>
          </w:p>
        </w:tc>
        <w:tc>
          <w:tcPr>
            <w:tcW w:w="4680" w:type="dxa"/>
            <w:vAlign w:val="bottom"/>
          </w:tcPr>
          <w:p>
            <w:pPr>
              <w:jc w:val="right"/>
              <w:ind w:right="1656"/>
              <w:spacing w:after="0"/>
              <w:rPr>
                <w:sz w:val="20"/>
                <w:szCs w:val="20"/>
                <w:color w:val="auto"/>
              </w:rPr>
            </w:pPr>
            <w:r>
              <w:rPr>
                <w:rFonts w:ascii="Arial" w:cs="Arial" w:eastAsia="Arial" w:hAnsi="Arial"/>
                <w:sz w:val="18"/>
                <w:szCs w:val="18"/>
                <w:color w:val="auto"/>
              </w:rPr>
              <w:t>001-04298</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89"/>
              </w:rPr>
              <w:t>95-1934119</w:t>
            </w:r>
          </w:p>
        </w:tc>
      </w:tr>
      <w:tr>
        <w:trPr>
          <w:trHeight w:val="216"/>
        </w:trPr>
        <w:tc>
          <w:tcPr>
            <w:tcW w:w="3640" w:type="dxa"/>
            <w:vAlign w:val="bottom"/>
          </w:tcPr>
          <w:p>
            <w:pPr>
              <w:jc w:val="right"/>
              <w:ind w:right="410"/>
              <w:spacing w:after="0"/>
              <w:rPr>
                <w:sz w:val="20"/>
                <w:szCs w:val="20"/>
                <w:color w:val="auto"/>
              </w:rPr>
            </w:pPr>
            <w:r>
              <w:rPr>
                <w:rFonts w:ascii="Arial" w:cs="Arial" w:eastAsia="Arial" w:hAnsi="Arial"/>
                <w:sz w:val="18"/>
                <w:szCs w:val="18"/>
                <w:color w:val="auto"/>
              </w:rPr>
              <w:t>_____________________</w:t>
            </w:r>
          </w:p>
        </w:tc>
        <w:tc>
          <w:tcPr>
            <w:tcW w:w="4680" w:type="dxa"/>
            <w:vAlign w:val="bottom"/>
          </w:tcPr>
          <w:p>
            <w:pPr>
              <w:jc w:val="right"/>
              <w:ind w:right="1456"/>
              <w:spacing w:after="0"/>
              <w:rPr>
                <w:sz w:val="20"/>
                <w:szCs w:val="20"/>
                <w:color w:val="auto"/>
              </w:rPr>
            </w:pPr>
            <w:r>
              <w:rPr>
                <w:rFonts w:ascii="Arial" w:cs="Arial" w:eastAsia="Arial" w:hAnsi="Arial"/>
                <w:sz w:val="18"/>
                <w:szCs w:val="18"/>
                <w:color w:val="auto"/>
              </w:rPr>
              <w:t>_____________</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89"/>
              </w:rPr>
              <w:t>______________</w:t>
            </w:r>
          </w:p>
        </w:tc>
      </w:tr>
      <w:tr>
        <w:trPr>
          <w:trHeight w:val="216"/>
        </w:trPr>
        <w:tc>
          <w:tcPr>
            <w:tcW w:w="3640" w:type="dxa"/>
            <w:vAlign w:val="bottom"/>
          </w:tcPr>
          <w:p>
            <w:pPr>
              <w:jc w:val="center"/>
              <w:ind w:left="650"/>
              <w:spacing w:after="0"/>
              <w:rPr>
                <w:sz w:val="20"/>
                <w:szCs w:val="20"/>
                <w:color w:val="auto"/>
              </w:rPr>
            </w:pPr>
            <w:r>
              <w:rPr>
                <w:rFonts w:ascii="Arial" w:cs="Arial" w:eastAsia="Arial" w:hAnsi="Arial"/>
                <w:sz w:val="18"/>
                <w:szCs w:val="18"/>
                <w:color w:val="auto"/>
                <w:w w:val="92"/>
              </w:rPr>
              <w:t>(State or other jurisdiction</w:t>
            </w:r>
          </w:p>
        </w:tc>
        <w:tc>
          <w:tcPr>
            <w:tcW w:w="4680" w:type="dxa"/>
            <w:vAlign w:val="bottom"/>
          </w:tcPr>
          <w:p>
            <w:pPr>
              <w:ind w:left="2040"/>
              <w:spacing w:after="0"/>
              <w:rPr>
                <w:sz w:val="20"/>
                <w:szCs w:val="20"/>
                <w:color w:val="auto"/>
              </w:rPr>
            </w:pPr>
            <w:r>
              <w:rPr>
                <w:rFonts w:ascii="Arial" w:cs="Arial" w:eastAsia="Arial" w:hAnsi="Arial"/>
                <w:sz w:val="18"/>
                <w:szCs w:val="18"/>
                <w:color w:val="auto"/>
              </w:rPr>
              <w:t>(Commission</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2"/>
              </w:rPr>
              <w:t>(I.R.S. Employer</w:t>
            </w:r>
          </w:p>
        </w:tc>
      </w:tr>
      <w:tr>
        <w:trPr>
          <w:trHeight w:val="230"/>
        </w:trPr>
        <w:tc>
          <w:tcPr>
            <w:tcW w:w="3640" w:type="dxa"/>
            <w:vAlign w:val="bottom"/>
          </w:tcPr>
          <w:p>
            <w:pPr>
              <w:jc w:val="center"/>
              <w:ind w:left="650"/>
              <w:spacing w:after="0"/>
              <w:rPr>
                <w:sz w:val="20"/>
                <w:szCs w:val="20"/>
                <w:color w:val="auto"/>
              </w:rPr>
            </w:pPr>
            <w:r>
              <w:rPr>
                <w:rFonts w:ascii="Arial" w:cs="Arial" w:eastAsia="Arial" w:hAnsi="Arial"/>
                <w:sz w:val="18"/>
                <w:szCs w:val="18"/>
                <w:color w:val="auto"/>
                <w:w w:val="93"/>
              </w:rPr>
              <w:t>of incorporation)</w:t>
            </w:r>
          </w:p>
        </w:tc>
        <w:tc>
          <w:tcPr>
            <w:tcW w:w="4680" w:type="dxa"/>
            <w:vAlign w:val="bottom"/>
          </w:tcPr>
          <w:p>
            <w:pPr>
              <w:ind w:left="2040"/>
              <w:spacing w:after="0"/>
              <w:rPr>
                <w:sz w:val="20"/>
                <w:szCs w:val="20"/>
                <w:color w:val="auto"/>
              </w:rPr>
            </w:pPr>
            <w:r>
              <w:rPr>
                <w:rFonts w:ascii="Arial" w:cs="Arial" w:eastAsia="Arial" w:hAnsi="Arial"/>
                <w:sz w:val="18"/>
                <w:szCs w:val="18"/>
                <w:color w:val="auto"/>
              </w:rPr>
              <w:t>File Number)</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640" w:type="dxa"/>
            <w:vAlign w:val="bottom"/>
          </w:tcPr>
          <w:p>
            <w:pPr>
              <w:jc w:val="center"/>
              <w:ind w:left="650"/>
              <w:spacing w:after="0"/>
              <w:rPr>
                <w:sz w:val="20"/>
                <w:szCs w:val="20"/>
                <w:color w:val="auto"/>
              </w:rPr>
            </w:pPr>
            <w:r>
              <w:rPr>
                <w:rFonts w:ascii="Arial" w:cs="Arial" w:eastAsia="Arial" w:hAnsi="Arial"/>
                <w:sz w:val="18"/>
                <w:szCs w:val="18"/>
                <w:color w:val="auto"/>
                <w:w w:val="91"/>
              </w:rPr>
              <w:t>12367 Crosthwaite Circle, Poway,</w:t>
            </w:r>
          </w:p>
        </w:tc>
        <w:tc>
          <w:tcPr>
            <w:tcW w:w="4680" w:type="dxa"/>
            <w:vAlign w:val="bottom"/>
          </w:tcPr>
          <w:p>
            <w:pPr>
              <w:spacing w:after="0"/>
              <w:rPr>
                <w:sz w:val="24"/>
                <w:szCs w:val="24"/>
                <w:color w:val="auto"/>
              </w:rPr>
            </w:pP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1"/>
              </w:rPr>
              <w:t>92064</w:t>
            </w:r>
          </w:p>
        </w:tc>
      </w:tr>
      <w:tr>
        <w:trPr>
          <w:trHeight w:val="216"/>
        </w:trPr>
        <w:tc>
          <w:tcPr>
            <w:tcW w:w="3640" w:type="dxa"/>
            <w:vAlign w:val="bottom"/>
          </w:tcPr>
          <w:p>
            <w:pPr>
              <w:jc w:val="center"/>
              <w:ind w:left="650"/>
              <w:spacing w:after="0"/>
              <w:rPr>
                <w:sz w:val="20"/>
                <w:szCs w:val="20"/>
                <w:color w:val="auto"/>
              </w:rPr>
            </w:pPr>
            <w:r>
              <w:rPr>
                <w:rFonts w:ascii="Arial" w:cs="Arial" w:eastAsia="Arial" w:hAnsi="Arial"/>
                <w:sz w:val="18"/>
                <w:szCs w:val="18"/>
                <w:color w:val="auto"/>
                <w:w w:val="97"/>
              </w:rPr>
              <w:t>California</w:t>
            </w:r>
          </w:p>
        </w:tc>
        <w:tc>
          <w:tcPr>
            <w:tcW w:w="46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8320" w:type="dxa"/>
            <w:vAlign w:val="bottom"/>
            <w:gridSpan w:val="2"/>
          </w:tcPr>
          <w:p>
            <w:pPr>
              <w:jc w:val="right"/>
              <w:ind w:right="4536"/>
              <w:spacing w:after="0"/>
              <w:rPr>
                <w:sz w:val="20"/>
                <w:szCs w:val="20"/>
                <w:color w:val="auto"/>
              </w:rPr>
            </w:pPr>
            <w:r>
              <w:rPr>
                <w:rFonts w:ascii="Arial" w:cs="Arial" w:eastAsia="Arial" w:hAnsi="Arial"/>
                <w:sz w:val="18"/>
                <w:szCs w:val="18"/>
                <w:color w:val="auto"/>
              </w:rPr>
              <w:t>_________________________________</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88"/>
              </w:rPr>
              <w:t>___________</w:t>
            </w:r>
          </w:p>
        </w:tc>
      </w:tr>
      <w:tr>
        <w:trPr>
          <w:trHeight w:val="230"/>
        </w:trPr>
        <w:tc>
          <w:tcPr>
            <w:tcW w:w="364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4680" w:type="dxa"/>
            <w:vAlign w:val="bottom"/>
          </w:tcPr>
          <w:p>
            <w:pPr>
              <w:spacing w:after="0"/>
              <w:rPr>
                <w:sz w:val="20"/>
                <w:szCs w:val="20"/>
                <w:color w:val="auto"/>
              </w:rPr>
            </w:pP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r>
        <w:trPr>
          <w:trHeight w:val="432"/>
        </w:trPr>
        <w:tc>
          <w:tcPr>
            <w:tcW w:w="8320" w:type="dxa"/>
            <w:vAlign w:val="bottom"/>
            <w:gridSpan w:val="2"/>
          </w:tcPr>
          <w:p>
            <w:pPr>
              <w:ind w:left="1040"/>
              <w:spacing w:after="0"/>
              <w:rPr>
                <w:sz w:val="20"/>
                <w:szCs w:val="20"/>
                <w:color w:val="auto"/>
              </w:rPr>
            </w:pPr>
            <w:r>
              <w:rPr>
                <w:rFonts w:ascii="Arial" w:cs="Arial" w:eastAsia="Arial" w:hAnsi="Arial"/>
                <w:sz w:val="18"/>
                <w:szCs w:val="18"/>
                <w:color w:val="auto"/>
              </w:rPr>
              <w:t>Registrant’s telephone number, including area code:</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w w:val="96"/>
              </w:rPr>
              <w:t>858-848-8100</w:t>
            </w:r>
          </w:p>
        </w:tc>
      </w:tr>
      <w:tr>
        <w:trPr>
          <w:trHeight w:val="418"/>
        </w:trPr>
        <w:tc>
          <w:tcPr>
            <w:tcW w:w="3640" w:type="dxa"/>
            <w:vAlign w:val="bottom"/>
          </w:tcPr>
          <w:p>
            <w:pPr>
              <w:spacing w:after="0"/>
              <w:rPr>
                <w:sz w:val="24"/>
                <w:szCs w:val="24"/>
                <w:color w:val="auto"/>
              </w:rPr>
            </w:pPr>
          </w:p>
        </w:tc>
        <w:tc>
          <w:tcPr>
            <w:tcW w:w="4680" w:type="dxa"/>
            <w:vAlign w:val="bottom"/>
          </w:tcPr>
          <w:p>
            <w:pPr>
              <w:jc w:val="center"/>
              <w:ind w:right="436"/>
              <w:spacing w:after="0"/>
              <w:rPr>
                <w:sz w:val="20"/>
                <w:szCs w:val="20"/>
                <w:color w:val="auto"/>
              </w:rPr>
            </w:pPr>
            <w:r>
              <w:rPr>
                <w:rFonts w:ascii="Arial" w:cs="Arial" w:eastAsia="Arial" w:hAnsi="Arial"/>
                <w:sz w:val="18"/>
                <w:szCs w:val="18"/>
                <w:color w:val="auto"/>
                <w:w w:val="94"/>
              </w:rPr>
              <w:t>Not Applicable</w:t>
            </w:r>
          </w:p>
        </w:tc>
        <w:tc>
          <w:tcPr>
            <w:tcW w:w="2040" w:type="dxa"/>
            <w:vAlign w:val="bottom"/>
          </w:tcPr>
          <w:p>
            <w:pPr>
              <w:spacing w:after="0"/>
              <w:rPr>
                <w:sz w:val="24"/>
                <w:szCs w:val="24"/>
                <w:color w:val="auto"/>
              </w:rPr>
            </w:pPr>
          </w:p>
        </w:tc>
      </w:tr>
      <w:tr>
        <w:trPr>
          <w:trHeight w:val="216"/>
        </w:trPr>
        <w:tc>
          <w:tcPr>
            <w:tcW w:w="3640" w:type="dxa"/>
            <w:vAlign w:val="bottom"/>
          </w:tcPr>
          <w:p>
            <w:pPr>
              <w:spacing w:after="0"/>
              <w:rPr>
                <w:sz w:val="18"/>
                <w:szCs w:val="18"/>
                <w:color w:val="auto"/>
              </w:rPr>
            </w:pPr>
          </w:p>
        </w:tc>
        <w:tc>
          <w:tcPr>
            <w:tcW w:w="4680" w:type="dxa"/>
            <w:vAlign w:val="bottom"/>
          </w:tcPr>
          <w:p>
            <w:pPr>
              <w:jc w:val="right"/>
              <w:ind w:right="436"/>
              <w:spacing w:after="0"/>
              <w:rPr>
                <w:sz w:val="20"/>
                <w:szCs w:val="20"/>
                <w:color w:val="auto"/>
              </w:rPr>
            </w:pPr>
            <w:r>
              <w:rPr>
                <w:rFonts w:ascii="Arial" w:cs="Arial" w:eastAsia="Arial" w:hAnsi="Arial"/>
                <w:sz w:val="18"/>
                <w:szCs w:val="18"/>
                <w:color w:val="auto"/>
                <w:w w:val="89"/>
              </w:rPr>
              <w:t>______________________________________________</w:t>
            </w:r>
          </w:p>
        </w:tc>
        <w:tc>
          <w:tcPr>
            <w:tcW w:w="2040" w:type="dxa"/>
            <w:vAlign w:val="bottom"/>
          </w:tcPr>
          <w:p>
            <w:pPr>
              <w:spacing w:after="0"/>
              <w:rPr>
                <w:sz w:val="18"/>
                <w:szCs w:val="18"/>
                <w:color w:val="auto"/>
              </w:rPr>
            </w:pPr>
          </w:p>
        </w:tc>
      </w:tr>
      <w:tr>
        <w:trPr>
          <w:trHeight w:val="230"/>
        </w:trPr>
        <w:tc>
          <w:tcPr>
            <w:tcW w:w="832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04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40" w:firstLine="8"/>
        <w:spacing w:after="0" w:line="291" w:lineRule="auto"/>
        <w:tabs>
          <w:tab w:leader="none" w:pos="29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 ] Soliciting material pursuant to Rule 14a-12 under the Exchange Act (17 CFR 240.14a-12)</w:t>
      </w:r>
    </w:p>
    <w:p>
      <w:pPr>
        <w:jc w:val="both"/>
        <w:ind w:right="2940"/>
        <w:spacing w:after="0" w:line="323" w:lineRule="auto"/>
        <w:rPr>
          <w:rFonts w:ascii="Arial" w:cs="Arial" w:eastAsia="Arial" w:hAnsi="Arial"/>
          <w:sz w:val="16"/>
          <w:szCs w:val="16"/>
          <w:color w:val="auto"/>
        </w:rPr>
      </w:pPr>
      <w:r>
        <w:rPr>
          <w:rFonts w:ascii="Arial" w:cs="Arial" w:eastAsia="Arial" w:hAnsi="Arial"/>
          <w:sz w:val="16"/>
          <w:szCs w:val="16"/>
          <w:color w:val="auto"/>
        </w:rPr>
        <w:t>[ ] Pre-commencement communications pursuant to Rule 14d-2(b) under the Exchange Act (17 CFR 240.14d-2(b)) [ ] Pre-commencement communications pursuant to Rule 13e-4(c) under the Exchange Act (17 CFR 240.13e-4(c))</w:t>
      </w:r>
    </w:p>
    <w:p>
      <w:pPr>
        <w:spacing w:after="0" w:line="13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 July 27, 2018, Cohu, Inc., a Delaware corporation (“Cohu”) and Xcerra Corporation, a Massachusetts corporation (“Xcerra”) issued a joint press release announcing that on July 26, 2018, the Federal Trade Commission granted early termination of the waiting period under the Hart-Scott-Rodino Antitrust Improvements Act of 1976, as amended (the “HSR Act”), with respect to the previously announced acquisition of Xcerra by Cohu, pursuant to the Agreement and Plan of Merger (the “Merger Agreement”), dated as of May 7, 2018, by and among Cohu, Xcerra and Xavier Acquisition Corporation, a Delaware corporation and a wholly owned subsidiary of Cohu (“Merger Sub”), pursuant to which Merger Sub will merge with and into Xcerra, with Xcerra surviving the Merger as a wholly owned subsidiary of Cohu (the “Merger”). The termination of the HSR waiting period satisfied one of the conditions to the closing of the Merger as specified in the Merger Agreement.</w:t>
      </w:r>
    </w:p>
    <w:p>
      <w:pPr>
        <w:spacing w:after="0" w:line="18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Cohu also announced that its special stockholder meeting to consider and vote to approve the issuance of shares specified in the Merger Agreement will be held at 8:30 a.m. Pacific time on the same date at Cohu’s corporate offices located at 12367 Crosthwaite Circle, Poway, California 92064 and Xcerra announced that its special stockholder meeting to consider and vote to approve the Merger will be held on Thursday, August 30, 2018, at 9:30 a.m. Eastern time at Xcerra’s corporate offices located at 825 University Avenue, Norwood, Massachusetts 02062.</w:t>
      </w:r>
    </w:p>
    <w:p>
      <w:pPr>
        <w:spacing w:after="0" w:line="17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Consummation of the Merger remains subject to various closing conditions, including but not limited to the approval of the share issuance and the Merger by the Cohu stockholders and the Xcerra stockholders, respectively. A copy of the press release is attached as Exhibit 99.1 hereto and is incorporated by reference in this Item 8.01.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441"/>
        <w:spacing w:after="0" w:line="283"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w:t>
      </w:r>
    </w:p>
    <w:p>
      <w:pPr>
        <w:spacing w:after="0" w:line="1" w:lineRule="exact"/>
        <w:rPr>
          <w:sz w:val="20"/>
          <w:szCs w:val="20"/>
          <w:color w:val="auto"/>
        </w:rPr>
      </w:pPr>
    </w:p>
    <w:p>
      <w:pPr>
        <w:jc w:val="both"/>
        <w:ind w:firstLine="8"/>
        <w:spacing w:after="0" w:line="281" w:lineRule="auto"/>
        <w:tabs>
          <w:tab w:leader="none" w:pos="437" w:val="left"/>
        </w:tabs>
        <w:numPr>
          <w:ilvl w:val="0"/>
          <w:numId w:val="2"/>
        </w:numPr>
        <w:rPr>
          <w:rFonts w:ascii="Arial" w:cs="Arial" w:eastAsia="Arial" w:hAnsi="Arial"/>
          <w:sz w:val="16"/>
          <w:szCs w:val="16"/>
          <w:color w:val="auto"/>
        </w:rPr>
      </w:pPr>
      <w:r>
        <w:rPr>
          <w:rFonts w:ascii="Arial" w:cs="Arial" w:eastAsia="Arial" w:hAnsi="Arial"/>
          <w:sz w:val="16"/>
          <w:szCs w:val="16"/>
          <w:color w:val="auto"/>
        </w:rPr>
        <w:t>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w:t>
      </w:r>
    </w:p>
    <w:p>
      <w:pPr>
        <w:spacing w:after="0" w:line="4" w:lineRule="exact"/>
        <w:rPr>
          <w:rFonts w:ascii="Arial" w:cs="Arial" w:eastAsia="Arial" w:hAnsi="Arial"/>
          <w:sz w:val="16"/>
          <w:szCs w:val="16"/>
          <w:color w:val="auto"/>
        </w:rPr>
      </w:pPr>
    </w:p>
    <w:p>
      <w:pPr>
        <w:jc w:val="both"/>
        <w:ind w:firstLine="8"/>
        <w:spacing w:after="0" w:line="287" w:lineRule="auto"/>
        <w:tabs>
          <w:tab w:leader="none" w:pos="361"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other factors as are set forth in (A) Cohu’s periodic public filings with the Securities and Exchange Commission (the “SEC”),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“Registration Statement”) that has been filed by Cohu with the SEC containing a prospectus with respect to the Cohu common stock to be issued in the proposed transaction and a joint proxy statement of Cohu and Xcerra in connection with the proposed transaction (the “Joint Proxy Statement/Prospectus”) that is or will be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ind w:right="20" w:firstLine="441"/>
        <w:spacing w:after="0" w:line="252" w:lineRule="auto"/>
        <w:rPr>
          <w:sz w:val="20"/>
          <w:szCs w:val="20"/>
          <w:color w:val="auto"/>
        </w:rPr>
      </w:pPr>
      <w:r>
        <w:rPr>
          <w:rFonts w:ascii="Arial" w:cs="Arial" w:eastAsia="Arial" w:hAnsi="Arial"/>
          <w:sz w:val="18"/>
          <w:szCs w:val="18"/>
          <w:color w:val="auto"/>
        </w:rPr>
        <w:t>On June 21, 2018, Cohu filed with the SEC the Registration Statement containing the Joint Proxy Statement/Prospectus which was subsequently amended on July 26, 2018.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Xcerra and Cohu with the SEC at the SEC’s website at www.sec.gov. In addition, investors and security holders may obtain free copies of the documents filed with the SEC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Xcerra Investor Relations page on its corporate website at </w:t>
      </w:r>
      <w:r>
        <w:rPr>
          <w:rFonts w:ascii="Arial" w:cs="Arial" w:eastAsia="Arial" w:hAnsi="Arial"/>
          <w:sz w:val="17"/>
          <w:szCs w:val="17"/>
          <w:u w:val="single" w:color="auto"/>
          <w:color w:val="auto"/>
        </w:rPr>
        <w:t>https://Xcerra.com/investors</w:t>
      </w:r>
      <w:r>
        <w:rPr>
          <w:rFonts w:ascii="Arial" w:cs="Arial" w:eastAsia="Arial" w:hAnsi="Arial"/>
          <w:sz w:val="17"/>
          <w:szCs w:val="17"/>
          <w:color w:val="auto"/>
        </w:rPr>
        <w:t xml:space="preserve">. Information concerning Cohu’s directors and executive officers and their beneficial ownership of Cohu’s common stock is set forth in the Registration Statement, Cohu’s annual proxy statement on Schedule 14A filed with the SEC on April 3, 2018, and in its Annual Report on Form 10-K for the year ended December 31, 2017, and is supplemented by other public filings made, and to be made, with the SEC by Cohu.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Cohu Investor Relations page on its corporate website at </w:t>
      </w:r>
      <w:r>
        <w:rPr>
          <w:rFonts w:ascii="Arial" w:cs="Arial" w:eastAsia="Arial" w:hAnsi="Arial"/>
          <w:sz w:val="17"/>
          <w:szCs w:val="17"/>
          <w:u w:val="single" w:color="auto"/>
          <w:color w:val="auto"/>
        </w:rPr>
        <w:t>https://Cohu.gcs-web.com</w:t>
      </w:r>
      <w:r>
        <w:rPr>
          <w:rFonts w:ascii="Arial" w:cs="Arial" w:eastAsia="Arial" w:hAnsi="Arial"/>
          <w:sz w:val="17"/>
          <w:szCs w:val="17"/>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7"/>
          <w:szCs w:val="17"/>
          <w:u w:val="single" w:color="auto"/>
          <w:color w:val="auto"/>
        </w:rPr>
        <w:t>www.sec.gov.</w:t>
      </w:r>
    </w:p>
    <w:p>
      <w:pPr>
        <w:spacing w:after="0" w:line="3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9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720" w:type="dxa"/>
            <w:vAlign w:val="bottom"/>
          </w:tcPr>
          <w:p>
            <w:pPr>
              <w:spacing w:after="0"/>
              <w:rPr>
                <w:sz w:val="24"/>
                <w:szCs w:val="24"/>
                <w:color w:val="auto"/>
              </w:rPr>
            </w:pPr>
          </w:p>
        </w:tc>
      </w:tr>
      <w:tr>
        <w:trPr>
          <w:trHeight w:val="385"/>
        </w:trPr>
        <w:tc>
          <w:tcPr>
            <w:tcW w:w="340" w:type="dxa"/>
            <w:vAlign w:val="bottom"/>
          </w:tcPr>
          <w:p>
            <w:pPr>
              <w:spacing w:after="0"/>
              <w:rPr>
                <w:sz w:val="24"/>
                <w:szCs w:val="24"/>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9380" w:type="dxa"/>
            <w:vAlign w:val="bottom"/>
            <w:gridSpan w:val="3"/>
          </w:tcPr>
          <w:p>
            <w:pPr>
              <w:ind w:left="280"/>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of Cohu, Inc. and Xcerra Corporation, dated July 27, 2018</w:t>
              </w:r>
            </w:hyperlink>
          </w:p>
        </w:tc>
        <w:tc>
          <w:tcPr>
            <w:tcW w:w="720" w:type="dxa"/>
            <w:vAlign w:val="bottom"/>
          </w:tcPr>
          <w:p>
            <w:pPr>
              <w:spacing w:after="0"/>
              <w:rPr>
                <w:sz w:val="24"/>
                <w:szCs w:val="24"/>
                <w:color w:val="auto"/>
              </w:rPr>
            </w:pPr>
          </w:p>
        </w:tc>
      </w:tr>
      <w:tr>
        <w:trPr>
          <w:trHeight w:val="595"/>
        </w:trPr>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40" w:type="dxa"/>
            <w:vAlign w:val="bottom"/>
            <w:tcBorders>
              <w:top w:val="single" w:sz="8" w:color="0000EE"/>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2018</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Cohu, Inc.</w:t>
      </w:r>
    </w:p>
    <w:p>
      <w:pPr>
        <w:spacing w:after="0" w:line="200" w:lineRule="exact"/>
        <w:rPr>
          <w:sz w:val="20"/>
          <w:szCs w:val="20"/>
          <w:color w:val="auto"/>
        </w:rPr>
      </w:pPr>
    </w:p>
    <w:p>
      <w:pPr>
        <w:spacing w:after="0" w:line="228"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18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Jeffrey D. Jones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gridSpan w:val="3"/>
          </w:tcPr>
          <w:p>
            <w:pPr>
              <w:ind w:left="60"/>
              <w:spacing w:after="0"/>
              <w:rPr>
                <w:sz w:val="20"/>
                <w:szCs w:val="20"/>
                <w:color w:val="auto"/>
              </w:rPr>
            </w:pPr>
            <w:r>
              <w:rPr>
                <w:rFonts w:ascii="Arial" w:cs="Arial" w:eastAsia="Arial" w:hAnsi="Arial"/>
                <w:sz w:val="18"/>
                <w:szCs w:val="18"/>
                <w:color w:val="auto"/>
                <w:w w:val="92"/>
              </w:rPr>
              <w:t>VP Finance and Chief Financial Officer</w:t>
            </w:r>
          </w:p>
        </w:tc>
      </w:tr>
    </w:tbl>
    <w:p>
      <w:pPr>
        <w:sectPr>
          <w:pgSz w:w="11900" w:h="16838" w:orient="portrait"/>
          <w:cols w:equalWidth="0" w:num="1">
            <w:col w:w="10600"/>
          </w:cols>
          <w:pgMar w:left="240" w:top="580" w:right="10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and Xcerra Announce Early Termination of HSR Waiting Period in Connection with Proposed Acquisition of Xcerra</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POWAY, Calif., and NORWOOD, Mass., July 27, 2018 -- Cohu, Inc. (NASDAQ: COHU), and Xcerra Corporation (NASDAQ: XCRA) today announced that on July 26, 2018, the Federal Trade Commission granted early termination of the waiting period under the Hart-Scott-Rodino Antitrust Improvements Act of 1976, as amended, or HSR, with respect to Cohu’s previously announced acquisition of Xcerra. The termination of the HSR waiting period satisfies one of the conditions to the closing of the acquisition as specified in the Agreement and Plan of Merger, dated as of May 7, 2018, by and among Cohu, Inc., Xavier Acquisition Corporation and Xcerra Corporation (the “Merger Agreement”). Previously, on July 16, 2018, the Germany Federal Cartel Office granted clearance for the acquisition.</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Xcerra announced that its special stockholder meeting to approve the transactions contemplated by the Merger Agreement will be held on Thursday, August 30, 2018, at 9:30 a.m. Eastern time at Xcerra’s corporate offices located at 825 University Avenue, Norwood, Massachusetts 02062. Cohu also announced that its special stockholder meeting to approve the issuance of shares as outlined in the Merger Agreement will be held on Thursday, August 30, 2018, at 8:30 a.m. Pacific time at Cohu’s corporate offices located at 12367 Crosthwaite Circle, Poway, California 92064.</w:t>
      </w:r>
    </w:p>
    <w:p>
      <w:pPr>
        <w:spacing w:after="0" w:line="17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transaction is expected to close in the fourth quarter of 2018, subject to the satisfaction or waiver of customary closing conditions. Upon the completion of the proposed transaction, Xcerra’s common stock will no longer be publicly traded and will be delisted from the NASDAQ Global Select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Cohu (NASDAQ: COHU) is a leading supplier of semiconductor test and inspection handlers, micro-electro mechanical system (MEMS) test modules, test contactors and thermal sub-systems used by global semiconductor manufacturers and test subcontractors. For more information, visit http://www.Cohu.com/.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Xcerra</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Xcerra Corporation (NASDAQ: XCRA) is comprised of four businesses in the semiconductor and electronics manufacturing test markets: atg-Luther &amp; Maelzer, Everett Charles Technologies, LTX-Credence and Multitest. The combination of these businesses creates a company with a broad spectrum of semiconductor and PCB test expertise that drives innovative new products and services, and the ability to deliver to customers fully integrated semiconductor test cell solutions. Xcerra addresses the broad, divergent requirements of the mobility, industrial, automotive and consumer end markets, offering a comprehensive portfolio of solutions and technologies, and a global network of strategically deployed applications and support resources. Additional information can be found at www.Xcerra.com or at each product group’s website; www.atg-lm.com, www.ectinfo.com, www.ltxc.com and www.multitest.com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w:t>
      </w:r>
    </w:p>
    <w:p>
      <w:pPr>
        <w:spacing w:after="0" w:line="1" w:lineRule="exact"/>
        <w:rPr>
          <w:sz w:val="20"/>
          <w:szCs w:val="20"/>
          <w:color w:val="auto"/>
        </w:rPr>
      </w:pPr>
    </w:p>
    <w:p>
      <w:pPr>
        <w:ind w:right="140" w:firstLine="8"/>
        <w:spacing w:after="0" w:line="281"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w:t>
      </w:r>
    </w:p>
    <w:p>
      <w:pPr>
        <w:spacing w:after="0" w:line="4" w:lineRule="exact"/>
        <w:rPr>
          <w:rFonts w:ascii="Arial" w:cs="Arial" w:eastAsia="Arial" w:hAnsi="Arial"/>
          <w:sz w:val="16"/>
          <w:szCs w:val="16"/>
          <w:color w:val="auto"/>
        </w:rPr>
      </w:pPr>
    </w:p>
    <w:p>
      <w:pPr>
        <w:ind w:right="40" w:firstLine="8"/>
        <w:spacing w:after="0" w:line="287" w:lineRule="auto"/>
        <w:tabs>
          <w:tab w:leader="none" w:pos="345" w:val="left"/>
        </w:tabs>
        <w:numPr>
          <w:ilvl w:val="0"/>
          <w:numId w:val="5"/>
        </w:numPr>
        <w:rPr>
          <w:rFonts w:ascii="Arial" w:cs="Arial" w:eastAsia="Arial" w:hAnsi="Arial"/>
          <w:sz w:val="16"/>
          <w:szCs w:val="16"/>
          <w:color w:val="auto"/>
        </w:rPr>
      </w:pPr>
      <w:r>
        <w:rPr>
          <w:rFonts w:ascii="Arial" w:cs="Arial" w:eastAsia="Arial" w:hAnsi="Arial"/>
          <w:sz w:val="16"/>
          <w:szCs w:val="16"/>
          <w:color w:val="auto"/>
        </w:rPr>
        <w:t>such other factors as are set forth in (A) Cohu’s periodic public filings with the Securities and Exchange Commission (the “SEC”),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“Registration Statement”) that has been filed by Cohu with the SEC containing a prospectus with respect to the Cohu common stock to be issued in the proposed transaction and a joint proxy statement of Cohu and Xcerra in connection with the proposed transaction (the “Joint Proxy Statement/Prospectus”) that is or will be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June 21, 2018, Cohu filed with the SEC the Registration Statement containing the Joint Proxy Statement/Prospectus, as amended on July 26, 2018.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Xcerra and Cohu with the SEC at the SEC’s website at www.sec.gov. In addition, investors and security holders may obtain free copies of the documents filed with the SEC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Xcerra Investor Relations page on its corporate website at </w:t>
      </w:r>
      <w:r>
        <w:rPr>
          <w:rFonts w:ascii="Arial" w:cs="Arial" w:eastAsia="Arial" w:hAnsi="Arial"/>
          <w:sz w:val="17"/>
          <w:szCs w:val="17"/>
          <w:u w:val="single" w:color="auto"/>
          <w:color w:val="auto"/>
        </w:rPr>
        <w:t>https://Xcerra.com/investors</w:t>
      </w:r>
      <w:r>
        <w:rPr>
          <w:rFonts w:ascii="Arial" w:cs="Arial" w:eastAsia="Arial" w:hAnsi="Arial"/>
          <w:sz w:val="17"/>
          <w:szCs w:val="17"/>
          <w:color w:val="auto"/>
        </w:rPr>
        <w:t xml:space="preserve">. Information concerning Cohu’s directors and executive officers and their beneficial ownership of Cohu’s common stock is set forth in the Registration Statement, Cohu’s annual proxy statement on Schedule 14A filed with the SEC on April 3, 2018, and in its Annual Report on Form 10-K for the year ended December 31, 2017, and is supplemented by other public filings made, and to be made, with the SEC by Cohu.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Cohu Investor Relations page on its corporate website at </w:t>
      </w:r>
      <w:r>
        <w:rPr>
          <w:rFonts w:ascii="Arial" w:cs="Arial" w:eastAsia="Arial" w:hAnsi="Arial"/>
          <w:sz w:val="17"/>
          <w:szCs w:val="17"/>
          <w:u w:val="single" w:color="auto"/>
          <w:color w:val="auto"/>
        </w:rPr>
        <w:t>https://Cohu.gcs-web.com</w:t>
      </w:r>
      <w:r>
        <w:rPr>
          <w:rFonts w:ascii="Arial" w:cs="Arial" w:eastAsia="Arial" w:hAnsi="Arial"/>
          <w:sz w:val="17"/>
          <w:szCs w:val="17"/>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7"/>
          <w:szCs w:val="17"/>
          <w:u w:val="single" w:color="auto"/>
          <w:color w:val="auto"/>
        </w:rPr>
        <w:t>www.sec.gov.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Jeffrey D. Jones - Investor Relations (858) 848-8106</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Roman"/>
      <w:start w:val="8"/>
    </w:lvl>
  </w:abstractNum>
  <w:abstractNum w:abstractNumId="2">
    <w:nsid w:val="625558EC"/>
    <w:multiLevelType w:val="hybridMultilevel"/>
    <w:lvl w:ilvl="0">
      <w:lvlJc w:val="left"/>
      <w:lvlText w:val="(%1)"/>
      <w:numFmt w:val="lowerRoman"/>
      <w:start w:val="15"/>
    </w:lvl>
  </w:abstractNum>
  <w:abstractNum w:abstractNumId="3">
    <w:nsid w:val="238E1F29"/>
    <w:multiLevelType w:val="hybridMultilevel"/>
    <w:lvl w:ilvl="0">
      <w:lvlJc w:val="left"/>
      <w:lvlText w:val="(%1)"/>
      <w:numFmt w:val="lowerRoman"/>
      <w:start w:val="8"/>
    </w:lvl>
  </w:abstractNum>
  <w:abstractNum w:abstractNumId="4">
    <w:nsid w:val="46E87CCD"/>
    <w:multiLevelType w:val="hybridMultilevel"/>
    <w:lvl w:ilvl="0">
      <w:lvlJc w:val="left"/>
      <w:lvlText w:val="(%1)"/>
      <w:numFmt w:val="lowerRoman"/>
      <w:start w:val="1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2019-12-28T20:52:55Z</dcterms:created>
  <dcterms:modified xsi:type="dcterms:W3CDTF">2019-12-28T20:52:55Z</dcterms:modified>
</cp:coreProperties>
</file>