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153670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21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9" w:lineRule="exact"/>
        <w:rPr>
          <w:sz w:val="24"/>
          <w:szCs w:val="24"/>
          <w:color w:val="auto"/>
        </w:rPr>
      </w:pPr>
    </w:p>
    <w:p>
      <w:pPr>
        <w:jc w:val="center"/>
        <w:ind w:right="-319"/>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(Amendment No.</w:t>
        <w:tab/>
        <w:t>)</w:t>
      </w:r>
    </w:p>
    <w:p>
      <w:pPr>
        <w:sectPr>
          <w:pgSz w:w="11900" w:h="16838" w:orient="portrait"/>
          <w:cols w:equalWidth="0" w:num="1">
            <w:col w:w="11120"/>
          </w:cols>
          <w:pgMar w:left="240" w:top="277" w:right="539" w:bottom="1440" w:gutter="0" w:footer="0" w:header="0"/>
        </w:sectPr>
      </w:pPr>
    </w:p>
    <w:p>
      <w:pPr>
        <w:spacing w:after="0" w:line="169"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2" w:lineRule="exact"/>
        <w:rPr>
          <w:sz w:val="24"/>
          <w:szCs w:val="24"/>
          <w:color w:val="auto"/>
        </w:rPr>
      </w:pPr>
    </w:p>
    <w:p>
      <w:pPr>
        <w:sectPr>
          <w:pgSz w:w="11900" w:h="16838" w:orient="portrait"/>
          <w:cols w:equalWidth="0" w:num="3">
            <w:col w:w="2280" w:space="720"/>
            <w:col w:w="2800" w:space="80"/>
            <w:col w:w="5240"/>
          </w:cols>
          <w:pgMar w:left="240" w:top="277" w:right="53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11120"/>
          </w:cols>
          <w:pgMar w:left="240" w:top="277" w:right="539" w:bottom="1440" w:gutter="0" w:footer="0" w:header="0"/>
          <w:type w:val="continuous"/>
        </w:sectPr>
      </w:pPr>
    </w:p>
    <w:p>
      <w:pPr>
        <w:spacing w:after="0" w:line="214" w:lineRule="exact"/>
        <w:rPr>
          <w:sz w:val="24"/>
          <w:szCs w:val="24"/>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14" w:lineRule="exact"/>
        <w:rPr>
          <w:rFonts w:ascii="MS PGothic" w:cs="MS PGothic" w:eastAsia="MS PGothic" w:hAnsi="MS PGothic"/>
          <w:sz w:val="17"/>
          <w:szCs w:val="17"/>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14" w:lineRule="exact"/>
        <w:rPr>
          <w:sz w:val="24"/>
          <w:szCs w:val="24"/>
          <w:color w:val="auto"/>
        </w:rPr>
      </w:pPr>
    </w:p>
    <w:p>
      <w:pPr>
        <w:ind w:left="340" w:hanging="338"/>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14" w:lineRule="exact"/>
        <w:rPr>
          <w:sz w:val="24"/>
          <w:szCs w:val="24"/>
          <w:color w:val="auto"/>
        </w:rPr>
      </w:pPr>
    </w:p>
    <w:p>
      <w:pPr>
        <w:ind w:left="340" w:hanging="338"/>
        <w:spacing w:after="0"/>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14" w:lineRule="exact"/>
        <w:rPr>
          <w:rFonts w:ascii="MS PGothic" w:cs="MS PGothic" w:eastAsia="MS PGothic" w:hAnsi="MS PGothic"/>
          <w:sz w:val="17"/>
          <w:szCs w:val="17"/>
          <w:color w:val="auto"/>
        </w:rPr>
      </w:pPr>
    </w:p>
    <w:p>
      <w:pPr>
        <w:ind w:left="340" w:hanging="338"/>
        <w:spacing w:after="0"/>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19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7"/>
          <w:szCs w:val="27"/>
          <w:b w:val="1"/>
          <w:bCs w:val="1"/>
          <w:color w:val="auto"/>
        </w:rPr>
        <w:t>COHU, INC.</w:t>
      </w:r>
    </w:p>
    <w:p>
      <w:pPr>
        <w:spacing w:after="0" w:line="4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14" w:lineRule="exact"/>
        <w:rPr>
          <w:sz w:val="24"/>
          <w:szCs w:val="24"/>
          <w:color w:val="auto"/>
        </w:rPr>
      </w:pPr>
    </w:p>
    <w:p>
      <w:pPr>
        <w:ind w:left="340" w:hanging="338"/>
        <w:spacing w:after="0"/>
        <w:tabs>
          <w:tab w:leader="none" w:pos="3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4" w:lineRule="exact"/>
        <w:rPr>
          <w:sz w:val="24"/>
          <w:szCs w:val="24"/>
          <w:color w:val="auto"/>
        </w:rPr>
      </w:pPr>
    </w:p>
    <w:p>
      <w:pPr>
        <w:ind w:left="340" w:hanging="338"/>
        <w:spacing w:after="0"/>
        <w:tabs>
          <w:tab w:leader="none" w:pos="3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14a-6(i)(4) and 0-11.</w:t>
      </w:r>
    </w:p>
    <w:p>
      <w:pPr>
        <w:spacing w:after="0" w:line="214" w:lineRule="exact"/>
        <w:rPr>
          <w:rFonts w:ascii="MS PGothic" w:cs="MS PGothic" w:eastAsia="MS PGothic" w:hAnsi="MS PGothic"/>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214"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214" w:lineRule="exact"/>
        <w:rPr>
          <w:rFonts w:ascii="Times New Roman" w:cs="Times New Roman" w:eastAsia="Times New Roman" w:hAnsi="Times New Roman"/>
          <w:sz w:val="17"/>
          <w:szCs w:val="17"/>
          <w:color w:val="auto"/>
        </w:rPr>
      </w:pPr>
    </w:p>
    <w:p>
      <w:pPr>
        <w:ind w:left="920" w:right="80" w:hanging="572"/>
        <w:spacing w:after="0" w:line="284" w:lineRule="auto"/>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52"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14"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219" w:lineRule="exact"/>
        <w:rPr>
          <w:rFonts w:ascii="Times New Roman" w:cs="Times New Roman" w:eastAsia="Times New Roman" w:hAnsi="Times New Roman"/>
          <w:sz w:val="17"/>
          <w:szCs w:val="17"/>
          <w:color w:val="auto"/>
        </w:rPr>
      </w:pPr>
    </w:p>
    <w:p>
      <w:pPr>
        <w:ind w:left="340" w:hanging="338"/>
        <w:spacing w:after="0"/>
        <w:tabs>
          <w:tab w:leader="none" w:pos="3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14" w:lineRule="exact"/>
        <w:rPr>
          <w:rFonts w:ascii="MS PGothic" w:cs="MS PGothic" w:eastAsia="MS PGothic" w:hAnsi="MS PGothic"/>
          <w:sz w:val="17"/>
          <w:szCs w:val="17"/>
          <w:color w:val="auto"/>
        </w:rPr>
      </w:pPr>
    </w:p>
    <w:p>
      <w:pPr>
        <w:ind w:left="340" w:hanging="338"/>
        <w:spacing w:after="0" w:line="284" w:lineRule="auto"/>
        <w:tabs>
          <w:tab w:leader="none" w:pos="3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2" w:lineRule="exact"/>
        <w:rPr>
          <w:rFonts w:ascii="MS PGothic" w:cs="MS PGothic" w:eastAsia="MS PGothic" w:hAnsi="MS PGothic"/>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14"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14"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14" w:lineRule="exact"/>
        <w:rPr>
          <w:rFonts w:ascii="Times New Roman" w:cs="Times New Roman" w:eastAsia="Times New Roman" w:hAnsi="Times New Roman"/>
          <w:sz w:val="17"/>
          <w:szCs w:val="17"/>
          <w:color w:val="auto"/>
        </w:rPr>
      </w:pPr>
    </w:p>
    <w:p>
      <w:pPr>
        <w:ind w:left="920" w:hanging="572"/>
        <w:spacing w:after="0"/>
        <w:tabs>
          <w:tab w:leader="none" w:pos="9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358140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120"/>
          </w:cols>
          <w:pgMar w:left="240" w:top="277" w:right="539" w:bottom="1440" w:gutter="0" w:footer="0" w:header="0"/>
          <w:type w:val="continuous"/>
        </w:sectPr>
      </w:pPr>
    </w:p>
    <w:bookmarkStart w:id="1" w:name="page2"/>
    <w:bookmarkEnd w:id="1"/>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2813050</wp:posOffset>
            </wp:positionH>
            <wp:positionV relativeFrom="page">
              <wp:posOffset>365125</wp:posOffset>
            </wp:positionV>
            <wp:extent cx="1935480" cy="52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35480" cy="5207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135890</wp:posOffset>
            </wp:positionV>
            <wp:extent cx="1813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To Be Held On May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135890</wp:posOffset>
            </wp:positionV>
            <wp:extent cx="1813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214" w:lineRule="exact"/>
        <w:rPr>
          <w:sz w:val="20"/>
          <w:szCs w:val="20"/>
          <w:color w:val="auto"/>
        </w:rPr>
      </w:pPr>
    </w:p>
    <w:p>
      <w:pPr>
        <w:ind w:right="420" w:firstLine="307"/>
        <w:spacing w:after="0" w:line="284" w:lineRule="auto"/>
        <w:rPr>
          <w:sz w:val="20"/>
          <w:szCs w:val="20"/>
          <w:color w:val="auto"/>
        </w:rPr>
      </w:pPr>
      <w:r>
        <w:rPr>
          <w:rFonts w:ascii="Times New Roman" w:cs="Times New Roman" w:eastAsia="Times New Roman" w:hAnsi="Times New Roman"/>
          <w:sz w:val="17"/>
          <w:szCs w:val="17"/>
          <w:color w:val="auto"/>
        </w:rPr>
        <w:t>The Annual Meeting of Stockholders (the “Meeting”) of Cohu, Inc. (“Cohu”) will be held at Cohu’s corporate offices, located at 12367 Crosthwaite Circle, Poway, California 92064-6817 on Wednesday, May 16, 2018, at 2:00 p.m. Pacific Time, for the following purposes:</w:t>
      </w:r>
    </w:p>
    <w:p>
      <w:pPr>
        <w:spacing w:after="0" w:line="152" w:lineRule="exact"/>
        <w:rPr>
          <w:sz w:val="20"/>
          <w:szCs w:val="20"/>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directors, for a term of three years each.</w:t>
      </w:r>
    </w:p>
    <w:p>
      <w:pPr>
        <w:spacing w:after="0" w:line="265"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to approve Named Executive Officer (“NEO”) compensation.</w:t>
      </w:r>
    </w:p>
    <w:p>
      <w:pPr>
        <w:spacing w:after="0" w:line="239" w:lineRule="exact"/>
        <w:rPr>
          <w:rFonts w:ascii="Times New Roman" w:cs="Times New Roman" w:eastAsia="Times New Roman" w:hAnsi="Times New Roman"/>
          <w:sz w:val="17"/>
          <w:szCs w:val="17"/>
          <w:color w:val="auto"/>
        </w:rPr>
      </w:pPr>
    </w:p>
    <w:p>
      <w:pPr>
        <w:ind w:left="920" w:right="220" w:hanging="303"/>
        <w:spacing w:after="0" w:line="284" w:lineRule="auto"/>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amendments to Cohu’s Certificate of Incorporation to enable implementation of majority voting for uncontested director elections, and to make certain other administrative or immaterial revisions.</w:t>
      </w:r>
    </w:p>
    <w:p>
      <w:pPr>
        <w:spacing w:after="0" w:line="152"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Ernst &amp; Young LLP as Cohu’s independent registered public accounting firm for 2018.</w:t>
      </w:r>
    </w:p>
    <w:p>
      <w:pPr>
        <w:spacing w:after="0" w:line="23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upon such other matters as may properly come before the Meeting or any adjournment or postponement thereof.</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Only stockholders of record of Cohu as of the close of business on March 19, 2018, will be entitled to vote at the Meeting.</w:t>
      </w:r>
    </w:p>
    <w:p>
      <w:pPr>
        <w:spacing w:after="0" w:line="214" w:lineRule="exact"/>
        <w:rPr>
          <w:sz w:val="20"/>
          <w:szCs w:val="20"/>
          <w:color w:val="auto"/>
        </w:rPr>
      </w:pPr>
    </w:p>
    <w:p>
      <w:pPr>
        <w:ind w:firstLine="295"/>
        <w:spacing w:after="0" w:line="284" w:lineRule="auto"/>
        <w:rPr>
          <w:sz w:val="20"/>
          <w:szCs w:val="20"/>
          <w:color w:val="auto"/>
        </w:rPr>
      </w:pPr>
      <w:r>
        <w:rPr>
          <w:rFonts w:ascii="Times New Roman" w:cs="Times New Roman" w:eastAsia="Times New Roman" w:hAnsi="Times New Roman"/>
          <w:sz w:val="17"/>
          <w:szCs w:val="17"/>
          <w:color w:val="auto"/>
        </w:rPr>
        <w:t>The holders of a majority of the outstanding shares of voting stock of Cohu entitled to vote at the Meeting must be represented in person or by proxy to constitute a quorum for the Meeting. All stockholders are urged either to attend the meeting in person or to vote by proxy.</w:t>
      </w:r>
    </w:p>
    <w:p>
      <w:pPr>
        <w:spacing w:after="0" w:line="152" w:lineRule="exact"/>
        <w:rPr>
          <w:sz w:val="20"/>
          <w:szCs w:val="20"/>
          <w:color w:val="auto"/>
        </w:rPr>
      </w:pPr>
    </w:p>
    <w:p>
      <w:pPr>
        <w:ind w:right="120" w:firstLine="307"/>
        <w:spacing w:after="0" w:line="267" w:lineRule="auto"/>
        <w:rPr>
          <w:sz w:val="20"/>
          <w:szCs w:val="20"/>
          <w:color w:val="auto"/>
        </w:rPr>
      </w:pPr>
      <w:r>
        <w:rPr>
          <w:rFonts w:ascii="Times New Roman" w:cs="Times New Roman" w:eastAsia="Times New Roman" w:hAnsi="Times New Roman"/>
          <w:sz w:val="17"/>
          <w:szCs w:val="17"/>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67" w:lineRule="exact"/>
        <w:rPr>
          <w:sz w:val="20"/>
          <w:szCs w:val="20"/>
          <w:color w:val="auto"/>
        </w:rPr>
      </w:pPr>
    </w:p>
    <w:p>
      <w:pPr>
        <w:ind w:right="140" w:firstLine="307"/>
        <w:spacing w:after="0" w:line="262" w:lineRule="auto"/>
        <w:rPr>
          <w:sz w:val="20"/>
          <w:szCs w:val="20"/>
          <w:color w:val="auto"/>
        </w:rPr>
      </w:pPr>
      <w:r>
        <w:rPr>
          <w:rFonts w:ascii="Times New Roman" w:cs="Times New Roman" w:eastAsia="Times New Roman" w:hAnsi="Times New Roman"/>
          <w:sz w:val="17"/>
          <w:szCs w:val="17"/>
          <w:color w:val="auto"/>
        </w:rPr>
        <w:t>Your vote is very important to us, and voting your proxy will ensure your representation at the Meeting. Whether or not you plan to attend the Annual Meeting, we urge you to vote as soon as possible and submit your proxy via the Internet, or if you requested to receive printed proxy materials, by telephone or by signing, dating and returning your proxy card. If you attend the meeting you may revoke your proxy and vote in person. You may also revoke your proxy by delivering a written notice to the Secretary of Cohu, or by submitting another duly signed proxy bearing a later date.</w:t>
      </w:r>
    </w:p>
    <w:p>
      <w:pPr>
        <w:spacing w:after="0" w:line="1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146685</wp:posOffset>
            </wp:positionV>
            <wp:extent cx="196786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78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Thomas D. Kampfer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Secretary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Poway,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 Meeting to be held on May 16, 2018: The Proxy Statement and Annual Report to Shareholders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315595</wp:posOffset>
            </wp:positionV>
            <wp:extent cx="72536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2992120</wp:posOffset>
            </wp:positionH>
            <wp:positionV relativeFrom="page">
              <wp:posOffset>365125</wp:posOffset>
            </wp:positionV>
            <wp:extent cx="1577340" cy="431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3116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135890</wp:posOffset>
            </wp:positionV>
            <wp:extent cx="181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149225</wp:posOffset>
            </wp:positionV>
            <wp:extent cx="181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8" w:lineRule="exact"/>
        <w:rPr>
          <w:sz w:val="20"/>
          <w:szCs w:val="20"/>
          <w:color w:val="auto"/>
        </w:rPr>
      </w:pPr>
    </w:p>
    <w:p>
      <w:pPr>
        <w:jc w:val="both"/>
        <w:ind w:right="20" w:firstLine="307"/>
        <w:spacing w:after="0" w:line="267"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by the Board of Directors of Cohu, Inc., a Delaware corporation ("Cohu" or the “Company”), of your proxy for use at the Annual Meeting of Stockholders to be held on Wednesday, May 16, 2018, at 2:00 p.m. Pacific Time at Cohu’s corporate offices, located at 12367 Crosthwaite Circle, Poway, California 92064-6817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218"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This year we are furnishing our proxy materials to our stockholders over the internet using “Notice and Access” delivery. We elected to use this method as it reduces the environmental impact of our annual meeting and our print and distribution costs. This proxy statement, the accompanying proxy card and the Cohu 2017 Annual Report are being made available to stockholders on or about April 3, 2018.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18" w:lineRule="exact"/>
        <w:rPr>
          <w:sz w:val="20"/>
          <w:szCs w:val="20"/>
          <w:color w:val="auto"/>
        </w:rPr>
      </w:pPr>
    </w:p>
    <w:p>
      <w:pPr>
        <w:ind w:right="60" w:firstLine="307"/>
        <w:spacing w:after="0" w:line="267" w:lineRule="auto"/>
        <w:rPr>
          <w:sz w:val="20"/>
          <w:szCs w:val="20"/>
          <w:color w:val="auto"/>
        </w:rPr>
      </w:pPr>
      <w:r>
        <w:rPr>
          <w:rFonts w:ascii="Times New Roman" w:cs="Times New Roman" w:eastAsia="Times New Roman" w:hAnsi="Times New Roman"/>
          <w:sz w:val="17"/>
          <w:szCs w:val="17"/>
          <w:color w:val="auto"/>
        </w:rPr>
        <w:t>On March 19, 2018, the record date fixed by our Board of Directors (the “Board”), Cohu had outstanding 28,551,897 shares of common stock. Only stockholders of record as of the close of business on March 19, 2018, will be entitled to vote at the Meeting and any adjournment thereof. We encourage you to read the entire Proxy Statement for more information prior to voting.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Procedures</w:t>
      </w:r>
    </w:p>
    <w:p>
      <w:pPr>
        <w:spacing w:after="0" w:line="21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As a stockholder of Cohu, you have a right to vote on certain business matters affecting Cohu. This proxy statement relates only to the solicitation of proxies from the stockholders with respect to the election of the Class 2 directors recommended by the Board of Directors, an advisory vote on executive compensation, to approve amendments to Cohu’s Certificate of Incorporation, and ratification of the appointment of the Company’s independent registered public accounting firm. Each share of Cohu’s common stock you own entitles you to one vote for each proposal. For the election of directors, stockholders may cumulate their votes as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Methods of Voting</w:t>
      </w:r>
    </w:p>
    <w:p>
      <w:pPr>
        <w:spacing w:after="0" w:line="218" w:lineRule="exact"/>
        <w:rPr>
          <w:sz w:val="20"/>
          <w:szCs w:val="20"/>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67" w:lineRule="exact"/>
        <w:rPr>
          <w:sz w:val="20"/>
          <w:szCs w:val="20"/>
          <w:color w:val="auto"/>
        </w:rPr>
      </w:pPr>
    </w:p>
    <w:p>
      <w:pPr>
        <w:jc w:val="both"/>
        <w:ind w:right="20" w:firstLine="307"/>
        <w:spacing w:after="0" w:line="264" w:lineRule="auto"/>
        <w:rPr>
          <w:sz w:val="20"/>
          <w:szCs w:val="20"/>
          <w:color w:val="auto"/>
        </w:rPr>
      </w:pPr>
      <w:r>
        <w:rPr>
          <w:rFonts w:ascii="Times New Roman" w:cs="Times New Roman" w:eastAsia="Times New Roman" w:hAnsi="Times New Roman"/>
          <w:sz w:val="17"/>
          <w:szCs w:val="17"/>
          <w:color w:val="auto"/>
        </w:rPr>
        <w:t xml:space="preserve">If you are a stockholder of record and return a signed proxy card but do not specify how you want to vote your shares, your shares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named nominees for director,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advisory vote to approve executive compensation,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amendments to Cohu’s Certificate of Incorporation,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appointment of Ernst &amp; Young LLP as Cohu’s independent registered public accounting firm for 2018, and in the discretion of the proxies (as defined below) as to other matters that may properly come before the Meeting.</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Voting over the Internet</w:t>
      </w:r>
      <w:r>
        <w:rPr>
          <w:rFonts w:ascii="Times New Roman" w:cs="Times New Roman" w:eastAsia="Times New Roman" w:hAnsi="Times New Roman"/>
          <w:sz w:val="17"/>
          <w:szCs w:val="17"/>
          <w:color w:val="auto"/>
        </w:rPr>
        <w:t>. To vote over the Internet, please follow the instructions included on your Notice of Internet Availability of Proxy Materials.</w:t>
      </w:r>
    </w:p>
    <w:p>
      <w:pPr>
        <w:spacing w:after="0" w:line="214" w:lineRule="exact"/>
        <w:rPr>
          <w:sz w:val="20"/>
          <w:szCs w:val="20"/>
          <w:color w:val="auto"/>
        </w:rPr>
      </w:pPr>
    </w:p>
    <w:p>
      <w:pPr>
        <w:ind w:right="160" w:firstLine="307"/>
        <w:spacing w:after="0" w:line="260" w:lineRule="auto"/>
        <w:rPr>
          <w:sz w:val="20"/>
          <w:szCs w:val="20"/>
          <w:color w:val="auto"/>
        </w:rPr>
      </w:pPr>
      <w:r>
        <w:rPr>
          <w:rFonts w:ascii="Times New Roman" w:cs="Times New Roman" w:eastAsia="Times New Roman" w:hAnsi="Times New Roman"/>
          <w:sz w:val="17"/>
          <w:szCs w:val="17"/>
          <w:b w:val="1"/>
          <w:bCs w:val="1"/>
          <w:color w:val="auto"/>
        </w:rPr>
        <w:t>Voting by Mail</w:t>
      </w:r>
      <w:r>
        <w:rPr>
          <w:rFonts w:ascii="Times New Roman" w:cs="Times New Roman" w:eastAsia="Times New Roman" w:hAnsi="Times New Roman"/>
          <w:sz w:val="17"/>
          <w:szCs w:val="17"/>
          <w:color w:val="auto"/>
        </w:rPr>
        <w:t>. If you have requested a paper copy of the proxy materials you may vote by mail by signing and returning the proxy card in the prepaid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ind w:right="420" w:firstLine="307"/>
        <w:spacing w:after="0" w:line="289" w:lineRule="auto"/>
        <w:rPr>
          <w:sz w:val="20"/>
          <w:szCs w:val="20"/>
          <w:color w:val="auto"/>
        </w:rPr>
      </w:pPr>
      <w:r>
        <w:rPr>
          <w:rFonts w:ascii="Times New Roman" w:cs="Times New Roman" w:eastAsia="Times New Roman" w:hAnsi="Times New Roman"/>
          <w:sz w:val="17"/>
          <w:szCs w:val="17"/>
          <w:b w:val="1"/>
          <w:bCs w:val="1"/>
          <w:color w:val="auto"/>
        </w:rPr>
        <w:t>Voting by Telephone</w:t>
      </w:r>
      <w:r>
        <w:rPr>
          <w:rFonts w:ascii="Times New Roman" w:cs="Times New Roman" w:eastAsia="Times New Roman" w:hAnsi="Times New Roman"/>
          <w:sz w:val="17"/>
          <w:szCs w:val="17"/>
          <w:color w:val="auto"/>
        </w:rPr>
        <w:t>. If you have requested a paper copy of the proxy materials you may vote by telephone, please follow the instructions included on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card. If you vote by telephone, you do not need to complete and mail your proxy card.</w:t>
      </w:r>
    </w:p>
    <w:p>
      <w:pPr>
        <w:spacing w:after="0" w:line="144" w:lineRule="exact"/>
        <w:rPr>
          <w:sz w:val="20"/>
          <w:szCs w:val="20"/>
          <w:color w:val="auto"/>
        </w:rPr>
      </w:pPr>
    </w:p>
    <w:p>
      <w:pPr>
        <w:ind w:right="140" w:firstLine="307"/>
        <w:spacing w:after="0" w:line="264" w:lineRule="auto"/>
        <w:rPr>
          <w:sz w:val="20"/>
          <w:szCs w:val="20"/>
          <w:color w:val="auto"/>
        </w:rPr>
      </w:pPr>
      <w:r>
        <w:rPr>
          <w:rFonts w:ascii="Times New Roman" w:cs="Times New Roman" w:eastAsia="Times New Roman" w:hAnsi="Times New Roman"/>
          <w:sz w:val="17"/>
          <w:szCs w:val="17"/>
          <w:b w:val="1"/>
          <w:bCs w:val="1"/>
          <w:color w:val="auto"/>
        </w:rPr>
        <w:t>Voting in Person at the Meeting</w:t>
      </w:r>
      <w:r>
        <w:rPr>
          <w:rFonts w:ascii="Times New Roman" w:cs="Times New Roman" w:eastAsia="Times New Roman" w:hAnsi="Times New Roman"/>
          <w:sz w:val="17"/>
          <w:szCs w:val="17"/>
          <w:color w:val="auto"/>
        </w:rPr>
        <w:t>. If you plan to attend the Meeting and vote in person, we will provide you with a ballot at the Meeting. If your shares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such shares at the Meeting, you will need to bring with you to the Meeting a legal proxy from your broker or other nominee authorizing you to vote such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Revoking Your Proxy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 may revoke your proxy at any time before it is voted at the Meeting. In order to do this, you must:</w:t>
      </w:r>
    </w:p>
    <w:p>
      <w:pPr>
        <w:spacing w:after="0" w:line="214" w:lineRule="exact"/>
        <w:rPr>
          <w:sz w:val="20"/>
          <w:szCs w:val="20"/>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a new vote over the Internet, by telephone or by signing and returning another proxy card bearing a later date;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written notice of the revocation to Cohu’s Secretary; or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Meeting and vote in person.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 Requirement</w:t>
      </w:r>
    </w:p>
    <w:p>
      <w:pPr>
        <w:spacing w:after="0" w:line="218" w:lineRule="exact"/>
        <w:rPr>
          <w:sz w:val="20"/>
          <w:szCs w:val="20"/>
          <w:color w:val="auto"/>
        </w:rPr>
      </w:pPr>
    </w:p>
    <w:p>
      <w:pPr>
        <w:ind w:right="20" w:firstLine="307"/>
        <w:spacing w:after="0" w:line="262" w:lineRule="auto"/>
        <w:rPr>
          <w:sz w:val="20"/>
          <w:szCs w:val="20"/>
          <w:color w:val="auto"/>
        </w:rPr>
      </w:pPr>
      <w:r>
        <w:rPr>
          <w:rFonts w:ascii="Times New Roman" w:cs="Times New Roman" w:eastAsia="Times New Roman" w:hAnsi="Times New Roman"/>
          <w:sz w:val="17"/>
          <w:szCs w:val="17"/>
          <w:color w:val="auto"/>
        </w:rPr>
        <w:t>A quorum, which is a majority of the outstanding shares entitled to vote as of the record date, March 19, 2018, must be present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non-votes (as described below) will be counted as present for the purpose of determining a quorum.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Votes Required for the Proposals</w:t>
      </w:r>
    </w:p>
    <w:p>
      <w:pPr>
        <w:spacing w:after="0" w:line="218" w:lineRule="exact"/>
        <w:rPr>
          <w:sz w:val="20"/>
          <w:szCs w:val="20"/>
          <w:color w:val="auto"/>
        </w:rPr>
      </w:pPr>
    </w:p>
    <w:p>
      <w:pPr>
        <w:ind w:right="80" w:firstLine="307"/>
        <w:spacing w:after="0" w:line="257" w:lineRule="auto"/>
        <w:rPr>
          <w:sz w:val="20"/>
          <w:szCs w:val="20"/>
          <w:color w:val="auto"/>
        </w:rPr>
      </w:pPr>
      <w:r>
        <w:rPr>
          <w:rFonts w:ascii="Times New Roman" w:cs="Times New Roman" w:eastAsia="Times New Roman" w:hAnsi="Times New Roman"/>
          <w:sz w:val="17"/>
          <w:szCs w:val="17"/>
          <w:color w:val="auto"/>
        </w:rPr>
        <w:t>For Proposal No. 1, the nominees receiving the highest number of votes, in person or by proxy, will be elected as directors. You may vote “for” the nominee for election as a director or you may “withhold” your vote. In the election of directors, stockholders may, as provided for in the Company’s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A stockholder may not cumulate his or her votes for a candidate unless a stockholder has given notice at the Meeting (whether by proxy or in person) prior to the voting, of his or her intention to cumulate his or her votes. If any stockholder gives such notice, all stockholders may then cumulate their votes. Management of Cohu is hereby soliciting discretionary authority to cumulate votes represented by proxies if cumulative voting is invoked.</w:t>
      </w:r>
    </w:p>
    <w:p>
      <w:pPr>
        <w:spacing w:after="0" w:line="174" w:lineRule="exact"/>
        <w:rPr>
          <w:sz w:val="20"/>
          <w:szCs w:val="20"/>
          <w:color w:val="auto"/>
        </w:rPr>
      </w:pPr>
    </w:p>
    <w:p>
      <w:pPr>
        <w:jc w:val="both"/>
        <w:ind w:right="40" w:firstLine="307"/>
        <w:spacing w:after="0" w:line="267" w:lineRule="auto"/>
        <w:rPr>
          <w:sz w:val="20"/>
          <w:szCs w:val="20"/>
          <w:color w:val="auto"/>
        </w:rPr>
      </w:pPr>
      <w:r>
        <w:rPr>
          <w:rFonts w:ascii="Times New Roman" w:cs="Times New Roman" w:eastAsia="Times New Roman" w:hAnsi="Times New Roman"/>
          <w:sz w:val="17"/>
          <w:szCs w:val="17"/>
          <w:color w:val="auto"/>
        </w:rPr>
        <w:t>The affirmative vote of a majority of the shares of Cohu common stock cast at the Meeting, in person or by proxy, is required for approval of the advisory vote on executive compensation (Proposal No. 2), and the ratification of the appointment of the Company’s independent registered public accounting firm (Proposal No. 4), as described herein.</w:t>
      </w:r>
    </w:p>
    <w:p>
      <w:pPr>
        <w:spacing w:after="0" w:line="167" w:lineRule="exact"/>
        <w:rPr>
          <w:sz w:val="20"/>
          <w:szCs w:val="20"/>
          <w:color w:val="auto"/>
        </w:rPr>
      </w:pPr>
    </w:p>
    <w:p>
      <w:pPr>
        <w:ind w:right="80" w:firstLine="307"/>
        <w:spacing w:after="0" w:line="267" w:lineRule="auto"/>
        <w:rPr>
          <w:sz w:val="20"/>
          <w:szCs w:val="20"/>
          <w:color w:val="auto"/>
        </w:rPr>
      </w:pPr>
      <w:r>
        <w:rPr>
          <w:rFonts w:ascii="Times New Roman" w:cs="Times New Roman" w:eastAsia="Times New Roman" w:hAnsi="Times New Roman"/>
          <w:sz w:val="17"/>
          <w:szCs w:val="17"/>
          <w:color w:val="auto"/>
        </w:rPr>
        <w:t>The affirmative vote of the holders of a majority of the issued and outstanding shares of common stock entitled to vote at the Meeting is required for the approval of amendments to Cohu’s Certificate of Incorporation to enable implementation of majority voting for uncontested director elections, and to make certain other administrative or immaterial revisions (Proposal No. 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218" w:lineRule="exact"/>
        <w:rPr>
          <w:sz w:val="20"/>
          <w:szCs w:val="20"/>
          <w:color w:val="auto"/>
        </w:rPr>
      </w:pPr>
    </w:p>
    <w:p>
      <w:pPr>
        <w:ind w:firstLine="307"/>
        <w:spacing w:after="0" w:line="256" w:lineRule="auto"/>
        <w:rPr>
          <w:sz w:val="20"/>
          <w:szCs w:val="20"/>
          <w:color w:val="auto"/>
        </w:rPr>
      </w:pPr>
      <w:r>
        <w:rPr>
          <w:rFonts w:ascii="Times New Roman" w:cs="Times New Roman" w:eastAsia="Times New Roman" w:hAnsi="Times New Roman"/>
          <w:sz w:val="17"/>
          <w:szCs w:val="17"/>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our sole “routine” matter — the ratification of the appointment of the Company’s independent registered public accounting firm (Proposal No. 4). Your broker will not have discretion to vote on any of the other matters, which are “non-routine” matters, absent direction from you. Accordingly, shares subject to a broker “non-vote” will not be considered entitled to vote with respect to proposals No. 1 and No. 2 and will not affect the outcome of these proposals; however, a broker “non-vote” with respect to approval of amendments to Cohu’s Certificate of Incorporation to enable implementation of majority voting for uncontested director elections (Proposal 3) will have the same effect as a vote against the proposal. We strongly encourage you to provide instructions to your broker regarding the voting of your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Abstentions</w:t>
      </w:r>
    </w:p>
    <w:p>
      <w:pPr>
        <w:spacing w:after="0" w:line="218" w:lineRule="exact"/>
        <w:rPr>
          <w:sz w:val="20"/>
          <w:szCs w:val="20"/>
          <w:color w:val="auto"/>
        </w:rPr>
      </w:pPr>
    </w:p>
    <w:p>
      <w:pPr>
        <w:ind w:right="20" w:firstLine="307"/>
        <w:spacing w:after="0" w:line="259" w:lineRule="auto"/>
        <w:rPr>
          <w:sz w:val="20"/>
          <w:szCs w:val="20"/>
          <w:color w:val="auto"/>
        </w:rPr>
      </w:pPr>
      <w:r>
        <w:rPr>
          <w:rFonts w:ascii="Times New Roman" w:cs="Times New Roman" w:eastAsia="Times New Roman" w:hAnsi="Times New Roman"/>
          <w:sz w:val="17"/>
          <w:szCs w:val="17"/>
          <w:color w:val="auto"/>
        </w:rPr>
        <w:t>Abstentions will have no effect on the election of directors (Proposal No.1). Abstentions will be treated as being present and entitled to vote for the purpose of determining a quorum, on the approval of the advisory vote on executive compensation (Proposal No. 2), and the ratification of the appointment of the Company’s independent registered public accounting firm (Proposal No. 4); however, an abstention with respect to approval of amendments to Cohu’s Certificate of Incorporation to enable implementation of majority voting for uncontested director elections and to make certain other administrative or immaterial revisions (Proposal 3) will have the same effect as a vote against the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Confidentiality</w:t>
      </w:r>
    </w:p>
    <w:p>
      <w:pPr>
        <w:spacing w:after="0" w:line="218" w:lineRule="exact"/>
        <w:rPr>
          <w:sz w:val="20"/>
          <w:szCs w:val="20"/>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Proxies, ballots and voting tabulations are handled on a confidential basis to protect your voting privacy. Such information will not be disclosed except as required by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Results</w:t>
      </w:r>
    </w:p>
    <w:p>
      <w:pPr>
        <w:spacing w:after="0" w:line="218" w:lineRule="exact"/>
        <w:rPr>
          <w:sz w:val="20"/>
          <w:szCs w:val="20"/>
          <w:color w:val="auto"/>
        </w:rPr>
      </w:pPr>
    </w:p>
    <w:p>
      <w:pPr>
        <w:jc w:val="both"/>
        <w:ind w:right="240" w:firstLine="307"/>
        <w:spacing w:after="0" w:line="267" w:lineRule="auto"/>
        <w:rPr>
          <w:sz w:val="20"/>
          <w:szCs w:val="20"/>
          <w:color w:val="auto"/>
        </w:rPr>
      </w:pPr>
      <w:r>
        <w:rPr>
          <w:rFonts w:ascii="Times New Roman" w:cs="Times New Roman" w:eastAsia="Times New Roman" w:hAnsi="Times New Roman"/>
          <w:sz w:val="17"/>
          <w:szCs w:val="17"/>
          <w:color w:val="auto"/>
        </w:rPr>
        <w:t xml:space="preserve">Final voting results will be announced at the Meeting and will be posted shortly after the Meeting on our website at </w:t>
      </w:r>
      <w:r>
        <w:rPr>
          <w:rFonts w:ascii="Times New Roman" w:cs="Times New Roman" w:eastAsia="Times New Roman" w:hAnsi="Times New Roman"/>
          <w:sz w:val="17"/>
          <w:szCs w:val="17"/>
          <w:u w:val="single" w:color="auto"/>
          <w:color w:val="auto"/>
        </w:rPr>
        <w:t>www.cohu.com</w:t>
      </w:r>
      <w:r>
        <w:rPr>
          <w:rFonts w:ascii="Times New Roman" w:cs="Times New Roman" w:eastAsia="Times New Roman" w:hAnsi="Times New Roman"/>
          <w:sz w:val="17"/>
          <w:szCs w:val="17"/>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67" w:lineRule="exact"/>
        <w:rPr>
          <w:sz w:val="20"/>
          <w:szCs w:val="20"/>
          <w:color w:val="auto"/>
        </w:rPr>
      </w:pPr>
    </w:p>
    <w:p>
      <w:pPr>
        <w:ind w:left="640" w:hanging="330"/>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visiting our website at </w:t>
      </w:r>
      <w:r>
        <w:rPr>
          <w:rFonts w:ascii="Times New Roman" w:cs="Times New Roman" w:eastAsia="Times New Roman" w:hAnsi="Times New Roman"/>
          <w:sz w:val="17"/>
          <w:szCs w:val="17"/>
          <w:u w:val="single" w:color="auto"/>
          <w:color w:val="auto"/>
        </w:rPr>
        <w:t>www.cohu.com</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ind w:left="640" w:hanging="330"/>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contacting our Investor Relations department at 858-848-8100; or</w:t>
      </w:r>
    </w:p>
    <w:p>
      <w:pPr>
        <w:spacing w:after="0" w:line="214" w:lineRule="exact"/>
        <w:rPr>
          <w:rFonts w:ascii="Times New Roman" w:cs="Times New Roman" w:eastAsia="Times New Roman" w:hAnsi="Times New Roman"/>
          <w:sz w:val="17"/>
          <w:szCs w:val="17"/>
          <w:color w:val="auto"/>
        </w:rPr>
      </w:pPr>
    </w:p>
    <w:p>
      <w:pPr>
        <w:ind w:left="640" w:hanging="330"/>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viewing our Form 8-K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Solicitation Costs</w:t>
      </w:r>
    </w:p>
    <w:p>
      <w:pPr>
        <w:spacing w:after="0" w:line="218" w:lineRule="exact"/>
        <w:rPr>
          <w:sz w:val="20"/>
          <w:szCs w:val="20"/>
          <w:color w:val="auto"/>
        </w:rPr>
      </w:pPr>
    </w:p>
    <w:p>
      <w:pPr>
        <w:ind w:right="60" w:firstLine="307"/>
        <w:spacing w:after="0" w:line="262" w:lineRule="auto"/>
        <w:rPr>
          <w:sz w:val="20"/>
          <w:szCs w:val="20"/>
          <w:color w:val="auto"/>
        </w:rPr>
      </w:pPr>
      <w:r>
        <w:rPr>
          <w:rFonts w:ascii="Times New Roman" w:cs="Times New Roman" w:eastAsia="Times New Roman" w:hAnsi="Times New Roman"/>
          <w:sz w:val="17"/>
          <w:szCs w:val="17"/>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 MEETING TO BE HELD ON MAY 16, 2018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proxy statement and Cohu’s Fiscal Year 2017 Annual Report are both available at www.proxyvote.com.</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18" w:lineRule="exact"/>
        <w:rPr>
          <w:sz w:val="20"/>
          <w:szCs w:val="20"/>
          <w:color w:val="auto"/>
        </w:rPr>
      </w:pPr>
    </w:p>
    <w:p>
      <w:pPr>
        <w:ind w:right="40" w:firstLine="307"/>
        <w:spacing w:after="0" w:line="257" w:lineRule="auto"/>
        <w:rPr>
          <w:sz w:val="20"/>
          <w:szCs w:val="20"/>
          <w:color w:val="auto"/>
        </w:rPr>
      </w:pPr>
      <w:r>
        <w:rPr>
          <w:rFonts w:ascii="Times New Roman" w:cs="Times New Roman" w:eastAsia="Times New Roman" w:hAnsi="Times New Roman"/>
          <w:sz w:val="17"/>
          <w:szCs w:val="17"/>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Class 2 directors are to be elected for a term expiring in 2021. The shares represented by proxies in the accompanying form will be voted by the proxy holders for the election of the nominees named below. In the event the election of directors is to be by cumulative voting, the proxy holders will vote the shares represented by proxies in such proportions as the proxy holders see fit. Should the nominee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NEOs.</w:t>
      </w:r>
    </w:p>
    <w:p>
      <w:pPr>
        <w:spacing w:after="0" w:line="174" w:lineRule="exact"/>
        <w:rPr>
          <w:sz w:val="20"/>
          <w:szCs w:val="20"/>
          <w:color w:val="auto"/>
        </w:rPr>
      </w:pPr>
    </w:p>
    <w:p>
      <w:pPr>
        <w:ind w:right="80" w:firstLine="307"/>
        <w:spacing w:after="0" w:line="258" w:lineRule="auto"/>
        <w:rPr>
          <w:sz w:val="20"/>
          <w:szCs w:val="20"/>
          <w:color w:val="auto"/>
        </w:rPr>
      </w:pPr>
      <w:r>
        <w:rPr>
          <w:rFonts w:ascii="Times New Roman" w:cs="Times New Roman" w:eastAsia="Times New Roman" w:hAnsi="Times New Roman"/>
          <w:sz w:val="17"/>
          <w:szCs w:val="17"/>
          <w:color w:val="auto"/>
        </w:rPr>
        <w:t>The following paragraphs provide information as of the date of this proxy statement about each member of our Board. The information presented includes information the director has given us about his age, all positions he holds, his principal occupation and business experience for the past five years, and the names of other publicly-held companies on which he currently serves as a director or has served as a director during the past five years. In addition to the information presented below regarding the nominee’s specific experience, qualifications, attributes and skills that led our Board to the conclusion that each nominee should serve as a director, we also believe that our director nominees have a reputation for integrity, honesty and adherence to high ethical standards. Each nominee has demonstrated business acumen and an ability to exercise sound judgment, as well as a commitment of service to Cohu and our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4" w:lineRule="exact"/>
        <w:rPr>
          <w:sz w:val="20"/>
          <w:szCs w:val="20"/>
          <w:color w:val="auto"/>
        </w:rPr>
      </w:pPr>
    </w:p>
    <w:p>
      <w:pPr>
        <w:ind w:right="580" w:firstLine="307"/>
        <w:spacing w:after="0" w:line="289" w:lineRule="auto"/>
        <w:rPr>
          <w:sz w:val="20"/>
          <w:szCs w:val="20"/>
          <w:color w:val="auto"/>
        </w:rPr>
      </w:pPr>
      <w:r>
        <w:rPr>
          <w:rFonts w:ascii="Times New Roman" w:cs="Times New Roman" w:eastAsia="Times New Roman" w:hAnsi="Times New Roman"/>
          <w:sz w:val="17"/>
          <w:szCs w:val="17"/>
          <w:color w:val="auto"/>
        </w:rPr>
        <w:t xml:space="preserve">The nominees receiving the highest number of votes cast will be elected as Directors. </w:t>
      </w:r>
      <w:r>
        <w:rPr>
          <w:rFonts w:ascii="Times New Roman" w:cs="Times New Roman" w:eastAsia="Times New Roman" w:hAnsi="Times New Roman"/>
          <w:sz w:val="17"/>
          <w:szCs w:val="17"/>
          <w:i w:val="1"/>
          <w:iCs w:val="1"/>
          <w:color w:val="auto"/>
        </w:rPr>
        <w:t>Brokers do not have discretion to vote on this proposal without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instruction. If you do not instruct your broker how to vote on this proposal, your broker will deliver a non-vote on this proposal.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the nominees named below.</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Directors Whose Term Expires in 2021 (if elected) -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843395" cy="1083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3395" cy="108394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Andrew M. Caggia, Director since 2014, age 69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c>
          <w:tcPr>
            <w:tcW w:w="640" w:type="dxa"/>
            <w:vAlign w:val="bottom"/>
          </w:tcPr>
          <w:p>
            <w:pPr>
              <w:spacing w:after="0"/>
              <w:rPr>
                <w:sz w:val="17"/>
                <w:szCs w:val="17"/>
                <w:color w:val="auto"/>
              </w:rPr>
            </w:pP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Mr. Caggia is the retired Senior Vice President and Chief Financial Officer of</w:t>
            </w:r>
          </w:p>
        </w:tc>
        <w:tc>
          <w:tcPr>
            <w:tcW w:w="53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We believe Mr. Caggia’s qualifications to sit on our Board include his</w:t>
            </w:r>
          </w:p>
        </w:tc>
        <w:tc>
          <w:tcPr>
            <w:tcW w:w="640" w:type="dxa"/>
            <w:vAlign w:val="bottom"/>
          </w:tcPr>
          <w:p>
            <w:pPr>
              <w:spacing w:after="0"/>
              <w:rPr>
                <w:sz w:val="15"/>
                <w:szCs w:val="15"/>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 Microsystems Corporation (SMSC) where he worked from 2000 until</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executive experience in the semiconductor industry and his experience with</w:t>
            </w:r>
          </w:p>
        </w:tc>
        <w:tc>
          <w:tcPr>
            <w:tcW w:w="64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his retirement in 2006. Mr. Caggia also served as a director of SMSC from</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financial accounting matters for complex global organizations as well as his</w:t>
            </w:r>
          </w:p>
        </w:tc>
        <w:tc>
          <w:tcPr>
            <w:tcW w:w="64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2001 until its purchase by Microchip Technology Incorporated in 2012.</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knowledge of business strategy. Mr. Caggia qualifies as an “audit committee</w:t>
            </w:r>
          </w:p>
        </w:tc>
        <w:tc>
          <w:tcPr>
            <w:tcW w:w="64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expert” under SEC guidelines.</w:t>
            </w:r>
          </w:p>
        </w:tc>
        <w:tc>
          <w:tcPr>
            <w:tcW w:w="640" w:type="dxa"/>
            <w:vAlign w:val="bottom"/>
          </w:tcPr>
          <w:p>
            <w:pPr>
              <w:spacing w:after="0"/>
              <w:rPr>
                <w:sz w:val="19"/>
                <w:szCs w:val="19"/>
                <w:color w:val="auto"/>
              </w:rPr>
            </w:pPr>
          </w:p>
        </w:tc>
      </w:tr>
      <w:tr>
        <w:trPr>
          <w:trHeight w:val="403"/>
        </w:trPr>
        <w:tc>
          <w:tcPr>
            <w:tcW w:w="546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tcPr>
          <w:p>
            <w:pPr>
              <w:spacing w:after="0"/>
              <w:rPr>
                <w:sz w:val="24"/>
                <w:szCs w:val="24"/>
                <w:color w:val="auto"/>
              </w:rPr>
            </w:pPr>
          </w:p>
        </w:tc>
      </w:tr>
      <w:tr>
        <w:trPr>
          <w:trHeight w:val="107"/>
        </w:trPr>
        <w:tc>
          <w:tcPr>
            <w:tcW w:w="546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4" w:right="2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7"/>
          <w:szCs w:val="17"/>
          <w:b w:val="1"/>
          <w:bCs w:val="1"/>
          <w:color w:val="auto"/>
        </w:rPr>
        <w:t>Directors Whose Term Expires in 2021 (if elected) - Class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843395" cy="1474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3395" cy="147447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Luis A. Müller, Director since 2014, age 48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Dr. Müller has been the President and Chief Executive Officer of Cohu since</w:t>
            </w:r>
          </w:p>
        </w:tc>
        <w:tc>
          <w:tcPr>
            <w:tcW w:w="53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We believe Dr. Müller’s qualifications to sit on our Board include his more</w:t>
            </w: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28, 2014. His previous roles at Cohu include serving as President of</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than twenty years of experience in the semiconductor equipment industry,</w:t>
            </w: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Cohu’s Semiconductor Equipment Group (“SEG”) from 2011 to 2014;</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broad knowledge of business development and strategy, semiconductor</w:t>
            </w: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Managing Director of Rasco GmbH from 2009 to 2011; Vice President of</w:t>
            </w: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technologies, corporate governance and international operations.</w:t>
            </w: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Delta Design’s High Speed Handling Group from 2008 to 2009; and Director</w:t>
            </w:r>
          </w:p>
        </w:tc>
        <w:tc>
          <w:tcPr>
            <w:tcW w:w="53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 Engineering at Delta Design from 2005 to 2008. Prior to joining Cohu Dr.</w:t>
            </w:r>
          </w:p>
        </w:tc>
        <w:tc>
          <w:tcPr>
            <w:tcW w:w="53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Müller spent nine years at Teradyne Inc., where he held management positions</w:t>
            </w:r>
          </w:p>
        </w:tc>
        <w:tc>
          <w:tcPr>
            <w:tcW w:w="532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engineering and business development.</w:t>
            </w:r>
          </w:p>
        </w:tc>
        <w:tc>
          <w:tcPr>
            <w:tcW w:w="5320" w:type="dxa"/>
            <w:vAlign w:val="bottom"/>
            <w:tcBorders>
              <w:bottom w:val="single" w:sz="8" w:color="auto"/>
            </w:tcBorders>
          </w:tcPr>
          <w:p>
            <w:pPr>
              <w:spacing w:after="0"/>
              <w:rPr>
                <w:sz w:val="19"/>
                <w:szCs w:val="19"/>
                <w:color w:val="auto"/>
              </w:rPr>
            </w:pPr>
          </w:p>
        </w:tc>
      </w:tr>
    </w:tbl>
    <w:p>
      <w:pPr>
        <w:spacing w:after="0" w:line="1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INFORMATION CONCERNING OTHER DIRECTORS NOT STANDING FOR ELECTION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Directors Whose Term Expires in 2019 – 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851650" cy="147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1650" cy="147447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James A. Donahue, Director since 1999 (non-executive Director since 2015), age 69</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c>
          <w:tcPr>
            <w:tcW w:w="620" w:type="dxa"/>
            <w:vAlign w:val="bottom"/>
          </w:tcPr>
          <w:p>
            <w:pPr>
              <w:spacing w:after="0"/>
              <w:rPr>
                <w:sz w:val="17"/>
                <w:szCs w:val="17"/>
                <w:color w:val="auto"/>
              </w:rPr>
            </w:pP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Mr. Donahue has been the non-executive Chairman of Cohu since December</w:t>
            </w: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9"/>
              </w:rPr>
              <w:t>We believe Mr. Donahue’s qualifications to sit on our Board include his more</w:t>
            </w:r>
          </w:p>
        </w:tc>
        <w:tc>
          <w:tcPr>
            <w:tcW w:w="620" w:type="dxa"/>
            <w:vAlign w:val="bottom"/>
          </w:tcPr>
          <w:p>
            <w:pPr>
              <w:spacing w:after="0"/>
              <w:rPr>
                <w:sz w:val="15"/>
                <w:szCs w:val="15"/>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24, 2015. Prior to this he served as Executive Chairman of Cohu from</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than thirty years of executive experience in the semiconductor equipment</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28, 2014 to December 24, 2015 and as Chairman of the Board from</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industry and broad knowledge of business development and strategy,</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2010 until 2014. Mr. Donahue was President and Chief Executive Officer of</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corporate governance and operations.</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Cohu from June 2000 to December 2014 and President and Chief Operating</w:t>
            </w: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Officer of Cohu from 1999 to 2000. He also served concurrently as President</w:t>
            </w: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 Delta Design, Inc., a wholly owned subsidiary of Cohu from 1983 to 2010.</w:t>
            </w: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Donahue served as a director of SMSC from 2003 until 2012.</w:t>
            </w:r>
          </w:p>
        </w:tc>
        <w:tc>
          <w:tcPr>
            <w:tcW w:w="53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194"/>
        </w:trPr>
        <w:tc>
          <w:tcPr>
            <w:tcW w:w="546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546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7"/>
                <w:szCs w:val="17"/>
                <w:b w:val="1"/>
                <w:bCs w:val="1"/>
                <w:color w:val="auto"/>
              </w:rPr>
              <w:t>Steven J. Bilodeau, Director since 2009, age 59</w:t>
            </w:r>
          </w:p>
        </w:tc>
        <w:tc>
          <w:tcPr>
            <w:tcW w:w="5340" w:type="dxa"/>
            <w:vAlign w:val="bottom"/>
            <w:tcBorders>
              <w:bottom w:val="single" w:sz="8" w:color="auto"/>
              <w:right w:val="single" w:sz="8" w:color="auto"/>
            </w:tcBorders>
            <w:shd w:val="clear" w:color="auto" w:fill="E6E6E6"/>
          </w:tcPr>
          <w:p>
            <w:pPr>
              <w:spacing w:after="0"/>
              <w:rPr>
                <w:sz w:val="17"/>
                <w:szCs w:val="17"/>
                <w:color w:val="auto"/>
              </w:rPr>
            </w:pPr>
          </w:p>
        </w:tc>
        <w:tc>
          <w:tcPr>
            <w:tcW w:w="620" w:type="dxa"/>
            <w:vAlign w:val="bottom"/>
          </w:tcPr>
          <w:p>
            <w:pPr>
              <w:spacing w:after="0"/>
              <w:rPr>
                <w:sz w:val="17"/>
                <w:szCs w:val="17"/>
                <w:color w:val="auto"/>
              </w:rPr>
            </w:pPr>
          </w:p>
        </w:tc>
      </w:tr>
      <w:tr>
        <w:trPr>
          <w:trHeight w:val="20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c>
          <w:tcPr>
            <w:tcW w:w="620" w:type="dxa"/>
            <w:vAlign w:val="bottom"/>
          </w:tcPr>
          <w:p>
            <w:pPr>
              <w:spacing w:after="0"/>
              <w:rPr>
                <w:sz w:val="17"/>
                <w:szCs w:val="17"/>
                <w:color w:val="auto"/>
              </w:rPr>
            </w:pP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Mr. Bilodeau is the retired President and Chief Executive Officer of SMSC,</w:t>
            </w:r>
          </w:p>
        </w:tc>
        <w:tc>
          <w:tcPr>
            <w:tcW w:w="53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We believe Mr. Bilodeau’s qualifications to sit on our Board include his</w:t>
            </w:r>
          </w:p>
        </w:tc>
        <w:tc>
          <w:tcPr>
            <w:tcW w:w="620" w:type="dxa"/>
            <w:vAlign w:val="bottom"/>
          </w:tcPr>
          <w:p>
            <w:pPr>
              <w:spacing w:after="0"/>
              <w:rPr>
                <w:sz w:val="15"/>
                <w:szCs w:val="15"/>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 semiconductor manufacturer, where he served from 1999 until 2008. Mr.</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more than thirty years of executive experience in the high technology and</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Bilodeau has been a director of Maxwell Technologies since May 2016 and</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semiconductor industries and his knowledge of international operations,</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was appointed Chairman in May 2017. Mr. Bilodeau also served as a</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business strategy and corporate governance. Mr. Bilodeau qualifies as an</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 of SMSC from 1999 until 2012, and as SMSC’s Chairman of the</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“audit committee financial expert” under SEC guidelines</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Board from 2000 until 2012. Mr. Bilodeau also previously served as a</w:t>
            </w:r>
          </w:p>
        </w:tc>
        <w:tc>
          <w:tcPr>
            <w:tcW w:w="53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 of NuHorizons Electronic Corp, Conexant Systems, Inc. and</w:t>
            </w:r>
          </w:p>
        </w:tc>
        <w:tc>
          <w:tcPr>
            <w:tcW w:w="53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Gennum Corporation.</w:t>
            </w:r>
          </w:p>
        </w:tc>
        <w:tc>
          <w:tcPr>
            <w:tcW w:w="5340" w:type="dxa"/>
            <w:vAlign w:val="bottom"/>
            <w:tcBorders>
              <w:bottom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403"/>
        </w:trPr>
        <w:tc>
          <w:tcPr>
            <w:tcW w:w="5460" w:type="dxa"/>
            <w:vAlign w:val="bottom"/>
          </w:tcPr>
          <w:p>
            <w:pPr>
              <w:spacing w:after="0"/>
              <w:rPr>
                <w:sz w:val="24"/>
                <w:szCs w:val="24"/>
                <w:color w:val="auto"/>
              </w:rPr>
            </w:pPr>
          </w:p>
        </w:tc>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6</w:t>
            </w:r>
          </w:p>
        </w:tc>
        <w:tc>
          <w:tcPr>
            <w:tcW w:w="620" w:type="dxa"/>
            <w:vAlign w:val="bottom"/>
          </w:tcPr>
          <w:p>
            <w:pPr>
              <w:spacing w:after="0"/>
              <w:rPr>
                <w:sz w:val="24"/>
                <w:szCs w:val="24"/>
                <w:color w:val="auto"/>
              </w:rPr>
            </w:pPr>
          </w:p>
        </w:tc>
      </w:tr>
      <w:tr>
        <w:trPr>
          <w:trHeight w:val="107"/>
        </w:trPr>
        <w:tc>
          <w:tcPr>
            <w:tcW w:w="5460" w:type="dxa"/>
            <w:vAlign w:val="bottom"/>
            <w:tcBorders>
              <w:bottom w:val="single" w:sz="8" w:color="auto"/>
            </w:tcBorders>
          </w:tcPr>
          <w:p>
            <w:pPr>
              <w:spacing w:after="0"/>
              <w:rPr>
                <w:sz w:val="9"/>
                <w:szCs w:val="9"/>
                <w:color w:val="auto"/>
              </w:rPr>
            </w:pPr>
          </w:p>
        </w:tc>
        <w:tc>
          <w:tcPr>
            <w:tcW w:w="53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7" w:right="2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7"/>
          <w:szCs w:val="17"/>
          <w:b w:val="1"/>
          <w:bCs w:val="1"/>
          <w:color w:val="auto"/>
        </w:rPr>
        <w:t>Directors Whose Term Expires in 2020 -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851650" cy="1083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1650" cy="108394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William E. Bendush, Director since 2011, age 69</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c>
          <w:tcPr>
            <w:tcW w:w="620" w:type="dxa"/>
            <w:vAlign w:val="bottom"/>
          </w:tcPr>
          <w:p>
            <w:pPr>
              <w:spacing w:after="0"/>
              <w:rPr>
                <w:sz w:val="17"/>
                <w:szCs w:val="17"/>
                <w:color w:val="auto"/>
              </w:rPr>
            </w:pP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w w:val="99"/>
              </w:rPr>
              <w:t>Mr. Bendush is the retired Senior Vice President and Chief Financial Officer of</w:t>
            </w: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We believe Mr. Bendush’s qualifications to sit on our Board include his</w:t>
            </w:r>
          </w:p>
        </w:tc>
        <w:tc>
          <w:tcPr>
            <w:tcW w:w="620" w:type="dxa"/>
            <w:vAlign w:val="bottom"/>
          </w:tcPr>
          <w:p>
            <w:pPr>
              <w:spacing w:after="0"/>
              <w:rPr>
                <w:sz w:val="15"/>
                <w:szCs w:val="15"/>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Applied Micro Circuits Corporation (AMCC), a communications</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executive experience in the semiconductor industry and his experience with</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semiconductor company where he served from 1999 to 2003. Mr. Bendush has</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financial accounting matters for complex global organizations as well as his</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been a Director of Microsemi Corp. since 2003 and was a Director of</w:t>
            </w: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knowledge of business strategy. Mr. Bendush qualifies as an “audit</w:t>
            </w:r>
          </w:p>
        </w:tc>
        <w:tc>
          <w:tcPr>
            <w:tcW w:w="62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Conexant Systems, Inc.</w:t>
            </w:r>
          </w:p>
        </w:tc>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committee financial expert” under SEC guidelines.</w:t>
            </w:r>
          </w:p>
        </w:tc>
        <w:tc>
          <w:tcPr>
            <w:tcW w:w="620" w:type="dxa"/>
            <w:vAlign w:val="bottom"/>
          </w:tcPr>
          <w:p>
            <w:pPr>
              <w:spacing w:after="0"/>
              <w:rPr>
                <w:sz w:val="19"/>
                <w:szCs w:val="19"/>
                <w:color w:val="auto"/>
              </w:rPr>
            </w:pPr>
          </w:p>
        </w:tc>
      </w:tr>
      <w:tr>
        <w:trPr>
          <w:trHeight w:val="194"/>
        </w:trPr>
        <w:tc>
          <w:tcPr>
            <w:tcW w:w="546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546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7"/>
                <w:szCs w:val="17"/>
                <w:b w:val="1"/>
                <w:bCs w:val="1"/>
                <w:color w:val="auto"/>
              </w:rPr>
              <w:t>Robert L. Ciardella, Director since 2003, age 65</w:t>
            </w:r>
          </w:p>
        </w:tc>
        <w:tc>
          <w:tcPr>
            <w:tcW w:w="5340" w:type="dxa"/>
            <w:vAlign w:val="bottom"/>
            <w:tcBorders>
              <w:bottom w:val="single" w:sz="8" w:color="auto"/>
              <w:right w:val="single" w:sz="8" w:color="auto"/>
            </w:tcBorders>
            <w:shd w:val="clear" w:color="auto" w:fill="E6E6E6"/>
          </w:tcPr>
          <w:p>
            <w:pPr>
              <w:spacing w:after="0"/>
              <w:rPr>
                <w:sz w:val="17"/>
                <w:szCs w:val="17"/>
                <w:color w:val="auto"/>
              </w:rPr>
            </w:pPr>
          </w:p>
        </w:tc>
        <w:tc>
          <w:tcPr>
            <w:tcW w:w="620" w:type="dxa"/>
            <w:vAlign w:val="bottom"/>
          </w:tcPr>
          <w:p>
            <w:pPr>
              <w:spacing w:after="0"/>
              <w:rPr>
                <w:sz w:val="17"/>
                <w:szCs w:val="17"/>
                <w:color w:val="auto"/>
              </w:rPr>
            </w:pPr>
          </w:p>
        </w:tc>
      </w:tr>
      <w:tr>
        <w:trPr>
          <w:trHeight w:val="20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Business Experience and Other Directorships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 Qualifications and Attributes</w:t>
            </w:r>
          </w:p>
        </w:tc>
        <w:tc>
          <w:tcPr>
            <w:tcW w:w="620" w:type="dxa"/>
            <w:vAlign w:val="bottom"/>
          </w:tcPr>
          <w:p>
            <w:pPr>
              <w:spacing w:after="0"/>
              <w:rPr>
                <w:sz w:val="17"/>
                <w:szCs w:val="17"/>
                <w:color w:val="auto"/>
              </w:rPr>
            </w:pPr>
          </w:p>
        </w:tc>
      </w:tr>
      <w:tr>
        <w:trPr>
          <w:trHeight w:val="181"/>
        </w:trPr>
        <w:tc>
          <w:tcPr>
            <w:tcW w:w="54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Mr. Ciardella is the founder and Chief Executive Officer of AdvanJet, Inc. (a</w:t>
            </w:r>
          </w:p>
        </w:tc>
        <w:tc>
          <w:tcPr>
            <w:tcW w:w="53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w w:val="99"/>
              </w:rPr>
              <w:t>We believe Mr. Ciardella’s qualifications to sit on our Board include his more</w:t>
            </w:r>
          </w:p>
        </w:tc>
        <w:tc>
          <w:tcPr>
            <w:tcW w:w="620" w:type="dxa"/>
            <w:vAlign w:val="bottom"/>
          </w:tcPr>
          <w:p>
            <w:pPr>
              <w:spacing w:after="0"/>
              <w:rPr>
                <w:sz w:val="15"/>
                <w:szCs w:val="15"/>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subsidiary of Graco, Inc., GGG) and has served in that role from June 2010 to</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than thirty years of executive experience in the semiconductor equipment</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present. AdvanJet designs and manufactures advanced micro-dispensing</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industry, including his knowledge of operations, product development and</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equipment. Mr. Ciardella is also the founder and retired President of Asymtek</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business strategy. Mr. Ciardella was first appointed Lead Independent</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 subsidiary of Nordson Corporation, NDSN) where he worked from 1983</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Director of the Board in March 2010 and was most recently reappointed to</w:t>
            </w:r>
          </w:p>
        </w:tc>
        <w:tc>
          <w:tcPr>
            <w:tcW w:w="620" w:type="dxa"/>
            <w:vAlign w:val="bottom"/>
          </w:tcPr>
          <w:p>
            <w:pPr>
              <w:spacing w:after="0"/>
              <w:rPr>
                <w:sz w:val="17"/>
                <w:szCs w:val="17"/>
                <w:color w:val="auto"/>
              </w:rPr>
            </w:pPr>
          </w:p>
        </w:tc>
      </w:tr>
      <w:tr>
        <w:trPr>
          <w:trHeight w:val="205"/>
        </w:trPr>
        <w:tc>
          <w:tcPr>
            <w:tcW w:w="5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until 2006. Asymtek designs, develops, manufactures and sells semiconductor</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that role on May 10, 2017.</w:t>
            </w:r>
          </w:p>
        </w:tc>
        <w:tc>
          <w:tcPr>
            <w:tcW w:w="620" w:type="dxa"/>
            <w:vAlign w:val="bottom"/>
          </w:tcPr>
          <w:p>
            <w:pPr>
              <w:spacing w:after="0"/>
              <w:rPr>
                <w:sz w:val="17"/>
                <w:szCs w:val="17"/>
                <w:color w:val="auto"/>
              </w:rPr>
            </w:pPr>
          </w:p>
        </w:tc>
      </w:tr>
      <w:tr>
        <w:trPr>
          <w:trHeight w:val="221"/>
        </w:trPr>
        <w:tc>
          <w:tcPr>
            <w:tcW w:w="5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circuit board assembly equipment.</w:t>
            </w:r>
          </w:p>
        </w:tc>
        <w:tc>
          <w:tcPr>
            <w:tcW w:w="5340" w:type="dxa"/>
            <w:vAlign w:val="bottom"/>
            <w:tcBorders>
              <w:bottom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403"/>
        </w:trPr>
        <w:tc>
          <w:tcPr>
            <w:tcW w:w="5460" w:type="dxa"/>
            <w:vAlign w:val="bottom"/>
          </w:tcPr>
          <w:p>
            <w:pPr>
              <w:spacing w:after="0"/>
              <w:rPr>
                <w:sz w:val="24"/>
                <w:szCs w:val="24"/>
                <w:color w:val="auto"/>
              </w:rPr>
            </w:pPr>
          </w:p>
        </w:tc>
        <w:tc>
          <w:tcPr>
            <w:tcW w:w="5340" w:type="dxa"/>
            <w:vAlign w:val="bottom"/>
          </w:tcPr>
          <w:p>
            <w:pPr>
              <w:jc w:val="right"/>
              <w:ind w:right="4955"/>
              <w:spacing w:after="0"/>
              <w:rPr>
                <w:sz w:val="20"/>
                <w:szCs w:val="20"/>
                <w:color w:val="auto"/>
              </w:rPr>
            </w:pPr>
            <w:r>
              <w:rPr>
                <w:rFonts w:ascii="Times New Roman" w:cs="Times New Roman" w:eastAsia="Times New Roman" w:hAnsi="Times New Roman"/>
                <w:sz w:val="17"/>
                <w:szCs w:val="17"/>
                <w:color w:val="auto"/>
              </w:rPr>
              <w:t>7</w:t>
            </w:r>
          </w:p>
        </w:tc>
        <w:tc>
          <w:tcPr>
            <w:tcW w:w="620" w:type="dxa"/>
            <w:vAlign w:val="bottom"/>
          </w:tcPr>
          <w:p>
            <w:pPr>
              <w:spacing w:after="0"/>
              <w:rPr>
                <w:sz w:val="24"/>
                <w:szCs w:val="24"/>
                <w:color w:val="auto"/>
              </w:rPr>
            </w:pPr>
          </w:p>
        </w:tc>
      </w:tr>
      <w:tr>
        <w:trPr>
          <w:trHeight w:val="107"/>
        </w:trPr>
        <w:tc>
          <w:tcPr>
            <w:tcW w:w="5460" w:type="dxa"/>
            <w:vAlign w:val="bottom"/>
            <w:tcBorders>
              <w:bottom w:val="single" w:sz="8" w:color="auto"/>
            </w:tcBorders>
          </w:tcPr>
          <w:p>
            <w:pPr>
              <w:spacing w:after="0"/>
              <w:rPr>
                <w:sz w:val="9"/>
                <w:szCs w:val="9"/>
                <w:color w:val="auto"/>
              </w:rPr>
            </w:pPr>
          </w:p>
        </w:tc>
        <w:tc>
          <w:tcPr>
            <w:tcW w:w="53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TO APPROVE NAMED EXECUTIVE COMPENSATION</w:t>
      </w:r>
    </w:p>
    <w:p>
      <w:pPr>
        <w:spacing w:after="0" w:line="218" w:lineRule="exact"/>
        <w:rPr>
          <w:sz w:val="20"/>
          <w:szCs w:val="20"/>
          <w:color w:val="auto"/>
        </w:rPr>
      </w:pPr>
    </w:p>
    <w:p>
      <w:pPr>
        <w:jc w:val="both"/>
        <w:ind w:right="120" w:firstLine="418"/>
        <w:spacing w:after="0" w:line="267" w:lineRule="auto"/>
        <w:rPr>
          <w:sz w:val="20"/>
          <w:szCs w:val="20"/>
          <w:color w:val="auto"/>
        </w:rPr>
      </w:pPr>
      <w:r>
        <w:rPr>
          <w:rFonts w:ascii="Times New Roman" w:cs="Times New Roman" w:eastAsia="Times New Roman" w:hAnsi="Times New Roman"/>
          <w:sz w:val="17"/>
          <w:szCs w:val="17"/>
          <w:color w:val="auto"/>
        </w:rPr>
        <w:t>At last year’s Meeting, we provided our stockholders with the opportunity to cast an advisory vote regarding the compensation of our NEOs as disclosed in the proxy statement for the 2017 Annual Meeting of Stockholders. At our 2017 Annual Meeting, our stockholders approved the proposal, with approximately 97% of the votes cast voting in favor of the proposal.</w:t>
      </w:r>
    </w:p>
    <w:p>
      <w:pPr>
        <w:spacing w:after="0" w:line="167"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compensation of our NEOs as disclosed in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Program and Philosophy</w:t>
      </w:r>
    </w:p>
    <w:p>
      <w:pPr>
        <w:spacing w:after="0" w:line="218" w:lineRule="exact"/>
        <w:rPr>
          <w:sz w:val="20"/>
          <w:szCs w:val="20"/>
          <w:color w:val="auto"/>
        </w:rPr>
      </w:pPr>
    </w:p>
    <w:p>
      <w:pPr>
        <w:ind w:right="460" w:firstLine="307"/>
        <w:spacing w:after="0" w:line="284" w:lineRule="auto"/>
        <w:rPr>
          <w:sz w:val="20"/>
          <w:szCs w:val="20"/>
          <w:color w:val="auto"/>
        </w:rPr>
      </w:pPr>
      <w:r>
        <w:rPr>
          <w:rFonts w:ascii="Times New Roman" w:cs="Times New Roman" w:eastAsia="Times New Roman" w:hAnsi="Times New Roman"/>
          <w:sz w:val="17"/>
          <w:szCs w:val="17"/>
          <w:color w:val="auto"/>
        </w:rPr>
        <w:t>As described under the Compensation Discussion and Analysis (“CD&amp;A”) section of this proxy statement, the Compensation Committee has structured our executive compensation program to achieve the following key objectives:</w:t>
      </w:r>
    </w:p>
    <w:p>
      <w:pPr>
        <w:spacing w:after="0" w:line="152" w:lineRule="exact"/>
        <w:rPr>
          <w:sz w:val="20"/>
          <w:szCs w:val="20"/>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for performance;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attract, motivate and retain talented executive officers;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motivate progress toward Company-wide financial and business objectives while balancing rewards for short-term and long-term performance;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align the interests of our executive officers with those of stockholders.</w:t>
      </w:r>
    </w:p>
    <w:p>
      <w:pPr>
        <w:spacing w:after="0" w:line="214" w:lineRule="exact"/>
        <w:rPr>
          <w:sz w:val="20"/>
          <w:szCs w:val="20"/>
          <w:color w:val="auto"/>
        </w:rPr>
      </w:pPr>
    </w:p>
    <w:p>
      <w:pPr>
        <w:ind w:right="140" w:firstLine="307"/>
        <w:spacing w:after="0" w:line="259" w:lineRule="auto"/>
        <w:rPr>
          <w:sz w:val="20"/>
          <w:szCs w:val="20"/>
          <w:color w:val="auto"/>
        </w:rPr>
      </w:pPr>
      <w:r>
        <w:rPr>
          <w:rFonts w:ascii="Times New Roman" w:cs="Times New Roman" w:eastAsia="Times New Roman" w:hAnsi="Times New Roman"/>
          <w:sz w:val="17"/>
          <w:szCs w:val="17"/>
          <w:color w:val="auto"/>
        </w:rPr>
        <w:t>We urge stockholders to read the CD&amp;A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the Company’s recent and long-term success.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4" w:lineRule="exact"/>
        <w:rPr>
          <w:sz w:val="20"/>
          <w:szCs w:val="20"/>
          <w:color w:val="auto"/>
        </w:rPr>
      </w:pPr>
    </w:p>
    <w:p>
      <w:pPr>
        <w:ind w:right="140" w:firstLine="312"/>
        <w:spacing w:after="0" w:line="289" w:lineRule="auto"/>
        <w:rPr>
          <w:sz w:val="20"/>
          <w:szCs w:val="20"/>
          <w:color w:val="auto"/>
        </w:rPr>
      </w:pPr>
      <w:r>
        <w:rPr>
          <w:rFonts w:ascii="Times New Roman" w:cs="Times New Roman" w:eastAsia="Times New Roman" w:hAnsi="Times New Roman"/>
          <w:sz w:val="17"/>
          <w:szCs w:val="17"/>
          <w:color w:val="auto"/>
        </w:rPr>
        <w:t xml:space="preserve">A majority of the votes cast is required to approve Proposal No. 2. </w:t>
      </w:r>
      <w:r>
        <w:rPr>
          <w:rFonts w:ascii="Times New Roman" w:cs="Times New Roman" w:eastAsia="Times New Roman" w:hAnsi="Times New Roman"/>
          <w:sz w:val="17"/>
          <w:szCs w:val="17"/>
          <w:i w:val="1"/>
          <w:iCs w:val="1"/>
          <w:color w:val="auto"/>
        </w:rPr>
        <w:t>Brokers do not have discretion to vote on this proposal without your instruction. If you do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instruct your broker how to vote on this proposal, your broker will deliver a non-vote on this proposal.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18" w:lineRule="exact"/>
        <w:rPr>
          <w:sz w:val="20"/>
          <w:szCs w:val="20"/>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For the above reasons, we are asking our stockholders to indicate their support for the compensation of our NEOs as described in this proxy statement by voting in favor of the following resolution:</w:t>
      </w:r>
    </w:p>
    <w:p>
      <w:pPr>
        <w:spacing w:after="0" w:line="152" w:lineRule="exact"/>
        <w:rPr>
          <w:sz w:val="20"/>
          <w:szCs w:val="20"/>
          <w:color w:val="auto"/>
        </w:rPr>
      </w:pPr>
    </w:p>
    <w:p>
      <w:pPr>
        <w:jc w:val="both"/>
        <w:ind w:right="240" w:firstLine="307"/>
        <w:spacing w:after="0" w:line="267" w:lineRule="auto"/>
        <w:rPr>
          <w:sz w:val="20"/>
          <w:szCs w:val="20"/>
          <w:color w:val="auto"/>
        </w:rPr>
      </w:pPr>
      <w:r>
        <w:rPr>
          <w:rFonts w:ascii="Times New Roman" w:cs="Times New Roman" w:eastAsia="Times New Roman" w:hAnsi="Times New Roman"/>
          <w:sz w:val="17"/>
          <w:szCs w:val="17"/>
          <w:color w:val="auto"/>
        </w:rPr>
        <w:t>“RESOLVED, that the stockholders approve, in a non-binding vote, the compensation of the Company’s NEOs as disclosed pursuant to the CD&amp;A section, the tabular disclosure regarding such compensation, and the accompanying narrative disclosure set forth in the proxy statement relating to the Company’s 2018 Annual Meeting of Stockholders.”</w:t>
      </w:r>
    </w:p>
    <w:p>
      <w:pPr>
        <w:spacing w:after="0" w:line="167" w:lineRule="exact"/>
        <w:rPr>
          <w:sz w:val="20"/>
          <w:szCs w:val="20"/>
          <w:color w:val="auto"/>
        </w:rPr>
      </w:pPr>
    </w:p>
    <w:p>
      <w:pPr>
        <w:jc w:val="both"/>
        <w:ind w:right="160" w:firstLine="307"/>
        <w:spacing w:after="0" w:line="267" w:lineRule="auto"/>
        <w:rPr>
          <w:sz w:val="20"/>
          <w:szCs w:val="20"/>
          <w:color w:val="auto"/>
        </w:rPr>
      </w:pPr>
      <w:r>
        <w:rPr>
          <w:rFonts w:ascii="Times New Roman" w:cs="Times New Roman" w:eastAsia="Times New Roman" w:hAnsi="Times New Roman"/>
          <w:sz w:val="17"/>
          <w:szCs w:val="17"/>
          <w:color w:val="auto"/>
        </w:rPr>
        <w:t>Even though this say-on-pay vote is advisory and therefore will not be binding on the Company,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that you vote “FOR” approval, on an advisory basis, of the resolution on executive compensation.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14" w:lineRule="exact"/>
        <w:rPr>
          <w:sz w:val="20"/>
          <w:szCs w:val="20"/>
          <w:color w:val="auto"/>
        </w:rPr>
      </w:pPr>
    </w:p>
    <w:p>
      <w:pPr>
        <w:jc w:val="center"/>
        <w:ind w:left="300" w:right="500"/>
        <w:spacing w:after="0" w:line="322" w:lineRule="auto"/>
        <w:rPr>
          <w:sz w:val="20"/>
          <w:szCs w:val="20"/>
          <w:color w:val="auto"/>
        </w:rPr>
      </w:pPr>
      <w:r>
        <w:rPr>
          <w:rFonts w:ascii="Times New Roman" w:cs="Times New Roman" w:eastAsia="Times New Roman" w:hAnsi="Times New Roman"/>
          <w:sz w:val="16"/>
          <w:szCs w:val="16"/>
          <w:b w:val="1"/>
          <w:bCs w:val="1"/>
          <w:color w:val="auto"/>
        </w:rPr>
        <w:t>AMENDMENTS TO COHU’S CERTIFICATE OF INCORPORATION TO ENABLE IMPLEMENTATION OF MAJORITY VOTING FOR UNCONTESTED DIRECTOR ELECTIONS, AND TO MAKE CERTAIN OTHER ADMINISTRATIVE OR IMMATERIAL REVISIONS</w:t>
      </w:r>
    </w:p>
    <w:p>
      <w:pPr>
        <w:spacing w:after="0" w:line="125" w:lineRule="exact"/>
        <w:rPr>
          <w:sz w:val="20"/>
          <w:szCs w:val="20"/>
          <w:color w:val="auto"/>
        </w:rPr>
      </w:pPr>
    </w:p>
    <w:p>
      <w:pPr>
        <w:ind w:firstLine="615"/>
        <w:spacing w:after="0" w:line="262" w:lineRule="auto"/>
        <w:rPr>
          <w:sz w:val="20"/>
          <w:szCs w:val="20"/>
          <w:color w:val="auto"/>
        </w:rPr>
      </w:pPr>
      <w:r>
        <w:rPr>
          <w:rFonts w:ascii="Times New Roman" w:cs="Times New Roman" w:eastAsia="Times New Roman" w:hAnsi="Times New Roman"/>
          <w:sz w:val="17"/>
          <w:szCs w:val="17"/>
          <w:color w:val="auto"/>
        </w:rPr>
        <w:t>Our Certificate of Incorporation currently provides for the election of directors by a plurality of votes cast. Under this standard, the nominees who receive the highest number of votes cast are elected as directors up to the maximum number of directors to be elected. The Board of Directors proposes and recommends that stockholders approve an amendment to our Certificate of Incorporation to enable the election of directors by an affirmative vote of the majority of the votes cast in uncontested director elections.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Rationale for Implementation of Majority Vote Standard</w:t>
      </w:r>
    </w:p>
    <w:p>
      <w:pPr>
        <w:spacing w:after="0" w:line="218" w:lineRule="exact"/>
        <w:rPr>
          <w:sz w:val="20"/>
          <w:szCs w:val="20"/>
          <w:color w:val="auto"/>
        </w:rPr>
      </w:pPr>
    </w:p>
    <w:p>
      <w:pPr>
        <w:ind w:firstLine="384"/>
        <w:spacing w:after="0" w:line="262" w:lineRule="auto"/>
        <w:rPr>
          <w:sz w:val="20"/>
          <w:szCs w:val="20"/>
          <w:color w:val="auto"/>
        </w:rPr>
      </w:pPr>
      <w:r>
        <w:rPr>
          <w:rFonts w:ascii="Times New Roman" w:cs="Times New Roman" w:eastAsia="Times New Roman" w:hAnsi="Times New Roman"/>
          <w:sz w:val="17"/>
          <w:szCs w:val="17"/>
          <w:color w:val="auto"/>
        </w:rPr>
        <w:t>Although we have maintained the plurality voting standard for many years, the Board has monitored best practices in this area and is aware that many public companies have amended their governance documents to provide for a majority vote standard, rather than a plurality standard. After careful consideration, the Board believes it is in the best interests of Cohu and its stockholders to amend Cohu’s Certificate of Incorporation to eliminate the plurality voting standard, thereby enabling implementation of a majority voting in uncontested director elections.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Proposed Implementation of the Majority Vote Standard</w:t>
      </w:r>
    </w:p>
    <w:p>
      <w:pPr>
        <w:spacing w:after="0" w:line="218" w:lineRule="exact"/>
        <w:rPr>
          <w:sz w:val="20"/>
          <w:szCs w:val="20"/>
          <w:color w:val="auto"/>
        </w:rPr>
      </w:pPr>
    </w:p>
    <w:p>
      <w:pPr>
        <w:ind w:right="100" w:firstLine="384"/>
        <w:spacing w:after="0" w:line="284" w:lineRule="auto"/>
        <w:rPr>
          <w:sz w:val="20"/>
          <w:szCs w:val="20"/>
          <w:color w:val="auto"/>
        </w:rPr>
      </w:pPr>
      <w:r>
        <w:rPr>
          <w:rFonts w:ascii="Times New Roman" w:cs="Times New Roman" w:eastAsia="Times New Roman" w:hAnsi="Times New Roman"/>
          <w:sz w:val="17"/>
          <w:szCs w:val="17"/>
          <w:color w:val="auto"/>
        </w:rPr>
        <w:t>Changing the voting standard for director elections requires changes to our governing documents. One such change, which requires stockholder approval, is the amendment of Article Thirteenth of our Certificate of Incorporation to remove the sentence that establishes the plurality voting standard for director elections.</w:t>
      </w:r>
    </w:p>
    <w:p>
      <w:pPr>
        <w:spacing w:after="0" w:line="152"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7"/>
          <w:szCs w:val="17"/>
          <w:color w:val="auto"/>
        </w:rPr>
        <w:t>The Board of Directors has adopted amendments to our Bylaws, to be effective upon amendment of our Certificate of Incorporation, to implement a majority voting standard in uncontested director elections. Under this majority voting standard, each vote is required to be counted “for” or “against” the director’s election. To be elected, votes cast “for” a nominee’s election must exceed the votes cast “against” the nominee’s election. Stockholders will also be entitled to abstain with respect to the election of a director, but abstentions will have no effect on the outcome of a vote. In contested elections, directors will be elected by a plurality of the votes cast.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Proposed Revisions</w:t>
      </w:r>
    </w:p>
    <w:p>
      <w:pPr>
        <w:spacing w:after="0" w:line="218" w:lineRule="exact"/>
        <w:rPr>
          <w:sz w:val="20"/>
          <w:szCs w:val="20"/>
          <w:color w:val="auto"/>
        </w:rPr>
      </w:pPr>
    </w:p>
    <w:p>
      <w:pPr>
        <w:ind w:right="20" w:firstLine="384"/>
        <w:spacing w:after="0" w:line="257" w:lineRule="auto"/>
        <w:rPr>
          <w:sz w:val="20"/>
          <w:szCs w:val="20"/>
          <w:color w:val="auto"/>
        </w:rPr>
      </w:pPr>
      <w:r>
        <w:rPr>
          <w:rFonts w:ascii="Times New Roman" w:cs="Times New Roman" w:eastAsia="Times New Roman" w:hAnsi="Times New Roman"/>
          <w:sz w:val="17"/>
          <w:szCs w:val="17"/>
          <w:color w:val="auto"/>
        </w:rPr>
        <w:t>In addition, our Board of Directors has approved and recommends stockholder approval of certain administrative changes to our Certificate of Incorporation that our Board believes will not materially change the rights of our shareholders. Our Certificate of Incorporation has not been amended since 2000, and several of the provisions proposed for revision date to the incorporation of Cohu in 1957. These administrative changes address provisions that are outdated and no longer have any effect (such as the names of the original incorporators, the minimum capital to commence operations over 60 years ago, and preamble and execution language from a 1999 amendment), are duplicative of the operative provisions of Delaware law (such as the lack of pre-emptive rights, the limitation of shareholder liability, the elaboration of powers of the Board of Directors and the distribution of proceeds on liquidation to holders of common stock following payment of preferred stock preferences) or are redundant (such as the extensive list of corporate powers and lawful activities), as well as adding a severability provision.</w:t>
      </w:r>
    </w:p>
    <w:p>
      <w:pPr>
        <w:spacing w:after="0" w:line="174"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 xml:space="preserve">The specific proposed amendments to our Certificate of Incorporation (including the elimination of the plurality voting standard) are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 which is marked to show the proposed changes (additions are underlined and deletions are struck through).</w:t>
      </w:r>
    </w:p>
    <w:p>
      <w:pPr>
        <w:spacing w:after="0" w:line="152"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If approved by our stockholders, the amendment to our Certificate of Incorporation will become effective upon the filing of a certificate of amendment with the Secretary of State of Delaware, which would occur promptly following the 2018 Annual Meeting. The new majority voting standard would first apply to the election of directors at the 2019 Annual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8" w:lineRule="exact"/>
        <w:rPr>
          <w:sz w:val="20"/>
          <w:szCs w:val="20"/>
          <w:color w:val="auto"/>
        </w:rPr>
      </w:pPr>
    </w:p>
    <w:p>
      <w:pPr>
        <w:ind w:right="60" w:firstLine="319"/>
        <w:spacing w:after="0" w:line="284" w:lineRule="auto"/>
        <w:rPr>
          <w:sz w:val="20"/>
          <w:szCs w:val="20"/>
          <w:color w:val="auto"/>
        </w:rPr>
      </w:pPr>
      <w:r>
        <w:rPr>
          <w:rFonts w:ascii="Times New Roman" w:cs="Times New Roman" w:eastAsia="Times New Roman" w:hAnsi="Times New Roman"/>
          <w:sz w:val="17"/>
          <w:szCs w:val="17"/>
          <w:color w:val="auto"/>
        </w:rPr>
        <w:t>The approval of Proposal No. 3 requires the affirmative vote of the holders of a majority of the issued and outstanding shares of common stock entitled to vote at the Meeting.</w:t>
      </w:r>
    </w:p>
    <w:p>
      <w:pPr>
        <w:spacing w:after="0" w:line="146" w:lineRule="exact"/>
        <w:rPr>
          <w:sz w:val="20"/>
          <w:szCs w:val="20"/>
          <w:color w:val="auto"/>
        </w:rPr>
      </w:pPr>
    </w:p>
    <w:p>
      <w:pPr>
        <w:ind w:right="20" w:firstLine="3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With respect to </w:t>
      </w:r>
      <w:r>
        <w:rPr>
          <w:rFonts w:ascii="Times New Roman" w:cs="Times New Roman" w:eastAsia="Times New Roman" w:hAnsi="Times New Roman"/>
          <w:sz w:val="17"/>
          <w:szCs w:val="17"/>
          <w:b w:val="1"/>
          <w:bCs w:val="1"/>
          <w:i w:val="1"/>
          <w:iCs w:val="1"/>
          <w:color w:val="auto"/>
        </w:rPr>
        <w:t>Proposal No. 3</w:t>
      </w:r>
      <w:r>
        <w:rPr>
          <w:rFonts w:ascii="Times New Roman" w:cs="Times New Roman" w:eastAsia="Times New Roman" w:hAnsi="Times New Roman"/>
          <w:sz w:val="17"/>
          <w:szCs w:val="17"/>
          <w:i w:val="1"/>
          <w:iCs w:val="1"/>
          <w:color w:val="auto"/>
        </w:rPr>
        <w:t>, you may instruct your vote “for” or “against,” or “abstain” from voting on, such proposal. If you “abstain” from voting, your vote will have the same effect as a vote “against” such proposal. If you do not provide your broker or other nominee with instructions on how to vote your shares with respect to Proposal No. 3, your broker or nominee will not be entitled to cast your votes on this proposal, and your shares will become “broker non-votes” on Proposal No. 3. Broker non-votes are not considered votes cast and will have the same effect as a vote “against” such proposal.</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14" w:lineRule="exact"/>
        <w:rPr>
          <w:sz w:val="20"/>
          <w:szCs w:val="20"/>
          <w:color w:val="auto"/>
        </w:rPr>
      </w:pPr>
    </w:p>
    <w:p>
      <w:pPr>
        <w:ind w:right="820" w:firstLine="405"/>
        <w:spacing w:after="0" w:line="28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Proposal 3 Amendments to Cohu’s Certificate of Incorporation to Enable Implementation of Majority Voting in Uncontested Director Elections, and to Make the Other Administrative or Immaterial Revisions.</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RATIFICATION OF INDEPENDENT REGISTERED PUBLIC ACCOUNTING FIRM</w:t>
      </w:r>
    </w:p>
    <w:p>
      <w:pPr>
        <w:spacing w:after="0" w:line="218" w:lineRule="exact"/>
        <w:rPr>
          <w:sz w:val="20"/>
          <w:szCs w:val="20"/>
          <w:color w:val="auto"/>
        </w:rPr>
      </w:pPr>
    </w:p>
    <w:p>
      <w:pPr>
        <w:ind w:right="100" w:firstLine="307"/>
        <w:spacing w:after="0" w:line="262" w:lineRule="auto"/>
        <w:rPr>
          <w:sz w:val="20"/>
          <w:szCs w:val="20"/>
          <w:color w:val="auto"/>
        </w:rPr>
      </w:pPr>
      <w:r>
        <w:rPr>
          <w:rFonts w:ascii="Times New Roman" w:cs="Times New Roman" w:eastAsia="Times New Roman" w:hAnsi="Times New Roman"/>
          <w:sz w:val="17"/>
          <w:szCs w:val="17"/>
          <w:color w:val="auto"/>
        </w:rPr>
        <w:t>The Audit Committee of the Board has appointed Ernst &amp; Young LLP as Cohu’s independent registered public accounting firm for the fiscal year ending December 29, 2018. Ernst &amp; Young LLP served as Cohu’s independent registered public accounting firm for the fiscal year ended December 30, 2017, and also provided certain tax services. See “Principal Accounting Fees and Services" on page 19. Representatives of Ernst &amp; Young LLP are expected to attend the Meeting, where they will be available to respond to appropriate questions and, if they desire, to make a statement.</w:t>
      </w:r>
    </w:p>
    <w:p>
      <w:pPr>
        <w:spacing w:after="0" w:line="171" w:lineRule="exact"/>
        <w:rPr>
          <w:sz w:val="20"/>
          <w:szCs w:val="20"/>
          <w:color w:val="auto"/>
        </w:rPr>
      </w:pPr>
    </w:p>
    <w:p>
      <w:pPr>
        <w:ind w:right="120" w:firstLine="307"/>
        <w:spacing w:after="0" w:line="267" w:lineRule="auto"/>
        <w:rPr>
          <w:sz w:val="20"/>
          <w:szCs w:val="20"/>
          <w:color w:val="auto"/>
        </w:rPr>
      </w:pPr>
      <w:r>
        <w:rPr>
          <w:rFonts w:ascii="Times New Roman" w:cs="Times New Roman" w:eastAsia="Times New Roman" w:hAnsi="Times New Roman"/>
          <w:sz w:val="17"/>
          <w:szCs w:val="17"/>
          <w:color w:val="auto"/>
        </w:rPr>
        <w:t>Our Board recommends that the stockholders approve the ratification of the appointment of Ernst &amp; Young LLP as Cohu’s independent registered public accounting firm for the fiscal year ending December 29, 2018. If the appointment is not ratified, the Audit Committee will consider whether it should select another independent registered public accounting firm.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4"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7"/>
          <w:szCs w:val="17"/>
          <w:color w:val="auto"/>
        </w:rPr>
        <w:t xml:space="preserve">A majority of the votes cast is required to approve Proposal No. 4. </w:t>
      </w:r>
      <w:r>
        <w:rPr>
          <w:rFonts w:ascii="Times New Roman" w:cs="Times New Roman" w:eastAsia="Times New Roman" w:hAnsi="Times New Roman"/>
          <w:sz w:val="17"/>
          <w:szCs w:val="17"/>
          <w:i w:val="1"/>
          <w:iCs w:val="1"/>
          <w:color w:val="auto"/>
        </w:rPr>
        <w:t>If you hold your shares through a broker and you do not instruct the broker on how to vote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this “routine” proposal, your broker will nevertheless have authority to vote your shares on this “routine” proposal in your broker’s discretion.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14" w:lineRule="exact"/>
        <w:rPr>
          <w:sz w:val="20"/>
          <w:szCs w:val="20"/>
          <w:color w:val="auto"/>
        </w:rPr>
      </w:pPr>
    </w:p>
    <w:p>
      <w:pPr>
        <w:ind w:right="360" w:firstLine="307"/>
        <w:spacing w:after="0" w:line="28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ratification of the appointment of Ernst &amp; Young LLP as Cohu’s independent registered public accounting firm for the fiscal year ending December 29, 2018.</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00"/>
          </w:cols>
          <w:pgMar w:left="240" w:top="554"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AND COMMITTEES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220" w:lineRule="exact"/>
        <w:rPr>
          <w:sz w:val="20"/>
          <w:szCs w:val="20"/>
          <w:color w:val="auto"/>
        </w:rPr>
      </w:pPr>
    </w:p>
    <w:p>
      <w:pPr>
        <w:ind w:right="20" w:firstLine="307"/>
        <w:spacing w:after="0" w:line="262" w:lineRule="auto"/>
        <w:rPr>
          <w:sz w:val="20"/>
          <w:szCs w:val="20"/>
          <w:color w:val="auto"/>
        </w:rPr>
      </w:pPr>
      <w:r>
        <w:rPr>
          <w:rFonts w:ascii="Times New Roman" w:cs="Times New Roman" w:eastAsia="Times New Roman" w:hAnsi="Times New Roman"/>
          <w:sz w:val="17"/>
          <w:szCs w:val="17"/>
          <w:color w:val="auto"/>
        </w:rPr>
        <w:t>Cohu has adopted standards for director independence pursuant to NASDAQ listing standards and SEC rules.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 To be considered independent, the Board must affirmatively determine that neither the director nor an immediate family member of the director has had any direct or indirect material relationship with Cohu within the last three years.</w:t>
      </w:r>
    </w:p>
    <w:p>
      <w:pPr>
        <w:spacing w:after="0" w:line="171" w:lineRule="exact"/>
        <w:rPr>
          <w:sz w:val="20"/>
          <w:szCs w:val="20"/>
          <w:color w:val="auto"/>
        </w:rPr>
      </w:pPr>
    </w:p>
    <w:p>
      <w:pPr>
        <w:ind w:right="160" w:firstLine="307"/>
        <w:spacing w:after="0" w:line="262" w:lineRule="auto"/>
        <w:rPr>
          <w:sz w:val="20"/>
          <w:szCs w:val="20"/>
          <w:color w:val="auto"/>
        </w:rPr>
      </w:pPr>
      <w:r>
        <w:rPr>
          <w:rFonts w:ascii="Times New Roman" w:cs="Times New Roman" w:eastAsia="Times New Roman" w:hAnsi="Times New Roman"/>
          <w:sz w:val="17"/>
          <w:szCs w:val="17"/>
          <w:color w:val="auto"/>
        </w:rPr>
        <w:t>The Board has considered relationships, transactions and/or arrangements with each of the directors, and has concluded that none of the non-employee directors has any relationships with Cohu that would impair his independence. The Board has determined that each member of the Board, other than Dr. Müller and Mr. Donahue, is an independent director under applicable NASDAQ listing standards and SEC rules. Dr. Müller is an employee and Mr. Donahue, prior to his retirement on December 24, 2015, was an employee of Cohu and, as such, they do not meet the independence standards. In addition, the Board has also determined that:</w:t>
      </w:r>
    </w:p>
    <w:p>
      <w:pPr>
        <w:spacing w:after="0" w:line="171" w:lineRule="exact"/>
        <w:rPr>
          <w:sz w:val="20"/>
          <w:szCs w:val="20"/>
          <w:color w:val="auto"/>
        </w:rPr>
      </w:pPr>
    </w:p>
    <w:p>
      <w:pPr>
        <w:ind w:left="620" w:righ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who serve on the Audit, Compensation and Nominating and Governance committees are independent under applicable NASDAQ listing standards, Internal Revenue Code requirements and SEC rules, and</w:t>
      </w:r>
    </w:p>
    <w:p>
      <w:pPr>
        <w:spacing w:after="0" w:line="152" w:lineRule="exact"/>
        <w:rPr>
          <w:rFonts w:ascii="Times New Roman" w:cs="Times New Roman" w:eastAsia="Times New Roman" w:hAnsi="Times New Roman"/>
          <w:sz w:val="17"/>
          <w:szCs w:val="17"/>
          <w:color w:val="auto"/>
        </w:rPr>
      </w:pPr>
    </w:p>
    <w:p>
      <w:pPr>
        <w:ind w:left="620" w:right="14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of the Audit and Compensation Committee meet the additional independence requirements as required by NASDAQ listing standards and SEC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Structure and Committee Composition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the date of this proxy statement, our Board has six directors. Our Board has the following three committees: (1) Audit, (2) Compensation and</w:t>
      </w:r>
    </w:p>
    <w:p>
      <w:pPr>
        <w:spacing w:after="0" w:line="27" w:lineRule="exact"/>
        <w:rPr>
          <w:sz w:val="20"/>
          <w:szCs w:val="20"/>
          <w:color w:val="auto"/>
        </w:rPr>
      </w:pPr>
    </w:p>
    <w:p>
      <w:pPr>
        <w:ind w:right="20" w:firstLine="2"/>
        <w:spacing w:after="0" w:line="254" w:lineRule="auto"/>
        <w:tabs>
          <w:tab w:leader="none" w:pos="24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Nominating and Governance. The membership and the function of each of the committees are described below. Each of the committees operates under a written charter adopted by the Board. All of the committee charters are available on Cohu’s website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 During 2017, the Board held twelve meetings. Each director attended at least 75% of all Board and applicable committee meetings on which they served, held during the period for which they were directors or committee members. We have a policy of encouraging all of our directors to attend annual meetings of Cohu stockholders and all of our directors attended the 2017 Annual Meeting.</w:t>
      </w:r>
    </w:p>
    <w:p>
      <w:pPr>
        <w:spacing w:after="0" w:line="178" w:lineRule="exact"/>
        <w:rPr>
          <w:sz w:val="20"/>
          <w:szCs w:val="20"/>
          <w:color w:val="auto"/>
        </w:rPr>
      </w:pPr>
    </w:p>
    <w:p>
      <w:pPr>
        <w:ind w:right="200" w:firstLine="307"/>
        <w:spacing w:after="0" w:line="284" w:lineRule="auto"/>
        <w:rPr>
          <w:sz w:val="20"/>
          <w:szCs w:val="20"/>
          <w:color w:val="auto"/>
        </w:rPr>
      </w:pPr>
      <w:r>
        <w:rPr>
          <w:rFonts w:ascii="Times New Roman" w:cs="Times New Roman" w:eastAsia="Times New Roman" w:hAnsi="Times New Roman"/>
          <w:sz w:val="17"/>
          <w:szCs w:val="17"/>
          <w:color w:val="auto"/>
        </w:rPr>
        <w:t>Cohu’s Corporate Governance Guidelines provide that the Cohu Nominating and Governance Committee shall nominate an independent director to serve as the Lead Independent Director, the selection of whom shall be subject to approval by a vote of the majority of the independent directors.</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breaks down committee membership, as of the date of this proxy statement, for each committee and each director.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Nominating and</w:t>
            </w:r>
          </w:p>
        </w:tc>
        <w:tc>
          <w:tcPr>
            <w:tcW w:w="0" w:type="dxa"/>
            <w:vAlign w:val="bottom"/>
          </w:tcPr>
          <w:p>
            <w:pPr>
              <w:spacing w:after="0"/>
              <w:rPr>
                <w:sz w:val="1"/>
                <w:szCs w:val="1"/>
                <w:color w:val="auto"/>
              </w:rPr>
            </w:pPr>
          </w:p>
        </w:tc>
      </w:tr>
      <w:tr>
        <w:trPr>
          <w:trHeight w:val="225"/>
        </w:trPr>
        <w:tc>
          <w:tcPr>
            <w:tcW w:w="39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Name of Director</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80" w:type="dxa"/>
            <w:vAlign w:val="bottom"/>
            <w:tcBorders>
              <w:top w:val="single" w:sz="8" w:color="auto"/>
              <w:bottom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7"/>
                <w:szCs w:val="17"/>
                <w:i w:val="1"/>
                <w:iCs w:val="1"/>
                <w:color w:val="auto"/>
                <w:w w:val="98"/>
              </w:rPr>
              <w:t>Independent Directors:</w:t>
            </w:r>
          </w:p>
        </w:tc>
        <w:tc>
          <w:tcPr>
            <w:tcW w:w="2360" w:type="dxa"/>
            <w:vAlign w:val="bottom"/>
            <w:tcBorders>
              <w:top w:val="single" w:sz="8" w:color="auto"/>
              <w:bottom w:val="single" w:sz="8" w:color="CCEEFF"/>
            </w:tcBorders>
            <w:shd w:val="clear" w:color="auto" w:fill="CCEEFF"/>
          </w:tcPr>
          <w:p>
            <w:pPr>
              <w:spacing w:after="0"/>
              <w:rPr>
                <w:sz w:val="15"/>
                <w:szCs w:val="15"/>
                <w:color w:val="auto"/>
              </w:rPr>
            </w:pPr>
          </w:p>
        </w:tc>
        <w:tc>
          <w:tcPr>
            <w:tcW w:w="22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E. Bendush</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Chair</w:t>
            </w: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Steven J. Bilodeau</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X</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Andrew M. Caggia</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X</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Robert L. Ciardella </w:t>
            </w:r>
            <w:r>
              <w:rPr>
                <w:rFonts w:ascii="Times New Roman" w:cs="Times New Roman" w:eastAsia="Times New Roman" w:hAnsi="Times New Roman"/>
                <w:sz w:val="28"/>
                <w:szCs w:val="28"/>
                <w:color w:val="auto"/>
                <w:vertAlign w:val="superscript"/>
              </w:rPr>
              <w:t>(1)</w:t>
            </w: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X</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X</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Chair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committee size:</w:t>
            </w:r>
          </w:p>
        </w:tc>
        <w:tc>
          <w:tcPr>
            <w:tcW w:w="3680" w:type="dxa"/>
            <w:vAlign w:val="bottom"/>
            <w:gridSpan w:val="3"/>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4</w:t>
            </w:r>
          </w:p>
        </w:tc>
        <w:tc>
          <w:tcPr>
            <w:tcW w:w="19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3</w:t>
            </w:r>
          </w:p>
        </w:tc>
        <w:tc>
          <w:tcPr>
            <w:tcW w:w="188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7"/>
                <w:szCs w:val="17"/>
                <w:i w:val="1"/>
                <w:iCs w:val="1"/>
                <w:color w:val="auto"/>
              </w:rPr>
              <w:t>Other Directors: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A. Donahue</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39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Number of Meetings in 2017</w:t>
            </w:r>
          </w:p>
        </w:tc>
        <w:tc>
          <w:tcPr>
            <w:tcW w:w="3680" w:type="dxa"/>
            <w:vAlign w:val="bottom"/>
            <w:tcBorders>
              <w:bottom w:val="single" w:sz="8" w:color="auto"/>
            </w:tcBorders>
            <w:gridSpan w:val="3"/>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9</w:t>
            </w:r>
          </w:p>
        </w:tc>
        <w:tc>
          <w:tcPr>
            <w:tcW w:w="190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7</w:t>
            </w:r>
          </w:p>
        </w:tc>
        <w:tc>
          <w:tcPr>
            <w:tcW w:w="1880" w:type="dxa"/>
            <w:vAlign w:val="bottom"/>
            <w:tcBorders>
              <w:bottom w:val="single" w:sz="8" w:color="auto"/>
            </w:tcBorders>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9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(1) Lead Independent Director.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0" w:lineRule="exact"/>
        <w:rPr>
          <w:sz w:val="20"/>
          <w:szCs w:val="20"/>
          <w:color w:val="auto"/>
        </w:rPr>
      </w:pPr>
    </w:p>
    <w:p>
      <w:pPr>
        <w:ind w:right="160" w:firstLine="307"/>
        <w:spacing w:after="0" w:line="254" w:lineRule="auto"/>
        <w:rPr>
          <w:sz w:val="20"/>
          <w:szCs w:val="20"/>
          <w:color w:val="auto"/>
        </w:rPr>
      </w:pPr>
      <w:r>
        <w:rPr>
          <w:rFonts w:ascii="Times New Roman" w:cs="Times New Roman" w:eastAsia="Times New Roman" w:hAnsi="Times New Roman"/>
          <w:sz w:val="17"/>
          <w:szCs w:val="17"/>
          <w:color w:val="auto"/>
        </w:rPr>
        <w:t>Cohu has a separately designated standing Audit Committee established in accordance with the Securities Exchange Act of 1934, as amended. 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risk assessment and risk management. Among other things, the Audit Committee prepares the Audit Committee report for inclusion in the annual proxy statement; annually reviews the Audit Committee charter and the committee’s performance; appoints, evaluates and approves the fees of Cohu’s independent registered public accounting firm; reviews and approves the scope of the annual audit, the audit fee and the financial statements; reviews Cohu’s disclosure controls and procedures, internal controls, including such controls over financial reporting, information security policies and corporate policies with respect to financial information and earnings guidance; oversees investigations into complaints concerning financial and accounting matters;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The report of the Audit Committee is set forth on page 18 and the charter of the Audit Committee is available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20" w:lineRule="exact"/>
        <w:rPr>
          <w:sz w:val="20"/>
          <w:szCs w:val="20"/>
          <w:color w:val="auto"/>
        </w:rPr>
      </w:pPr>
    </w:p>
    <w:p>
      <w:pPr>
        <w:ind w:firstLine="307"/>
        <w:spacing w:after="0" w:line="255" w:lineRule="auto"/>
        <w:rPr>
          <w:sz w:val="20"/>
          <w:szCs w:val="20"/>
          <w:color w:val="auto"/>
        </w:rPr>
      </w:pPr>
      <w:r>
        <w:rPr>
          <w:rFonts w:ascii="Times New Roman" w:cs="Times New Roman" w:eastAsia="Times New Roman" w:hAnsi="Times New Roman"/>
          <w:sz w:val="17"/>
          <w:szCs w:val="17"/>
          <w:color w:val="auto"/>
        </w:rPr>
        <w:t>The Compensation Committee discharges the Board’s responsibilities relating to compensation of Cohu’s executives and directors and, among other things, reviews and discusses the “Compensation Discussion and Analysis” with management, and produces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80" w:lineRule="exact"/>
        <w:rPr>
          <w:sz w:val="20"/>
          <w:szCs w:val="20"/>
          <w:color w:val="auto"/>
        </w:rPr>
      </w:pPr>
    </w:p>
    <w:p>
      <w:pPr>
        <w:ind w:right="2460" w:firstLine="307"/>
        <w:spacing w:after="0" w:line="284" w:lineRule="auto"/>
        <w:rPr>
          <w:sz w:val="20"/>
          <w:szCs w:val="20"/>
          <w:color w:val="auto"/>
        </w:rPr>
      </w:pPr>
      <w:r>
        <w:rPr>
          <w:rFonts w:ascii="Times New Roman" w:cs="Times New Roman" w:eastAsia="Times New Roman" w:hAnsi="Times New Roman"/>
          <w:sz w:val="17"/>
          <w:szCs w:val="17"/>
          <w:color w:val="auto"/>
        </w:rPr>
        <w:t xml:space="preserve">The report of the Compensation Committee is set forth on page 37. The charter of the Compensation Committee is available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Governance Committee</w:t>
      </w:r>
    </w:p>
    <w:p>
      <w:pPr>
        <w:spacing w:after="0" w:line="220" w:lineRule="exact"/>
        <w:rPr>
          <w:sz w:val="20"/>
          <w:szCs w:val="20"/>
          <w:color w:val="auto"/>
        </w:rPr>
      </w:pPr>
    </w:p>
    <w:p>
      <w:pPr>
        <w:ind w:right="20" w:firstLine="307"/>
        <w:spacing w:after="0" w:line="254" w:lineRule="auto"/>
        <w:rPr>
          <w:sz w:val="20"/>
          <w:szCs w:val="20"/>
          <w:color w:val="auto"/>
        </w:rPr>
      </w:pPr>
      <w:r>
        <w:rPr>
          <w:rFonts w:ascii="Times New Roman" w:cs="Times New Roman" w:eastAsia="Times New Roman" w:hAnsi="Times New Roman"/>
          <w:sz w:val="17"/>
          <w:szCs w:val="17"/>
          <w:color w:val="auto"/>
        </w:rPr>
        <w:t>The Nominating and Governance Committee identifies individuals qualified to become Board members and recommends to the Board candidates to be nominated for election as directors at Cohu’s annual meeting consistent with criteria the Committee deems appropriate, as approved by the Board; develops Cohu’s Corporate Governance Guidelines for approval by the Board, and reviews and recommends updates to such Guidelines, as appropriate; oversees the organization of the Board to discharge the Board’s duties and responsibilities properly and efficiently;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charter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The Chairman of the Nominating and Governance Committee receives communications directed to non-employee directors.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The charter of the Nominating and Governance Committee is available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Board Leadership Structure, Risk Oversight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Leadership Structure</w:t>
      </w:r>
    </w:p>
    <w:p>
      <w:pPr>
        <w:spacing w:after="0" w:line="218" w:lineRule="exact"/>
        <w:rPr>
          <w:sz w:val="20"/>
          <w:szCs w:val="20"/>
          <w:color w:val="auto"/>
        </w:rPr>
      </w:pPr>
    </w:p>
    <w:p>
      <w:pPr>
        <w:ind w:right="80" w:firstLine="307"/>
        <w:spacing w:after="0" w:line="258" w:lineRule="auto"/>
        <w:rPr>
          <w:sz w:val="20"/>
          <w:szCs w:val="20"/>
          <w:color w:val="auto"/>
        </w:rPr>
      </w:pPr>
      <w:r>
        <w:rPr>
          <w:rFonts w:ascii="Times New Roman" w:cs="Times New Roman" w:eastAsia="Times New Roman" w:hAnsi="Times New Roman"/>
          <w:sz w:val="17"/>
          <w:szCs w:val="17"/>
          <w:color w:val="auto"/>
        </w:rPr>
        <w:t>As of the date of this proxy statement our Board is currently comprised of four independent directors, one former employee director and one employee director. Our corporate governance principles provide that the Board will fill the Chairman and Chief Executive Officer positions based upon the Board’s view of what is in Cohu’s best interests at any point in time and do not prevent our Chief Executive Officer from also serving as our Chairman of the Board. Our Board evaluates its leadership structure and elects the Chairman and the Chief Executive Officer based on the criteria it deems to be appropriate and in the best interests of the Company and its stockholders, given the circumstances at the time of such election. While we have in the past had one person serve as Chairman of the Board and Chief Executive Officer, the positions are currently held by separate individuals.</w:t>
      </w:r>
    </w:p>
    <w:p>
      <w:pPr>
        <w:spacing w:after="0" w:line="173" w:lineRule="exact"/>
        <w:rPr>
          <w:sz w:val="20"/>
          <w:szCs w:val="20"/>
          <w:color w:val="auto"/>
        </w:rPr>
      </w:pPr>
    </w:p>
    <w:p>
      <w:pPr>
        <w:ind w:right="160" w:firstLine="307"/>
        <w:spacing w:after="0" w:line="258" w:lineRule="auto"/>
        <w:rPr>
          <w:sz w:val="20"/>
          <w:szCs w:val="20"/>
          <w:color w:val="auto"/>
        </w:rPr>
      </w:pPr>
      <w:r>
        <w:rPr>
          <w:rFonts w:ascii="Times New Roman" w:cs="Times New Roman" w:eastAsia="Times New Roman" w:hAnsi="Times New Roman"/>
          <w:sz w:val="17"/>
          <w:szCs w:val="17"/>
          <w:color w:val="auto"/>
        </w:rPr>
        <w:t>Separating the positions of Chief Executive Officer and Chairman of the Board allows our Chief Executive Officer to focus on the day-to-day operations and strategy of our business, while allowing the Chairman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Chairman, in combination with Mr. Ciardella’s service as Lead Independent Director, is in the best interests of Cohu and its stockholders.</w:t>
      </w:r>
    </w:p>
    <w:p>
      <w:pPr>
        <w:spacing w:after="0" w:line="173" w:lineRule="exact"/>
        <w:rPr>
          <w:sz w:val="20"/>
          <w:szCs w:val="20"/>
          <w:color w:val="auto"/>
        </w:rPr>
      </w:pPr>
    </w:p>
    <w:p>
      <w:pPr>
        <w:jc w:val="both"/>
        <w:ind w:right="140" w:firstLine="307"/>
        <w:spacing w:after="0" w:line="267" w:lineRule="auto"/>
        <w:rPr>
          <w:sz w:val="20"/>
          <w:szCs w:val="20"/>
          <w:color w:val="auto"/>
        </w:rPr>
      </w:pPr>
      <w:r>
        <w:rPr>
          <w:rFonts w:ascii="Times New Roman" w:cs="Times New Roman" w:eastAsia="Times New Roman" w:hAnsi="Times New Roman"/>
          <w:sz w:val="17"/>
          <w:szCs w:val="17"/>
          <w:color w:val="auto"/>
        </w:rPr>
        <w:t>Cohu’s Corporate Governance Guidelines provide that the Cohu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67" w:lineRule="exact"/>
        <w:rPr>
          <w:sz w:val="20"/>
          <w:szCs w:val="20"/>
          <w:color w:val="auto"/>
        </w:rPr>
      </w:pPr>
    </w:p>
    <w:p>
      <w:pPr>
        <w:jc w:val="both"/>
        <w:ind w:right="140" w:firstLine="307"/>
        <w:spacing w:after="0" w:line="267" w:lineRule="auto"/>
        <w:rPr>
          <w:sz w:val="20"/>
          <w:szCs w:val="20"/>
          <w:color w:val="auto"/>
        </w:rPr>
      </w:pPr>
      <w:r>
        <w:rPr>
          <w:rFonts w:ascii="Times New Roman" w:cs="Times New Roman" w:eastAsia="Times New Roman" w:hAnsi="Times New Roman"/>
          <w:sz w:val="17"/>
          <w:szCs w:val="17"/>
          <w:color w:val="auto"/>
        </w:rPr>
        <w:t>The specific responsibilities of the Lead Independent Director include presiding at executive sessions of directors and at board meetings where the Chairman is not present, calling meetings of independent directors, serving as a liaison between the independent directors and the Chairman and CEO and performing such other duties and responsibilities as the Board may determine.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Oversight</w:t>
      </w:r>
    </w:p>
    <w:p>
      <w:pPr>
        <w:spacing w:after="0" w:line="218" w:lineRule="exact"/>
        <w:rPr>
          <w:sz w:val="20"/>
          <w:szCs w:val="20"/>
          <w:color w:val="auto"/>
        </w:rPr>
      </w:pPr>
    </w:p>
    <w:p>
      <w:pPr>
        <w:ind w:right="180" w:firstLine="307"/>
        <w:spacing w:after="0" w:line="262" w:lineRule="auto"/>
        <w:rPr>
          <w:sz w:val="20"/>
          <w:szCs w:val="20"/>
          <w:color w:val="auto"/>
        </w:rPr>
      </w:pPr>
      <w:r>
        <w:rPr>
          <w:rFonts w:ascii="Times New Roman" w:cs="Times New Roman" w:eastAsia="Times New Roman" w:hAnsi="Times New Roman"/>
          <w:sz w:val="17"/>
          <w:szCs w:val="17"/>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and compliance and reporting levels.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 Nominees</w:t>
      </w:r>
    </w:p>
    <w:p>
      <w:pPr>
        <w:spacing w:after="0" w:line="220"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and capability on the Board and to address the membership criteria set forth under “Director Qualifications.” Any stockholder nominations proposed for consideration by the Nominating and Governance Committee should include the nominee’s name and qualifications for Board membership and should be addressed to:</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Cohu, Inc.</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Poway, CA 92064-6817</w:t>
      </w:r>
    </w:p>
    <w:p>
      <w:pPr>
        <w:spacing w:after="0" w:line="197" w:lineRule="exact"/>
        <w:rPr>
          <w:sz w:val="20"/>
          <w:szCs w:val="20"/>
          <w:color w:val="auto"/>
        </w:rPr>
      </w:pPr>
    </w:p>
    <w:p>
      <w:pPr>
        <w:ind w:right="20" w:firstLine="307"/>
        <w:spacing w:after="0" w:line="284" w:lineRule="auto"/>
        <w:rPr>
          <w:sz w:val="20"/>
          <w:szCs w:val="20"/>
          <w:color w:val="auto"/>
        </w:rPr>
      </w:pPr>
      <w:r>
        <w:rPr>
          <w:rFonts w:ascii="Times New Roman" w:cs="Times New Roman" w:eastAsia="Times New Roman" w:hAnsi="Times New Roman"/>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2019 Annual Meeting” on page 46.</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40" w:top="552"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Qualifications</w:t>
      </w:r>
    </w:p>
    <w:p>
      <w:pPr>
        <w:spacing w:after="0" w:line="220" w:lineRule="exact"/>
        <w:rPr>
          <w:sz w:val="20"/>
          <w:szCs w:val="20"/>
          <w:color w:val="auto"/>
        </w:rPr>
      </w:pPr>
    </w:p>
    <w:p>
      <w:pPr>
        <w:ind w:right="140" w:firstLine="307"/>
        <w:spacing w:after="0" w:line="257" w:lineRule="auto"/>
        <w:rPr>
          <w:sz w:val="20"/>
          <w:szCs w:val="20"/>
          <w:color w:val="auto"/>
        </w:rPr>
      </w:pPr>
      <w:r>
        <w:rPr>
          <w:rFonts w:ascii="Times New Roman" w:cs="Times New Roman" w:eastAsia="Times New Roman" w:hAnsi="Times New Roman"/>
          <w:sz w:val="17"/>
          <w:szCs w:val="17"/>
          <w:color w:val="auto"/>
        </w:rPr>
        <w:t xml:space="preserve">Cohu’s Corporate Governance Guidelines are available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 xml:space="preserve"> and contain Board membership criteria that apply to nominees recommended by the Nominating and Governance Committee for a position on Cohu’s Board. Under these criteria, members of the Board should have the highest professional and personal ethics and values,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Their service on other boards of public companies should be limited to a number that permits them, given their individual circumstances, to responsibly perform all director duties. Each director will seek to represent the diverse interests of all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Identifying and Evaluating Nominees for Directors</w:t>
      </w:r>
    </w:p>
    <w:p>
      <w:pPr>
        <w:spacing w:after="0" w:line="220" w:lineRule="exact"/>
        <w:rPr>
          <w:sz w:val="20"/>
          <w:szCs w:val="20"/>
          <w:color w:val="auto"/>
        </w:rPr>
      </w:pPr>
    </w:p>
    <w:p>
      <w:pPr>
        <w:ind w:firstLine="307"/>
        <w:spacing w:after="0" w:line="254" w:lineRule="auto"/>
        <w:rPr>
          <w:sz w:val="20"/>
          <w:szCs w:val="20"/>
          <w:color w:val="auto"/>
        </w:rPr>
      </w:pPr>
      <w:r>
        <w:rPr>
          <w:rFonts w:ascii="Times New Roman" w:cs="Times New Roman" w:eastAsia="Times New Roman" w:hAnsi="Times New Roman"/>
          <w:sz w:val="17"/>
          <w:szCs w:val="17"/>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experience and capability on the Board. While we do not have a formal diversity policy, the Board believes it is important for the Board to have diversity of knowledge base, professional experience and skills, and the Board and Nominating and Governance Committee takes these qualities into account when considering director nominees.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Sessions</w:t>
      </w:r>
    </w:p>
    <w:p>
      <w:pPr>
        <w:spacing w:after="0" w:line="220" w:lineRule="exact"/>
        <w:rPr>
          <w:sz w:val="20"/>
          <w:szCs w:val="20"/>
          <w:color w:val="auto"/>
        </w:rPr>
      </w:pPr>
    </w:p>
    <w:p>
      <w:pPr>
        <w:ind w:right="500" w:firstLine="307"/>
        <w:spacing w:after="0" w:line="267" w:lineRule="auto"/>
        <w:rPr>
          <w:sz w:val="20"/>
          <w:szCs w:val="20"/>
          <w:color w:val="auto"/>
        </w:rPr>
      </w:pPr>
      <w:r>
        <w:rPr>
          <w:rFonts w:ascii="Times New Roman" w:cs="Times New Roman" w:eastAsia="Times New Roman" w:hAnsi="Times New Roman"/>
          <w:sz w:val="17"/>
          <w:szCs w:val="17"/>
          <w:color w:val="auto"/>
        </w:rPr>
        <w:t>Executive sessions of independent directors, without management present, are held at least three times a year. The sessions may be scheduled or held on an impromptu basis, and are chaired by the Lead Independent Director or in the absence of the Lead Independent Director the Chairman of the Nominating and Governance Committee or another independent director. Any independent director can request that an additional executive session be initiated or scheduled.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Communications with the Board</w:t>
      </w:r>
    </w:p>
    <w:p>
      <w:pPr>
        <w:spacing w:after="0" w:line="220" w:lineRule="exact"/>
        <w:rPr>
          <w:sz w:val="20"/>
          <w:szCs w:val="20"/>
          <w:color w:val="auto"/>
        </w:rPr>
      </w:pPr>
    </w:p>
    <w:p>
      <w:pPr>
        <w:ind w:right="20" w:firstLine="307"/>
        <w:spacing w:after="0" w:line="284" w:lineRule="auto"/>
        <w:rPr>
          <w:sz w:val="20"/>
          <w:szCs w:val="20"/>
          <w:color w:val="auto"/>
        </w:rPr>
      </w:pPr>
      <w:r>
        <w:rPr>
          <w:rFonts w:ascii="Times New Roman" w:cs="Times New Roman" w:eastAsia="Times New Roman" w:hAnsi="Times New Roman"/>
          <w:sz w:val="17"/>
          <w:szCs w:val="17"/>
          <w:color w:val="auto"/>
        </w:rPr>
        <w:t xml:space="preserve">Individuals may communicate with the Board, including the non-employee directors, by submitting an e-mail to Cohu’s Board at </w:t>
      </w:r>
      <w:r>
        <w:rPr>
          <w:rFonts w:ascii="Times New Roman" w:cs="Times New Roman" w:eastAsia="Times New Roman" w:hAnsi="Times New Roman"/>
          <w:sz w:val="17"/>
          <w:szCs w:val="17"/>
          <w:u w:val="single" w:color="auto"/>
          <w:color w:val="auto"/>
        </w:rPr>
        <w:t>corp@cohu.com</w:t>
      </w:r>
      <w:r>
        <w:rPr>
          <w:rFonts w:ascii="Times New Roman" w:cs="Times New Roman" w:eastAsia="Times New Roman" w:hAnsi="Times New Roman"/>
          <w:sz w:val="17"/>
          <w:szCs w:val="17"/>
          <w:color w:val="auto"/>
        </w:rPr>
        <w:t xml:space="preserve"> or by sending a letter to the Cohu Board of Directors, c/o Corporate Secretary, Cohu, Inc., 12367 Crosthwaite Circle, Poway, California 92064-6817.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of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Compensation</w:t>
      </w:r>
    </w:p>
    <w:p>
      <w:pPr>
        <w:spacing w:after="0" w:line="220" w:lineRule="exact"/>
        <w:rPr>
          <w:sz w:val="20"/>
          <w:szCs w:val="20"/>
          <w:color w:val="auto"/>
        </w:rPr>
      </w:pPr>
    </w:p>
    <w:p>
      <w:pPr>
        <w:ind w:right="400" w:firstLine="307"/>
        <w:spacing w:after="0" w:line="284" w:lineRule="auto"/>
        <w:rPr>
          <w:sz w:val="20"/>
          <w:szCs w:val="20"/>
          <w:color w:val="auto"/>
        </w:rPr>
      </w:pPr>
      <w:r>
        <w:rPr>
          <w:rFonts w:ascii="Times New Roman" w:cs="Times New Roman" w:eastAsia="Times New Roman" w:hAnsi="Times New Roman"/>
          <w:sz w:val="17"/>
          <w:szCs w:val="17"/>
          <w:color w:val="auto"/>
        </w:rPr>
        <w:t>Directors who are employees of Cohu do not receive any additional compensation for their services as directors. During fiscal 2017, non-employee directors received an annual retainer, and Board committee Chairs and members received annual fees, all paid quarterly, as set forth below.</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5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Retainer:</w:t>
            </w:r>
          </w:p>
        </w:tc>
        <w:tc>
          <w:tcPr>
            <w:tcW w:w="2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38"/>
        </w:trPr>
        <w:tc>
          <w:tcPr>
            <w:tcW w:w="1160" w:type="dxa"/>
            <w:vAlign w:val="bottom"/>
            <w:shd w:val="clear" w:color="auto" w:fill="000000"/>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5"/>
        </w:trPr>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Chairman of the Board</w:t>
            </w:r>
          </w:p>
        </w:tc>
        <w:tc>
          <w:tcPr>
            <w:tcW w:w="28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r>
        <w:trPr>
          <w:trHeight w:val="205"/>
        </w:trPr>
        <w:tc>
          <w:tcPr>
            <w:tcW w:w="52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28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r>
      <w:tr>
        <w:trPr>
          <w:trHeight w:val="205"/>
        </w:trPr>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Other Directors</w:t>
            </w:r>
          </w:p>
        </w:tc>
        <w:tc>
          <w:tcPr>
            <w:tcW w:w="28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185"/>
        </w:trPr>
        <w:tc>
          <w:tcPr>
            <w:tcW w:w="2440" w:type="dxa"/>
            <w:vAlign w:val="bottom"/>
            <w:tcBorders>
              <w:bottom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w w:val="99"/>
              </w:rPr>
              <w:t>Annual Fees for Committee Chairs:</w:t>
            </w:r>
          </w:p>
        </w:tc>
        <w:tc>
          <w:tcPr>
            <w:tcW w:w="2840" w:type="dxa"/>
            <w:vAlign w:val="bottom"/>
            <w:tcBorders>
              <w:bottom w:val="single" w:sz="8" w:color="CCEEFF"/>
            </w:tcBorders>
            <w:gridSpan w:val="2"/>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05"/>
        </w:trPr>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Audit Committee</w:t>
            </w:r>
          </w:p>
        </w:tc>
        <w:tc>
          <w:tcPr>
            <w:tcW w:w="28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r>
      <w:tr>
        <w:trPr>
          <w:trHeight w:val="205"/>
        </w:trPr>
        <w:tc>
          <w:tcPr>
            <w:tcW w:w="52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 Committee</w:t>
            </w:r>
          </w:p>
        </w:tc>
        <w:tc>
          <w:tcPr>
            <w:tcW w:w="28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5"/>
        </w:trPr>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Nominating and Governance Committee</w:t>
            </w:r>
          </w:p>
        </w:tc>
        <w:tc>
          <w:tcPr>
            <w:tcW w:w="28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185"/>
        </w:trPr>
        <w:tc>
          <w:tcPr>
            <w:tcW w:w="5280" w:type="dxa"/>
            <w:vAlign w:val="bottom"/>
            <w:gridSpan w:val="4"/>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Annual Fees for Other Committee Members:</w:t>
            </w:r>
          </w:p>
        </w:tc>
        <w:tc>
          <w:tcPr>
            <w:tcW w:w="2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5"/>
        </w:trPr>
        <w:tc>
          <w:tcPr>
            <w:tcW w:w="30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color w:val="auto"/>
              </w:rPr>
              <w:t>Audit Committee</w:t>
            </w:r>
          </w:p>
        </w:tc>
        <w:tc>
          <w:tcPr>
            <w:tcW w:w="226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8,800</w:t>
            </w:r>
          </w:p>
        </w:tc>
      </w:tr>
      <w:tr>
        <w:trPr>
          <w:trHeight w:val="205"/>
        </w:trPr>
        <w:tc>
          <w:tcPr>
            <w:tcW w:w="52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 Committee</w:t>
            </w:r>
          </w:p>
        </w:tc>
        <w:tc>
          <w:tcPr>
            <w:tcW w:w="28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22"/>
        </w:trPr>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Nominating and Governance Committee</w:t>
            </w:r>
          </w:p>
        </w:tc>
        <w:tc>
          <w:tcPr>
            <w:tcW w:w="28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171" w:lineRule="exact"/>
        <w:rPr>
          <w:sz w:val="20"/>
          <w:szCs w:val="20"/>
          <w:color w:val="auto"/>
        </w:rPr>
      </w:pPr>
    </w:p>
    <w:p>
      <w:pPr>
        <w:ind w:right="440" w:firstLine="307"/>
        <w:spacing w:after="0" w:line="284" w:lineRule="auto"/>
        <w:rPr>
          <w:sz w:val="20"/>
          <w:szCs w:val="20"/>
          <w:color w:val="auto"/>
        </w:rPr>
      </w:pPr>
      <w:r>
        <w:rPr>
          <w:rFonts w:ascii="Times New Roman" w:cs="Times New Roman" w:eastAsia="Times New Roman" w:hAnsi="Times New Roman"/>
          <w:sz w:val="17"/>
          <w:szCs w:val="17"/>
          <w:color w:val="auto"/>
        </w:rPr>
        <w:t>In addition to the retainers and fees noted above, non-employee directors are reimbursed for out-of-town travel and other reasonable out-of-pocket expenses related to attendance at Board and committee meetings.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5" w:name="page16"/>
    <w:bookmarkEnd w:id="15"/>
    <w:p>
      <w:pPr>
        <w:ind w:firstLine="307"/>
        <w:spacing w:after="0" w:line="259" w:lineRule="auto"/>
        <w:rPr>
          <w:sz w:val="20"/>
          <w:szCs w:val="20"/>
          <w:color w:val="auto"/>
        </w:rPr>
      </w:pPr>
      <w:r>
        <w:rPr>
          <w:rFonts w:ascii="Times New Roman" w:cs="Times New Roman" w:eastAsia="Times New Roman" w:hAnsi="Times New Roman"/>
          <w:sz w:val="17"/>
          <w:szCs w:val="17"/>
          <w:color w:val="auto"/>
        </w:rPr>
        <w:t>Under the terms and conditions of the Cohu, Inc.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the Company will grant deferred stock units (“DSUs”) in lieu of cash, with an initial value equal to the deferred cash, which will be settled at a future date through the issuance of Cohu common stock. Mr. Bilodeau and Mr. Ciardella elected to defer 100% of their 2017 cash-based non-employee director fees.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w:t>
      </w:r>
    </w:p>
    <w:p>
      <w:pPr>
        <w:spacing w:after="0" w:line="220" w:lineRule="exact"/>
        <w:rPr>
          <w:sz w:val="20"/>
          <w:szCs w:val="20"/>
          <w:color w:val="auto"/>
        </w:r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Equity compensation for non-employee directors during 2017 was as follows: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Initial appointment:</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Restricted Stock Units (“RSUs”) with a total value of $100,000</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Annual grants:</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RSUs with a total value of $100,000</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December 12, 2017, the equity compensation for non-employee directors was revised and currently is: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Initial appointment:</w:t>
      </w:r>
    </w:p>
    <w:p>
      <w:pPr>
        <w:spacing w:after="0" w:line="214" w:lineRule="exact"/>
        <w:rPr>
          <w:sz w:val="20"/>
          <w:szCs w:val="20"/>
          <w:color w:val="auto"/>
        </w:rPr>
      </w:pPr>
    </w:p>
    <w:p>
      <w:pPr>
        <w:ind w:left="780" w:right="400"/>
        <w:spacing w:after="0" w:line="284" w:lineRule="auto"/>
        <w:rPr>
          <w:sz w:val="20"/>
          <w:szCs w:val="20"/>
          <w:color w:val="auto"/>
        </w:rPr>
      </w:pPr>
      <w:r>
        <w:rPr>
          <w:rFonts w:ascii="Times New Roman" w:cs="Times New Roman" w:eastAsia="Times New Roman" w:hAnsi="Times New Roman"/>
          <w:sz w:val="17"/>
          <w:szCs w:val="17"/>
          <w:color w:val="auto"/>
        </w:rPr>
        <w:t>RSUs with a total value of $115,000 and prorated based on the period of time between appointment as director and the next scheduled director annual equity grant date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Annual grants:</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RSUs with a total value of $115,000</w:t>
      </w:r>
    </w:p>
    <w:p>
      <w:pPr>
        <w:spacing w:after="0" w:line="214" w:lineRule="exact"/>
        <w:rPr>
          <w:sz w:val="20"/>
          <w:szCs w:val="20"/>
          <w:color w:val="auto"/>
        </w:rPr>
      </w:pPr>
    </w:p>
    <w:p>
      <w:pPr>
        <w:ind w:right="20" w:firstLine="307"/>
        <w:spacing w:after="0" w:line="262" w:lineRule="auto"/>
        <w:rPr>
          <w:sz w:val="20"/>
          <w:szCs w:val="20"/>
          <w:color w:val="auto"/>
        </w:rPr>
      </w:pPr>
      <w:r>
        <w:rPr>
          <w:rFonts w:ascii="Times New Roman" w:cs="Times New Roman" w:eastAsia="Times New Roman" w:hAnsi="Times New Roman"/>
          <w:sz w:val="17"/>
          <w:szCs w:val="17"/>
          <w:color w:val="auto"/>
        </w:rPr>
        <w:t>Each RSU represents a contingent right to receive one share of Cohu common stock upon vesting. Assuming continued service on the Board, the RSUs granted to non-employee directors upon their initial appointment to the Board will vest and shares are issued in three equal annual installments beginning one year after the date of grant. The annual RSU awards vest and shares are issued upon the earlier to occur of the one-year anniversary of the grant date of the award or the next annual meeting of stockholders. RSUs may be accelerated upon a change in control, as defined in the 2005 Plan.</w:t>
      </w:r>
    </w:p>
    <w:p>
      <w:pPr>
        <w:spacing w:after="0" w:line="171" w:lineRule="exact"/>
        <w:rPr>
          <w:sz w:val="20"/>
          <w:szCs w:val="20"/>
          <w:color w:val="auto"/>
        </w:rPr>
      </w:pPr>
    </w:p>
    <w:p>
      <w:pPr>
        <w:ind w:right="20" w:firstLine="307"/>
        <w:spacing w:after="0" w:line="259" w:lineRule="auto"/>
        <w:rPr>
          <w:sz w:val="20"/>
          <w:szCs w:val="20"/>
          <w:color w:val="auto"/>
        </w:rPr>
      </w:pPr>
      <w:r>
        <w:rPr>
          <w:rFonts w:ascii="Times New Roman" w:cs="Times New Roman" w:eastAsia="Times New Roman" w:hAnsi="Times New Roman"/>
          <w:sz w:val="17"/>
          <w:szCs w:val="17"/>
          <w:color w:val="auto"/>
        </w:rPr>
        <w:t>On May 10, 2017, 5,252 RSUs were awarded to each of Messrs. Bendush, Bilodeau, Caggia, Ciardella, Donahue and Mr. Karl Funke. Cohu will issue to each recipient, assuming continued service as a director, shares of Cohu common stock at the end of the required RSU vesting period. Messrs. Bilodeau, Caggia and Ciardella elected to defer the vesting of 100% of their 2017 grants under the 2005 Plan, respectively. Upon vesting, the deferred amount will be credited in the form of DSU awards and ultimately payable, including dividends accrued during the deferral, in shares of Cohu common stock, if the Director ceases to be a Director for any reason, upon the occurrence of a change in control of Cohu or at a future date selected at the time of deferral through the issuance of Cohu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Benefits</w:t>
      </w:r>
    </w:p>
    <w:p>
      <w:pPr>
        <w:spacing w:after="0" w:line="220" w:lineRule="exact"/>
        <w:rPr>
          <w:sz w:val="20"/>
          <w:szCs w:val="20"/>
          <w:color w:val="auto"/>
        </w:rPr>
      </w:pPr>
    </w:p>
    <w:p>
      <w:pPr>
        <w:ind w:right="100" w:firstLine="307"/>
        <w:spacing w:after="0" w:line="284" w:lineRule="auto"/>
        <w:rPr>
          <w:sz w:val="20"/>
          <w:szCs w:val="20"/>
          <w:color w:val="auto"/>
        </w:rPr>
      </w:pPr>
      <w:r>
        <w:rPr>
          <w:rFonts w:ascii="Times New Roman" w:cs="Times New Roman" w:eastAsia="Times New Roman" w:hAnsi="Times New Roman"/>
          <w:sz w:val="17"/>
          <w:szCs w:val="17"/>
          <w:color w:val="auto"/>
        </w:rPr>
        <w:t>Certain Cohu directors who are retired officers of Cohu and certain other current or retired Cohu officers and their spouses receive medical benefits consisting of reimbursement of health insurance premiums and other medical costs not covered by insurance. These benefits are not offered to other retired Cohu employees.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6"/>
          </w:tcPr>
          <w:p>
            <w:pPr>
              <w:ind w:left="1040"/>
              <w:spacing w:after="0"/>
              <w:rPr>
                <w:sz w:val="20"/>
                <w:szCs w:val="20"/>
                <w:color w:val="auto"/>
              </w:rPr>
            </w:pPr>
            <w:r>
              <w:rPr>
                <w:rFonts w:ascii="Times New Roman" w:cs="Times New Roman" w:eastAsia="Times New Roman" w:hAnsi="Times New Roman"/>
                <w:sz w:val="17"/>
                <w:szCs w:val="17"/>
                <w:b w:val="1"/>
                <w:bCs w:val="1"/>
                <w:color w:val="auto"/>
              </w:rPr>
              <w:t>2017 DIRECTOR COMPENSATION</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760" w:type="dxa"/>
            <w:vAlign w:val="bottom"/>
            <w:gridSpan w:val="8"/>
          </w:tcPr>
          <w:p>
            <w:pPr>
              <w:ind w:left="220"/>
              <w:spacing w:after="0"/>
              <w:rPr>
                <w:sz w:val="20"/>
                <w:szCs w:val="20"/>
                <w:color w:val="auto"/>
              </w:rPr>
            </w:pPr>
            <w:r>
              <w:rPr>
                <w:rFonts w:ascii="Times New Roman" w:cs="Times New Roman" w:eastAsia="Times New Roman" w:hAnsi="Times New Roman"/>
                <w:sz w:val="17"/>
                <w:szCs w:val="17"/>
                <w:color w:val="auto"/>
              </w:rPr>
              <w:t>The following table provides information on compensation for Cohu’s non-employee directors for fiscal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Earned</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or Paid</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in Cash</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2"/>
                <w:szCs w:val="22"/>
                <w:color w:val="auto"/>
              </w:rPr>
            </w:pPr>
          </w:p>
        </w:tc>
        <w:tc>
          <w:tcPr>
            <w:tcW w:w="126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(1)</w:t>
            </w:r>
          </w:p>
        </w:tc>
        <w:tc>
          <w:tcPr>
            <w:tcW w:w="180" w:type="dxa"/>
            <w:vAlign w:val="bottom"/>
          </w:tcPr>
          <w:p>
            <w:pPr>
              <w:spacing w:after="0"/>
              <w:rPr>
                <w:sz w:val="22"/>
                <w:szCs w:val="22"/>
                <w:color w:val="auto"/>
              </w:rPr>
            </w:pPr>
          </w:p>
        </w:tc>
        <w:tc>
          <w:tcPr>
            <w:tcW w:w="12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(2)</w:t>
            </w:r>
          </w:p>
        </w:tc>
        <w:tc>
          <w:tcPr>
            <w:tcW w:w="180" w:type="dxa"/>
            <w:vAlign w:val="bottom"/>
          </w:tcPr>
          <w:p>
            <w:pPr>
              <w:spacing w:after="0"/>
              <w:rPr>
                <w:sz w:val="22"/>
                <w:szCs w:val="22"/>
                <w:color w:val="auto"/>
              </w:rPr>
            </w:pPr>
          </w:p>
        </w:tc>
        <w:tc>
          <w:tcPr>
            <w:tcW w:w="136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E. Bendush</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8"/>
              </w:rPr>
              <w:t>79,500</w:t>
            </w:r>
          </w:p>
        </w:tc>
        <w:tc>
          <w:tcPr>
            <w:tcW w:w="3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178,238</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Steven J. Bilodeau</w:t>
            </w:r>
          </w:p>
        </w:tc>
        <w:tc>
          <w:tcPr>
            <w:tcW w:w="1680" w:type="dxa"/>
            <w:vAlign w:val="bottom"/>
            <w:gridSpan w:val="3"/>
          </w:tcPr>
          <w:p>
            <w:pPr>
              <w:ind w:left="900"/>
              <w:spacing w:after="0" w:line="243" w:lineRule="exact"/>
              <w:rPr>
                <w:sz w:val="20"/>
                <w:szCs w:val="20"/>
                <w:color w:val="auto"/>
              </w:rPr>
            </w:pPr>
            <w:r>
              <w:rPr>
                <w:rFonts w:ascii="Times New Roman" w:cs="Times New Roman" w:eastAsia="Times New Roman" w:hAnsi="Times New Roman"/>
                <w:sz w:val="17"/>
                <w:szCs w:val="17"/>
                <w:color w:val="auto"/>
              </w:rPr>
              <w:t>78,800</w:t>
            </w:r>
            <w:r>
              <w:rPr>
                <w:rFonts w:ascii="Times New Roman" w:cs="Times New Roman" w:eastAsia="Times New Roman" w:hAnsi="Times New Roman"/>
                <w:sz w:val="28"/>
                <w:szCs w:val="28"/>
                <w:color w:val="auto"/>
                <w:vertAlign w:val="superscript"/>
              </w:rPr>
              <w:t>(3)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177,538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M. Caggia</w:t>
            </w:r>
          </w:p>
        </w:tc>
        <w:tc>
          <w:tcPr>
            <w:tcW w:w="16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63,800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162,538</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L. Ciardella</w:t>
            </w:r>
          </w:p>
        </w:tc>
        <w:tc>
          <w:tcPr>
            <w:tcW w:w="1680" w:type="dxa"/>
            <w:vAlign w:val="bottom"/>
            <w:gridSpan w:val="3"/>
          </w:tcPr>
          <w:p>
            <w:pPr>
              <w:ind w:left="900"/>
              <w:spacing w:after="0" w:line="243" w:lineRule="exact"/>
              <w:rPr>
                <w:sz w:val="20"/>
                <w:szCs w:val="20"/>
                <w:color w:val="auto"/>
              </w:rPr>
            </w:pPr>
            <w:r>
              <w:rPr>
                <w:rFonts w:ascii="Times New Roman" w:cs="Times New Roman" w:eastAsia="Times New Roman" w:hAnsi="Times New Roman"/>
                <w:sz w:val="17"/>
                <w:szCs w:val="17"/>
                <w:color w:val="auto"/>
              </w:rPr>
              <w:t>78,800</w:t>
            </w:r>
            <w:r>
              <w:rPr>
                <w:rFonts w:ascii="Times New Roman" w:cs="Times New Roman" w:eastAsia="Times New Roman" w:hAnsi="Times New Roman"/>
                <w:sz w:val="28"/>
                <w:szCs w:val="28"/>
                <w:color w:val="auto"/>
                <w:vertAlign w:val="superscript"/>
              </w:rPr>
              <w:t>(3)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177,538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A. Donahue</w:t>
            </w:r>
          </w:p>
        </w:tc>
        <w:tc>
          <w:tcPr>
            <w:tcW w:w="16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75,000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16,811</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190,549</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7"/>
                <w:szCs w:val="17"/>
                <w:color w:val="auto"/>
              </w:rPr>
              <w:t>Karl H. Funke</w:t>
            </w:r>
            <w:r>
              <w:rPr>
                <w:rFonts w:ascii="Times New Roman" w:cs="Times New Roman" w:eastAsia="Times New Roman" w:hAnsi="Times New Roman"/>
                <w:sz w:val="28"/>
                <w:szCs w:val="28"/>
                <w:color w:val="auto"/>
                <w:vertAlign w:val="superscript"/>
              </w:rPr>
              <w:t>(4)</w:t>
            </w:r>
          </w:p>
        </w:tc>
        <w:tc>
          <w:tcPr>
            <w:tcW w:w="16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color w:val="auto"/>
              </w:rPr>
              <w:t>66,300</w:t>
            </w: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98,738</w:t>
            </w:r>
          </w:p>
        </w:tc>
        <w:tc>
          <w:tcPr>
            <w:tcW w:w="1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165,038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0" w:hanging="304"/>
        <w:spacing w:after="0" w:line="258"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do not reflect compensation actually received by the directors. Instead, the amounts shown above are the grant date fair value for stock awards issued in the form of RSUs granted in fiscal 2017. The assumptions used to calculate the grant date fair value of the stock awards are set forth in Note 6, “Employee Benefit Plans,” included in Part IV, Item 15(a) of Cohu’s Annual Report on Form 10-K for the year ended December 30, 2017, filed with the SEC. The derived grant date fair value for the stock award is recognized, for financial statement purposes, over the number of days of service required for the award to vest in full. As of December 30, 2017, Messrs. Bendush, Bilodeau, Caggia and Ciardella each had 5,252 unvested RSUs outstanding, Mr. Donahue had 39,712 and Mr. Funke had 6,352.</w:t>
      </w:r>
    </w:p>
    <w:p>
      <w:pPr>
        <w:spacing w:after="0" w:line="173"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for Mr. Donahue is for reimbursement of health insurance premiums and other medical costs not covered by insurance.</w:t>
      </w:r>
    </w:p>
    <w:p>
      <w:pPr>
        <w:spacing w:after="0" w:line="214" w:lineRule="exact"/>
        <w:rPr>
          <w:rFonts w:ascii="Times New Roman" w:cs="Times New Roman" w:eastAsia="Times New Roman" w:hAnsi="Times New Roman"/>
          <w:sz w:val="17"/>
          <w:szCs w:val="17"/>
          <w:color w:val="auto"/>
        </w:rPr>
      </w:pPr>
    </w:p>
    <w:p>
      <w:pPr>
        <w:ind w:left="460" w:right="260" w:hanging="304"/>
        <w:spacing w:after="0" w:line="262"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30, 2017, Messrs. Bilodeau and Ciardella elected to defer all of their fees under the 2005 Plan. The deferred amount is credited in the form of DSU awards and ultimately payable in shares of Cohu common stock, if the Director ceases to be a Director for any reason, upon the occurrence of a change in control of Cohu or at a future date selected at the time of deferral. As of December 30, 2017, Messrs. Bilodeau, Ciardella and Donahue had 73,396 and 22,577 and 71,064 DSUs, respectively.</w:t>
      </w:r>
    </w:p>
    <w:p>
      <w:pPr>
        <w:spacing w:after="0" w:line="17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March 26, 2018, Mr. Funke resigned from the Board.</w:t>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8" w:lineRule="exact"/>
        <w:rPr>
          <w:sz w:val="20"/>
          <w:szCs w:val="20"/>
          <w:color w:val="auto"/>
        </w:r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8" w:lineRule="exact"/>
        <w:rPr>
          <w:sz w:val="20"/>
          <w:szCs w:val="20"/>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w:t>
      </w:r>
    </w:p>
    <w:p>
      <w:pPr>
        <w:spacing w:after="0" w:line="152" w:lineRule="exact"/>
        <w:rPr>
          <w:sz w:val="20"/>
          <w:szCs w:val="20"/>
          <w:color w:val="auto"/>
        </w:rPr>
      </w:pPr>
    </w:p>
    <w:p>
      <w:pPr>
        <w:ind w:left="780" w:hanging="470"/>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honest and ethical conduct, including the ethical handling of actual or apparent conflicts of interest between personal and professional relationships;</w:t>
      </w:r>
    </w:p>
    <w:p>
      <w:pPr>
        <w:spacing w:after="0" w:line="214" w:lineRule="exact"/>
        <w:rPr>
          <w:rFonts w:ascii="Times New Roman" w:cs="Times New Roman" w:eastAsia="Times New Roman" w:hAnsi="Times New Roman"/>
          <w:sz w:val="17"/>
          <w:szCs w:val="17"/>
          <w:color w:val="auto"/>
        </w:rPr>
      </w:pPr>
    </w:p>
    <w:p>
      <w:pPr>
        <w:ind w:left="780" w:right="660" w:hanging="470"/>
        <w:spacing w:after="0" w:line="284" w:lineRule="auto"/>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fair, accurate, timely and understandable disclosure in reports and documents that Cohu files with, or submits to, the SEC and in other public communications made by Cohu;</w:t>
      </w:r>
    </w:p>
    <w:p>
      <w:pPr>
        <w:spacing w:after="0" w:line="152" w:lineRule="exact"/>
        <w:rPr>
          <w:rFonts w:ascii="Times New Roman" w:cs="Times New Roman" w:eastAsia="Times New Roman" w:hAnsi="Times New Roman"/>
          <w:sz w:val="17"/>
          <w:szCs w:val="17"/>
          <w:color w:val="auto"/>
        </w:rPr>
      </w:pPr>
    </w:p>
    <w:p>
      <w:pPr>
        <w:ind w:left="780" w:hanging="470"/>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governmental laws, rules and regulations;</w:t>
      </w:r>
    </w:p>
    <w:p>
      <w:pPr>
        <w:spacing w:after="0" w:line="214" w:lineRule="exact"/>
        <w:rPr>
          <w:rFonts w:ascii="Times New Roman" w:cs="Times New Roman" w:eastAsia="Times New Roman" w:hAnsi="Times New Roman"/>
          <w:sz w:val="17"/>
          <w:szCs w:val="17"/>
          <w:color w:val="auto"/>
        </w:rPr>
      </w:pPr>
    </w:p>
    <w:p>
      <w:pPr>
        <w:ind w:left="780" w:hanging="470"/>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prompt internal reporting of violations of the Code of Conduct to an appropriate person or persons identified in the Code of Conduct; and</w:t>
      </w:r>
    </w:p>
    <w:p>
      <w:pPr>
        <w:spacing w:after="0" w:line="214" w:lineRule="exact"/>
        <w:rPr>
          <w:rFonts w:ascii="Times New Roman" w:cs="Times New Roman" w:eastAsia="Times New Roman" w:hAnsi="Times New Roman"/>
          <w:sz w:val="17"/>
          <w:szCs w:val="17"/>
          <w:color w:val="auto"/>
        </w:rPr>
      </w:pPr>
    </w:p>
    <w:p>
      <w:pPr>
        <w:ind w:left="780" w:hanging="470"/>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accountability for adherence to the Code of Conduct.</w:t>
      </w:r>
    </w:p>
    <w:p>
      <w:pPr>
        <w:spacing w:after="0" w:line="21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7"/>
          <w:szCs w:val="17"/>
          <w:color w:val="auto"/>
        </w:rPr>
        <w:t xml:space="preserve">The Code of Conduct is available at </w:t>
      </w:r>
      <w:r>
        <w:rPr>
          <w:rFonts w:ascii="Times New Roman" w:cs="Times New Roman" w:eastAsia="Times New Roman" w:hAnsi="Times New Roman"/>
          <w:sz w:val="17"/>
          <w:szCs w:val="17"/>
          <w:u w:val="single" w:color="auto"/>
          <w:color w:val="auto"/>
        </w:rPr>
        <w:t>www.cohu.com/investors/corporategovernance</w:t>
      </w:r>
      <w:r>
        <w:rPr>
          <w:rFonts w:ascii="Times New Roman" w:cs="Times New Roman" w:eastAsia="Times New Roman" w:hAnsi="Times New Roman"/>
          <w:sz w:val="17"/>
          <w:szCs w:val="17"/>
          <w:color w:val="auto"/>
        </w:rPr>
        <w:t>. We intend to make all required disclosures concerning any amendments to, or waivers from, our Code of Conduct on our website within four business days.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8" w:lineRule="exact"/>
        <w:rPr>
          <w:sz w:val="20"/>
          <w:szCs w:val="20"/>
          <w:color w:val="auto"/>
        </w:rPr>
      </w:pPr>
    </w:p>
    <w:p>
      <w:pPr>
        <w:ind w:right="160" w:firstLine="307"/>
        <w:spacing w:after="0" w:line="267"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beneficial ownership of Cohu’s common stock as of February 16, 2018, by (i) each stockholder who has reported or is known by Cohu to have beneficial ownership of more than 5% of our common stock; (ii) each director of Cohu; (iii) each NEO included in the “2017 Summary Compensation Table”; and (iv) all directors and executive officers as a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120" w:type="dxa"/>
            <w:vAlign w:val="bottom"/>
          </w:tcPr>
          <w:p>
            <w:pPr>
              <w:spacing w:after="0"/>
              <w:rPr>
                <w:sz w:val="22"/>
                <w:szCs w:val="22"/>
                <w:color w:val="auto"/>
              </w:rPr>
            </w:pP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72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17"/>
                <w:szCs w:val="17"/>
                <w:b w:val="1"/>
                <w:bCs w:val="1"/>
                <w:color w:val="auto"/>
                <w:w w:val="94"/>
              </w:rPr>
              <w:t xml:space="preserve">equivalents </w:t>
            </w:r>
            <w:r>
              <w:rPr>
                <w:rFonts w:ascii="Times New Roman" w:cs="Times New Roman" w:eastAsia="Times New Roman" w:hAnsi="Times New Roman"/>
                <w:sz w:val="28"/>
                <w:szCs w:val="28"/>
                <w:b w:val="1"/>
                <w:bCs w:val="1"/>
                <w:color w:val="auto"/>
                <w:w w:val="94"/>
                <w:vertAlign w:val="superscript"/>
              </w:rPr>
              <w:t>(1)</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80" w:type="dxa"/>
            <w:vAlign w:val="bottom"/>
          </w:tcPr>
          <w:p>
            <w:pPr>
              <w:jc w:val="right"/>
              <w:ind w:right="255"/>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of class </w:t>
            </w:r>
            <w:r>
              <w:rPr>
                <w:rFonts w:ascii="Times New Roman" w:cs="Times New Roman" w:eastAsia="Times New Roman" w:hAnsi="Times New Roman"/>
                <w:sz w:val="28"/>
                <w:szCs w:val="28"/>
                <w:b w:val="1"/>
                <w:bCs w:val="1"/>
                <w:color w:val="auto"/>
                <w:vertAlign w:val="superscript"/>
              </w:rPr>
              <w:t>(2)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BlackRock, Inc. </w:t>
            </w:r>
            <w:r>
              <w:rPr>
                <w:rFonts w:ascii="Times New Roman" w:cs="Times New Roman" w:eastAsia="Times New Roman" w:hAnsi="Times New Roman"/>
                <w:sz w:val="28"/>
                <w:szCs w:val="28"/>
                <w:color w:val="auto"/>
                <w:vertAlign w:val="superscript"/>
              </w:rPr>
              <w:t>(3)</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3,700,110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3,700,110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55 East 52nd Street, New York, NY 10055</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Dimensional Fund Advisors LP </w:t>
            </w:r>
            <w:r>
              <w:rPr>
                <w:rFonts w:ascii="Times New Roman" w:cs="Times New Roman" w:eastAsia="Times New Roman" w:hAnsi="Times New Roman"/>
                <w:sz w:val="28"/>
                <w:szCs w:val="28"/>
                <w:color w:val="auto"/>
                <w:vertAlign w:val="superscript"/>
              </w:rPr>
              <w:t>(4)</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2,377,575</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2,377,575</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6300 Bee Cave Road, Austin, TX 78746</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Franklin Resources, Inc. </w:t>
            </w:r>
            <w:r>
              <w:rPr>
                <w:rFonts w:ascii="Times New Roman" w:cs="Times New Roman" w:eastAsia="Times New Roman" w:hAnsi="Times New Roman"/>
                <w:sz w:val="28"/>
                <w:szCs w:val="28"/>
                <w:color w:val="auto"/>
                <w:vertAlign w:val="superscript"/>
              </w:rPr>
              <w:t>(5)</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1,578,875</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1,578,875</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One Franklin Parkway, San Mateo, CA 94403</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The Vanguard Group </w:t>
            </w:r>
            <w:r>
              <w:rPr>
                <w:rFonts w:ascii="Times New Roman" w:cs="Times New Roman" w:eastAsia="Times New Roman" w:hAnsi="Times New Roman"/>
                <w:sz w:val="28"/>
                <w:szCs w:val="28"/>
                <w:color w:val="auto"/>
                <w:vertAlign w:val="superscript"/>
              </w:rPr>
              <w:t>(6)</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1,513,774</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1,513,774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100 Vanguard Blvd. Malvern, PA 19355</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E. Bendush</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23,188</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33,188</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Steven J. Bilodeau </w:t>
            </w:r>
            <w:r>
              <w:rPr>
                <w:rFonts w:ascii="Times New Roman" w:cs="Times New Roman" w:eastAsia="Times New Roman" w:hAnsi="Times New Roman"/>
                <w:sz w:val="28"/>
                <w:szCs w:val="28"/>
                <w:color w:val="auto"/>
                <w:vertAlign w:val="superscript"/>
              </w:rPr>
              <w:t>(7)</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73,589</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83,589</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3,101</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Andrew M. Caggia</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19,688</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29,688</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Robert L. Ciardella </w:t>
            </w:r>
            <w:r>
              <w:rPr>
                <w:rFonts w:ascii="Times New Roman" w:cs="Times New Roman" w:eastAsia="Times New Roman" w:hAnsi="Times New Roman"/>
                <w:sz w:val="28"/>
                <w:szCs w:val="28"/>
                <w:color w:val="auto"/>
                <w:vertAlign w:val="superscript"/>
              </w:rPr>
              <w:t>(8)</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70,635</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90,635</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James A. Donahue</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320,328</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186,699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507,027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79,150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72,222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151,372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2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147,559</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192,559</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18,160</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12,500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30,660</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(10 persons)</w:t>
            </w:r>
          </w:p>
        </w:tc>
        <w:tc>
          <w:tcPr>
            <w:tcW w:w="218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755,396</w:t>
            </w:r>
          </w:p>
        </w:tc>
        <w:tc>
          <w:tcPr>
            <w:tcW w:w="1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366,421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1,121,817</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0" w:type="dxa"/>
            <w:vAlign w:val="bottom"/>
          </w:tcPr>
          <w:p>
            <w:pPr>
              <w:spacing w:after="0"/>
              <w:rPr>
                <w:sz w:val="1"/>
                <w:szCs w:val="1"/>
                <w:color w:val="auto"/>
              </w:rPr>
            </w:pPr>
          </w:p>
        </w:tc>
      </w:tr>
    </w:tbl>
    <w:p>
      <w:pPr>
        <w:ind w:left="140" w:hanging="138"/>
        <w:spacing w:after="0"/>
        <w:tabs>
          <w:tab w:leader="none" w:pos="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197" w:lineRule="exact"/>
        <w:rPr>
          <w:rFonts w:ascii="Times New Roman" w:cs="Times New Roman" w:eastAsia="Times New Roman" w:hAnsi="Times New Roman"/>
          <w:sz w:val="17"/>
          <w:szCs w:val="17"/>
          <w:color w:val="auto"/>
        </w:rPr>
      </w:pPr>
    </w:p>
    <w:p>
      <w:pPr>
        <w:ind w:left="360" w:hanging="281"/>
        <w:spacing w:after="0"/>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issuable upon exercise of stock options held by directors and executive officers that were exercisable on or within 60 days of February 16, 2018.</w:t>
      </w:r>
    </w:p>
    <w:p>
      <w:pPr>
        <w:spacing w:after="0" w:line="214" w:lineRule="exact"/>
        <w:rPr>
          <w:rFonts w:ascii="Times New Roman" w:cs="Times New Roman" w:eastAsia="Times New Roman" w:hAnsi="Times New Roman"/>
          <w:sz w:val="17"/>
          <w:szCs w:val="17"/>
          <w:color w:val="auto"/>
        </w:rPr>
      </w:pPr>
    </w:p>
    <w:p>
      <w:pPr>
        <w:ind w:left="360" w:right="280" w:hanging="281"/>
        <w:spacing w:after="0" w:line="284" w:lineRule="auto"/>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Computed on the basis of 28,539,627 shares of Cohu common stock outstanding as of February 16, 2018, plus, with respect to each person holding options to purchase Cohu common stock exercisable within 60 days of February 16, 2018, the number of shares of Cohu common stock issuable upon exercise thereof.</w:t>
      </w:r>
    </w:p>
    <w:p>
      <w:pPr>
        <w:spacing w:after="0" w:line="152" w:lineRule="exact"/>
        <w:rPr>
          <w:rFonts w:ascii="Times New Roman" w:cs="Times New Roman" w:eastAsia="Times New Roman" w:hAnsi="Times New Roman"/>
          <w:sz w:val="17"/>
          <w:szCs w:val="17"/>
          <w:color w:val="auto"/>
        </w:rPr>
      </w:pPr>
    </w:p>
    <w:p>
      <w:pPr>
        <w:ind w:left="360" w:right="480" w:hanging="281"/>
        <w:spacing w:after="0" w:line="284" w:lineRule="auto"/>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Schedule 13G filed with the SEC on January 23, 2018, BlackRock, Inc. reported that its affiliated companies collectively had sole voting and dispositive power with respect to 3,644,472 and 3,700,110 shares, respectively, and no shared voting or dispositive power with respect to these shares.</w:t>
      </w:r>
    </w:p>
    <w:p>
      <w:pPr>
        <w:spacing w:after="0" w:line="152" w:lineRule="exact"/>
        <w:rPr>
          <w:rFonts w:ascii="Times New Roman" w:cs="Times New Roman" w:eastAsia="Times New Roman" w:hAnsi="Times New Roman"/>
          <w:sz w:val="17"/>
          <w:szCs w:val="17"/>
          <w:color w:val="auto"/>
        </w:rPr>
      </w:pPr>
    </w:p>
    <w:p>
      <w:pPr>
        <w:ind w:left="360" w:right="160" w:hanging="281"/>
        <w:spacing w:after="0" w:line="284" w:lineRule="auto"/>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Schedule 13G filed with the SEC on February 9, 2018, Dimensional Fund Advisors LP reported that it had sole voting and dispositive power with respect to 2,295,424 and 2,377,575 shares, respectively, and no shared voting or dispositive power with respect to these shares.</w:t>
      </w:r>
    </w:p>
    <w:p>
      <w:pPr>
        <w:spacing w:after="0" w:line="152" w:lineRule="exact"/>
        <w:rPr>
          <w:rFonts w:ascii="Times New Roman" w:cs="Times New Roman" w:eastAsia="Times New Roman" w:hAnsi="Times New Roman"/>
          <w:sz w:val="17"/>
          <w:szCs w:val="17"/>
          <w:color w:val="auto"/>
        </w:rPr>
      </w:pPr>
    </w:p>
    <w:p>
      <w:pPr>
        <w:ind w:left="360" w:right="60" w:hanging="281"/>
        <w:spacing w:after="0" w:line="284" w:lineRule="auto"/>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Schedule 13G filed with the SEC on February 5, 2018, Franklin Resources, Inc. reported that Franklin Advisory Services, LLC had sole voting and dispositive power with respect to 1,461,674 and 1,578,875 shares, respectively, and no shared voting or dispositive power with respect to these shares.</w:t>
      </w:r>
    </w:p>
    <w:p>
      <w:pPr>
        <w:spacing w:after="0" w:line="152" w:lineRule="exact"/>
        <w:rPr>
          <w:rFonts w:ascii="Times New Roman" w:cs="Times New Roman" w:eastAsia="Times New Roman" w:hAnsi="Times New Roman"/>
          <w:sz w:val="17"/>
          <w:szCs w:val="17"/>
          <w:color w:val="auto"/>
        </w:rPr>
      </w:pPr>
    </w:p>
    <w:p>
      <w:pPr>
        <w:ind w:left="360" w:right="160" w:hanging="281"/>
        <w:spacing w:after="0" w:line="284" w:lineRule="auto"/>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Schedule 13G filed with the Securities SEC on February 8, 2018, The Vanguard Group reported that it had sole voting and dispositive power with respect to 33,189 and 1,479,910 shares, respectively and shared voting and dispositive power with respect to 2,085 and 33,864 shares, respectively.</w:t>
      </w:r>
    </w:p>
    <w:p>
      <w:pPr>
        <w:spacing w:after="0" w:line="152" w:lineRule="exact"/>
        <w:rPr>
          <w:rFonts w:ascii="Times New Roman" w:cs="Times New Roman" w:eastAsia="Times New Roman" w:hAnsi="Times New Roman"/>
          <w:sz w:val="17"/>
          <w:szCs w:val="17"/>
          <w:color w:val="auto"/>
        </w:rPr>
      </w:pPr>
    </w:p>
    <w:p>
      <w:pPr>
        <w:ind w:left="360" w:hanging="281"/>
        <w:spacing w:after="0"/>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Beneficially owned common stock includes 73,589 deferred stock unit awards issued pursuant to the 2005 Plan.</w:t>
      </w:r>
    </w:p>
    <w:p>
      <w:pPr>
        <w:spacing w:after="0" w:line="214" w:lineRule="exact"/>
        <w:rPr>
          <w:rFonts w:ascii="Times New Roman" w:cs="Times New Roman" w:eastAsia="Times New Roman" w:hAnsi="Times New Roman"/>
          <w:sz w:val="17"/>
          <w:szCs w:val="17"/>
          <w:color w:val="auto"/>
        </w:rPr>
      </w:pPr>
    </w:p>
    <w:p>
      <w:pPr>
        <w:ind w:left="360" w:hanging="281"/>
        <w:spacing w:after="0"/>
        <w:tabs>
          <w:tab w:leader="none" w:pos="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Beneficially owned common stock includes 22,635 deferred stock unit awards issued pursuant to the 2005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16(a) BENEFICIAL OWNERSHIP REPORTING COMPLIANCE</w:t>
      </w:r>
    </w:p>
    <w:p>
      <w:pPr>
        <w:spacing w:after="0" w:line="218" w:lineRule="exact"/>
        <w:rPr>
          <w:sz w:val="20"/>
          <w:szCs w:val="20"/>
          <w:color w:val="auto"/>
        </w:rPr>
      </w:pPr>
    </w:p>
    <w:p>
      <w:pPr>
        <w:ind w:right="60" w:firstLine="307"/>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67" w:lineRule="exact"/>
        <w:rPr>
          <w:sz w:val="20"/>
          <w:szCs w:val="20"/>
          <w:color w:val="auto"/>
        </w:rPr>
      </w:pPr>
    </w:p>
    <w:p>
      <w:pPr>
        <w:ind w:firstLine="307"/>
        <w:spacing w:after="0" w:line="255" w:lineRule="auto"/>
        <w:rPr>
          <w:sz w:val="20"/>
          <w:szCs w:val="20"/>
          <w:color w:val="auto"/>
        </w:rPr>
      </w:pPr>
      <w:r>
        <w:rPr>
          <w:rFonts w:ascii="Times New Roman" w:cs="Times New Roman" w:eastAsia="Times New Roman" w:hAnsi="Times New Roman"/>
          <w:sz w:val="17"/>
          <w:szCs w:val="17"/>
          <w:color w:val="auto"/>
        </w:rPr>
        <w:t>Based solely upon its review of the copies of such forms received by it, or written representations from certain reporting persons that no Forms 5 were required for such persons, Cohu believes that during the year ended December 30, 2017 its executive officers, directors and 10% stockholders timely complied with all Section 16(a) filing requirements except as follows: (i) on March 22, 2018, a Form 4/A was filed for Andrew M. Caggia to correct an inadvertent error in the amount of his beneficial ownership of securities reported as of May 10, 2017; (ii) on March 22, 2018, a Form 4/A was filed for James A. Donahue to correct an inadvertent error in the amount of his beneficial ownership of securities reported as of March 24, 2017; (iii) on March 12, 2018, a Form 4/A was filed for Karl H. Funke to correct an inadvertent error in the amount of his beneficial ownership of securities reported as of March 9, 2017; (iv) on March 22, 2018, for Ian von Fellenberg, a Form 3/A and Form 4/A were filed to correct inadvertent errors in the amounts of his beneficial ownership of securities reported as of March 22, 2017 and May 30, 2017, respectively; and (v) on March 22, 2018, a Form 4/A was filed for Luis A. Müller to correct an inadvertent error in the amount of his beneficial ownership of securities reported as of March 24, 2017.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4" w:right="239" w:bottom="664"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4" w:lineRule="exact"/>
        <w:rPr>
          <w:sz w:val="20"/>
          <w:szCs w:val="20"/>
          <w:color w:val="auto"/>
        </w:rPr>
      </w:pPr>
    </w:p>
    <w:p>
      <w:pPr>
        <w:ind w:firstLine="307"/>
        <w:spacing w:after="0" w:line="270" w:lineRule="auto"/>
        <w:rPr>
          <w:sz w:val="20"/>
          <w:szCs w:val="20"/>
          <w:color w:val="auto"/>
        </w:rPr>
      </w:pPr>
      <w:r>
        <w:rPr>
          <w:rFonts w:ascii="Times New Roman" w:cs="Times New Roman" w:eastAsia="Times New Roman" w:hAnsi="Times New Roman"/>
          <w:sz w:val="17"/>
          <w:szCs w:val="17"/>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Composition</w:t>
      </w:r>
    </w:p>
    <w:p>
      <w:pPr>
        <w:spacing w:after="0" w:line="220" w:lineRule="exact"/>
        <w:rPr>
          <w:sz w:val="20"/>
          <w:szCs w:val="20"/>
          <w:color w:val="auto"/>
        </w:rPr>
      </w:pPr>
    </w:p>
    <w:p>
      <w:pPr>
        <w:jc w:val="both"/>
        <w:ind w:right="80" w:firstLine="307"/>
        <w:spacing w:after="0" w:line="267" w:lineRule="auto"/>
        <w:rPr>
          <w:sz w:val="20"/>
          <w:szCs w:val="20"/>
          <w:color w:val="auto"/>
        </w:rPr>
      </w:pPr>
      <w:r>
        <w:rPr>
          <w:rFonts w:ascii="Times New Roman" w:cs="Times New Roman" w:eastAsia="Times New Roman" w:hAnsi="Times New Roman"/>
          <w:sz w:val="17"/>
          <w:szCs w:val="17"/>
          <w:color w:val="auto"/>
        </w:rPr>
        <w:t>The Audit Committee of the Board of Directors is composed of four (4) independent directors, as defined in the NASDAQ listing standards, and operates under a written charter adopted by the Board of Directors. The current members of the Audit Committee are William E. Bendush (Chairman), Steven J. Bilodeau, Andrew M. Caggia, and Robert L. Ciardella.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Responsibilities</w:t>
      </w:r>
    </w:p>
    <w:p>
      <w:pPr>
        <w:spacing w:after="0" w:line="220" w:lineRule="exact"/>
        <w:rPr>
          <w:sz w:val="20"/>
          <w:szCs w:val="20"/>
          <w:color w:val="auto"/>
        </w:r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75" w:lineRule="exact"/>
        <w:rPr>
          <w:sz w:val="20"/>
          <w:szCs w:val="20"/>
          <w:color w:val="auto"/>
        </w:rPr>
      </w:pPr>
    </w:p>
    <w:p>
      <w:pPr>
        <w:ind w:right="180" w:firstLine="307"/>
        <w:spacing w:after="0" w:line="267" w:lineRule="auto"/>
        <w:rPr>
          <w:sz w:val="20"/>
          <w:szCs w:val="20"/>
          <w:color w:val="auto"/>
        </w:rPr>
      </w:pPr>
      <w:r>
        <w:rPr>
          <w:rFonts w:ascii="Times New Roman" w:cs="Times New Roman" w:eastAsia="Times New Roman" w:hAnsi="Times New Roman"/>
          <w:sz w:val="17"/>
          <w:szCs w:val="17"/>
          <w:color w:val="auto"/>
        </w:rPr>
        <w:t>Cohu’s management has primary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Review with Management and Independent Registered Public Accounting Firm</w:t>
      </w:r>
    </w:p>
    <w:p>
      <w:pPr>
        <w:spacing w:after="0" w:line="220" w:lineRule="exact"/>
        <w:rPr>
          <w:sz w:val="20"/>
          <w:szCs w:val="20"/>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In this context, the Audit Committee has reviewed and discussed the audited consolidated financial statements contained in Cohu’s Annual Report on Form 10-K for the year ended December 30, 2017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w:t>
      </w:r>
    </w:p>
    <w:p>
      <w:pPr>
        <w:spacing w:after="0" w:line="171" w:lineRule="exact"/>
        <w:rPr>
          <w:sz w:val="20"/>
          <w:szCs w:val="20"/>
          <w:color w:val="auto"/>
        </w:rPr>
      </w:pPr>
    </w:p>
    <w:p>
      <w:pPr>
        <w:ind w:right="160" w:firstLine="307"/>
        <w:spacing w:after="0" w:line="267" w:lineRule="auto"/>
        <w:rPr>
          <w:sz w:val="20"/>
          <w:szCs w:val="20"/>
          <w:color w:val="auto"/>
        </w:rPr>
      </w:pPr>
      <w:r>
        <w:rPr>
          <w:rFonts w:ascii="Times New Roman" w:cs="Times New Roman" w:eastAsia="Times New Roman" w:hAnsi="Times New Roman"/>
          <w:sz w:val="17"/>
          <w:szCs w:val="17"/>
          <w:color w:val="auto"/>
        </w:rPr>
        <w:t>Ernst &amp; Young LLP also provided to the Audit Committee the written disclosures and the letter required by applicable requirements of the Public Company Accounting Oversight Board regarding Ernst &amp; Young’s communications with the Audit Committee concerning independence. The Audit Committee discussed with Ernst &amp; Young LLP any relationships that may impact their objectivity and independence, and satisfied itself as to Ernst &amp; Young’s independence.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w:t>
      </w:r>
    </w:p>
    <w:p>
      <w:pPr>
        <w:spacing w:after="0" w:line="220" w:lineRule="exact"/>
        <w:rPr>
          <w:sz w:val="20"/>
          <w:szCs w:val="20"/>
          <w:color w:val="auto"/>
        </w:rPr>
      </w:pPr>
    </w:p>
    <w:p>
      <w:pPr>
        <w:ind w:right="100" w:firstLine="307"/>
        <w:spacing w:after="0" w:line="267" w:lineRule="auto"/>
        <w:rPr>
          <w:sz w:val="20"/>
          <w:szCs w:val="20"/>
          <w:color w:val="auto"/>
        </w:rPr>
      </w:pPr>
      <w:r>
        <w:rPr>
          <w:rFonts w:ascii="Times New Roman" w:cs="Times New Roman" w:eastAsia="Times New Roman" w:hAnsi="Times New Roman"/>
          <w:sz w:val="17"/>
          <w:szCs w:val="17"/>
          <w:color w:val="auto"/>
        </w:rPr>
        <w:t>Based upon the Audit Committee’s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30, 2017, for filing with the SEC.</w:t>
      </w:r>
    </w:p>
    <w:p>
      <w:pPr>
        <w:spacing w:after="0" w:line="167" w:lineRule="exact"/>
        <w:rPr>
          <w:sz w:val="20"/>
          <w:szCs w:val="20"/>
          <w:color w:val="auto"/>
        </w:rPr>
      </w:pPr>
    </w:p>
    <w:p>
      <w:pPr>
        <w:ind w:right="260" w:firstLine="307"/>
        <w:spacing w:after="0" w:line="284" w:lineRule="auto"/>
        <w:rPr>
          <w:sz w:val="20"/>
          <w:szCs w:val="20"/>
          <w:color w:val="auto"/>
        </w:rPr>
      </w:pPr>
      <w:r>
        <w:rPr>
          <w:rFonts w:ascii="Times New Roman" w:cs="Times New Roman" w:eastAsia="Times New Roman" w:hAnsi="Times New Roman"/>
          <w:sz w:val="17"/>
          <w:szCs w:val="17"/>
          <w:color w:val="auto"/>
        </w:rPr>
        <w:t>The Audit Committee appointed Ernst &amp; Young LLP as Cohu’s independent registered public accounting firm for fiscal 2018 and recommends to stockholders that they ratify the appointment of Ernst &amp; Young LLP as Cohu’s independent registered public accounting firm for fiscal 2018.</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report is submitted by the Audit Committee.</w:t>
      </w:r>
    </w:p>
    <w:p>
      <w:pPr>
        <w:spacing w:after="0" w:line="214" w:lineRule="exact"/>
        <w:rPr>
          <w:sz w:val="20"/>
          <w:szCs w:val="20"/>
          <w:color w:val="auto"/>
        </w:rPr>
      </w:pPr>
    </w:p>
    <w:p>
      <w:pPr>
        <w:jc w:val="center"/>
        <w:ind w:right="280"/>
        <w:spacing w:after="0"/>
        <w:tabs>
          <w:tab w:leader="none" w:pos="260" w:val="left"/>
          <w:tab w:leader="none" w:pos="280" w:val="left"/>
          <w:tab w:leader="none" w:pos="320" w:val="left"/>
        </w:tabs>
        <w:rPr>
          <w:sz w:val="20"/>
          <w:szCs w:val="20"/>
          <w:color w:val="auto"/>
        </w:rPr>
      </w:pPr>
      <w:r>
        <w:rPr>
          <w:rFonts w:ascii="Times New Roman" w:cs="Times New Roman" w:eastAsia="Times New Roman" w:hAnsi="Times New Roman"/>
          <w:sz w:val="17"/>
          <w:szCs w:val="17"/>
          <w:color w:val="auto"/>
        </w:rPr>
        <w:t>William E. Bendush (Chairman)</w:t>
      </w:r>
      <w:r>
        <w:rPr>
          <w:sz w:val="20"/>
          <w:szCs w:val="20"/>
          <w:color w:val="auto"/>
        </w:rPr>
        <w:tab/>
      </w:r>
      <w:r>
        <w:rPr>
          <w:rFonts w:ascii="Times New Roman" w:cs="Times New Roman" w:eastAsia="Times New Roman" w:hAnsi="Times New Roman"/>
          <w:sz w:val="17"/>
          <w:szCs w:val="17"/>
          <w:color w:val="auto"/>
        </w:rPr>
        <w:t>Steven J. Bilodeau</w:t>
      </w:r>
      <w:r>
        <w:rPr>
          <w:sz w:val="20"/>
          <w:szCs w:val="20"/>
          <w:color w:val="auto"/>
        </w:rPr>
        <w:tab/>
      </w:r>
      <w:r>
        <w:rPr>
          <w:rFonts w:ascii="Times New Roman" w:cs="Times New Roman" w:eastAsia="Times New Roman" w:hAnsi="Times New Roman"/>
          <w:sz w:val="17"/>
          <w:szCs w:val="17"/>
          <w:color w:val="auto"/>
        </w:rPr>
        <w:t>Andrew M. Caggia</w:t>
      </w:r>
      <w:r>
        <w:rPr>
          <w:sz w:val="20"/>
          <w:szCs w:val="20"/>
          <w:color w:val="auto"/>
        </w:rPr>
        <w:tab/>
      </w:r>
      <w:r>
        <w:rPr>
          <w:rFonts w:ascii="Times New Roman" w:cs="Times New Roman" w:eastAsia="Times New Roman" w:hAnsi="Times New Roman"/>
          <w:sz w:val="17"/>
          <w:szCs w:val="17"/>
          <w:color w:val="auto"/>
        </w:rPr>
        <w:t>Robert L. Ciardella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ACCOUNTING FEES AND SERVICES</w:t>
      </w:r>
    </w:p>
    <w:p>
      <w:pPr>
        <w:spacing w:after="0" w:line="218" w:lineRule="exact"/>
        <w:rPr>
          <w:sz w:val="20"/>
          <w:szCs w:val="20"/>
          <w:color w:val="auto"/>
        </w:rPr>
      </w:pPr>
    </w:p>
    <w:p>
      <w:pPr>
        <w:ind w:right="260" w:firstLine="307"/>
        <w:spacing w:after="0" w:line="284" w:lineRule="auto"/>
        <w:rPr>
          <w:sz w:val="20"/>
          <w:szCs w:val="20"/>
          <w:color w:val="auto"/>
        </w:rPr>
      </w:pPr>
      <w:r>
        <w:rPr>
          <w:rFonts w:ascii="Times New Roman" w:cs="Times New Roman" w:eastAsia="Times New Roman" w:hAnsi="Times New Roman"/>
          <w:sz w:val="17"/>
          <w:szCs w:val="17"/>
          <w:color w:val="auto"/>
        </w:rPr>
        <w:t>The following table shows the fees billed to Cohu for the audit and other services provided by Ernst &amp; Young LLP for the years ended December 30, 2017 and December 31, 2016.</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2017</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20" w:type="dxa"/>
            <w:vAlign w:val="bottom"/>
          </w:tcPr>
          <w:p>
            <w:pPr>
              <w:spacing w:after="0"/>
              <w:rPr>
                <w:sz w:val="19"/>
                <w:szCs w:val="19"/>
                <w:color w:val="auto"/>
              </w:rPr>
            </w:pPr>
          </w:p>
        </w:tc>
      </w:tr>
      <w:tr>
        <w:trPr>
          <w:trHeight w:val="236"/>
        </w:trPr>
        <w:tc>
          <w:tcPr>
            <w:tcW w:w="68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1,884</w:t>
            </w:r>
          </w:p>
        </w:tc>
      </w:tr>
      <w:tr>
        <w:trPr>
          <w:trHeight w:val="243"/>
        </w:trPr>
        <w:tc>
          <w:tcPr>
            <w:tcW w:w="68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8"/>
                <w:szCs w:val="28"/>
                <w:color w:val="auto"/>
                <w:vertAlign w:val="superscript"/>
              </w:rPr>
              <w:t>(2)</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205</w:t>
            </w:r>
          </w:p>
        </w:tc>
      </w:tr>
      <w:tr>
        <w:trPr>
          <w:trHeight w:val="205"/>
        </w:trPr>
        <w:tc>
          <w:tcPr>
            <w:tcW w:w="6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Tax Fees: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68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17"/>
                <w:szCs w:val="17"/>
                <w:color w:val="auto"/>
              </w:rPr>
              <w:t xml:space="preserve">Tax Compliance </w:t>
            </w:r>
            <w:r>
              <w:rPr>
                <w:rFonts w:ascii="Times New Roman" w:cs="Times New Roman" w:eastAsia="Times New Roman" w:hAnsi="Times New Roman"/>
                <w:sz w:val="28"/>
                <w:szCs w:val="28"/>
                <w:color w:val="auto"/>
                <w:vertAlign w:val="superscript"/>
              </w:rPr>
              <w:t>(3)</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w:t>
            </w:r>
          </w:p>
        </w:tc>
      </w:tr>
      <w:tr>
        <w:trPr>
          <w:trHeight w:val="205"/>
        </w:trPr>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Tax Planning and Advice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r>
      <w:tr>
        <w:trPr>
          <w:trHeight w:val="198"/>
        </w:trPr>
        <w:tc>
          <w:tcPr>
            <w:tcW w:w="6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8"/>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200" w:type="dxa"/>
            <w:vAlign w:val="bottom"/>
          </w:tcPr>
          <w:p>
            <w:pPr>
              <w:spacing w:after="0"/>
              <w:rPr>
                <w:sz w:val="17"/>
                <w:szCs w:val="17"/>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2,169</w:t>
            </w:r>
          </w:p>
        </w:tc>
      </w:tr>
      <w:tr>
        <w:trPr>
          <w:trHeight w:val="20"/>
        </w:trPr>
        <w:tc>
          <w:tcPr>
            <w:tcW w:w="6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307"/>
        <w:spacing w:after="0" w:line="262" w:lineRule="auto"/>
        <w:rPr>
          <w:sz w:val="20"/>
          <w:szCs w:val="20"/>
          <w:color w:val="auto"/>
        </w:rPr>
      </w:pPr>
      <w:r>
        <w:rPr>
          <w:rFonts w:ascii="Times New Roman" w:cs="Times New Roman" w:eastAsia="Times New Roman" w:hAnsi="Times New Roman"/>
          <w:sz w:val="17"/>
          <w:szCs w:val="17"/>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2017 and 2016, 100% of the non-audit fees were pre-approved by the Audit Committee.</w:t>
      </w:r>
    </w:p>
    <w:p>
      <w:pPr>
        <w:spacing w:after="0" w:line="171" w:lineRule="exact"/>
        <w:rPr>
          <w:sz w:val="20"/>
          <w:szCs w:val="20"/>
          <w:color w:val="auto"/>
        </w:rPr>
      </w:pPr>
    </w:p>
    <w:p>
      <w:pPr>
        <w:ind w:firstLine="307"/>
        <w:spacing w:after="0" w:line="267" w:lineRule="auto"/>
        <w:rPr>
          <w:sz w:val="20"/>
          <w:szCs w:val="20"/>
          <w:color w:val="auto"/>
        </w:rPr>
      </w:pPr>
      <w:r>
        <w:rPr>
          <w:rFonts w:ascii="Times New Roman" w:cs="Times New Roman" w:eastAsia="Times New Roman" w:hAnsi="Times New Roman"/>
          <w:sz w:val="17"/>
          <w:szCs w:val="17"/>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8" w:lineRule="exact"/>
        <w:rPr>
          <w:sz w:val="20"/>
          <w:szCs w:val="20"/>
          <w:color w:val="auto"/>
        </w:rPr>
      </w:pPr>
    </w:p>
    <w:p>
      <w:pPr>
        <w:ind w:left="460" w:right="40" w:hanging="304"/>
        <w:spacing w:after="0" w:line="267"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spacing w:after="0" w:line="167" w:lineRule="exact"/>
        <w:rPr>
          <w:rFonts w:ascii="Times New Roman" w:cs="Times New Roman" w:eastAsia="Times New Roman" w:hAnsi="Times New Roman"/>
          <w:sz w:val="17"/>
          <w:szCs w:val="17"/>
          <w:color w:val="auto"/>
        </w:rPr>
      </w:pPr>
    </w:p>
    <w:p>
      <w:pPr>
        <w:ind w:left="460" w:right="320" w:hanging="304"/>
        <w:spacing w:after="0" w:line="284"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include accounting consultation services related to business acquisitions and divestitures and other attestation services. Audit-related fees incurred in 2016, are for due diligence related services provided in conjunction with the acquisition of Kita Manufacturing LTD.</w:t>
      </w:r>
    </w:p>
    <w:p>
      <w:pPr>
        <w:spacing w:after="0" w:line="152" w:lineRule="exact"/>
        <w:rPr>
          <w:rFonts w:ascii="Times New Roman" w:cs="Times New Roman" w:eastAsia="Times New Roman" w:hAnsi="Times New Roman"/>
          <w:sz w:val="17"/>
          <w:szCs w:val="17"/>
          <w:color w:val="auto"/>
        </w:rPr>
      </w:pPr>
    </w:p>
    <w:p>
      <w:pPr>
        <w:ind w:left="460" w:right="760" w:hanging="304"/>
        <w:spacing w:after="0" w:line="284"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compliance fees consisted primarily of assistance with (i) review or preparation of Cohu’s federal, state and foreign tax returns and (ii) tax return examinations.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EXECUTIVE COMPENSATION AND RELATED INFORMATION</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8" w:lineRule="exact"/>
        <w:rPr>
          <w:sz w:val="20"/>
          <w:szCs w:val="20"/>
          <w:color w:val="auto"/>
        </w:rPr>
      </w:pPr>
    </w:p>
    <w:p>
      <w:pPr>
        <w:ind w:right="260" w:firstLine="307"/>
        <w:spacing w:after="0" w:line="284" w:lineRule="auto"/>
        <w:rPr>
          <w:sz w:val="20"/>
          <w:szCs w:val="20"/>
          <w:color w:val="auto"/>
        </w:rPr>
      </w:pPr>
      <w:r>
        <w:rPr>
          <w:rFonts w:ascii="Times New Roman" w:cs="Times New Roman" w:eastAsia="Times New Roman" w:hAnsi="Times New Roman"/>
          <w:sz w:val="17"/>
          <w:szCs w:val="17"/>
          <w:color w:val="auto"/>
        </w:rPr>
        <w:t>This Compensation Discussion and Analysis provides information regarding the 2017 compensation program for our Chief Executive Officer, Chief Financial Officer, and the next three most highly-compensated executive officers of the Company at the end of 2017. These individuals were:</w:t>
      </w:r>
    </w:p>
    <w:p>
      <w:pPr>
        <w:spacing w:after="0" w:line="152" w:lineRule="exact"/>
        <w:rPr>
          <w:sz w:val="20"/>
          <w:szCs w:val="20"/>
          <w:color w:val="auto"/>
        </w:rPr>
      </w:pPr>
    </w:p>
    <w:p>
      <w:pPr>
        <w:ind w:left="780" w:hanging="31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Luis A. Müller, President and Chief Executive Officer (our “CEO”);</w:t>
      </w:r>
    </w:p>
    <w:p>
      <w:pPr>
        <w:spacing w:after="0" w:line="26"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D. Jones, Vice President, Finance and Chief Financial Officer;</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Thomas D. Kampfer, Vice President Corporate Development, General Counsel and Secretary;</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Christopher Bohrson, Vice President and General Manager, Digital Test Handlers; and</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Ian von Fellenberg, Vice President and General Manager, Analog Test Handlers.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Mr. Kampfer joined us and was appointed as our Vice President Corporate Development, General Counsel and Secretary, effective May 30, 2017.</w:t>
      </w:r>
    </w:p>
    <w:p>
      <w:pPr>
        <w:spacing w:after="0" w:line="214" w:lineRule="exact"/>
        <w:rPr>
          <w:sz w:val="20"/>
          <w:szCs w:val="20"/>
          <w:color w:val="auto"/>
        </w:rPr>
      </w:pPr>
    </w:p>
    <w:p>
      <w:pPr>
        <w:ind w:right="100" w:firstLine="307"/>
        <w:spacing w:after="0" w:line="259" w:lineRule="auto"/>
        <w:rPr>
          <w:sz w:val="20"/>
          <w:szCs w:val="20"/>
          <w:color w:val="auto"/>
        </w:rPr>
      </w:pPr>
      <w:r>
        <w:rPr>
          <w:rFonts w:ascii="Times New Roman" w:cs="Times New Roman" w:eastAsia="Times New Roman" w:hAnsi="Times New Roman"/>
          <w:sz w:val="17"/>
          <w:szCs w:val="17"/>
          <w:color w:val="auto"/>
        </w:rPr>
        <w:t>We refer to these executive officers collectively in this Compensation Discussion and Analysis and the related compensation tables as the “NEOs.” This Compensation Discussion and Analysis provides an overview of our philosophy and principles that govern our executive compensation program, how we applied those principles in compensating our executive officers for 2017, and how we use our executive compensation program to drive performance. In addition, we explain how and why the Compensation Committee of our Board of Directors (the “Compensation Committee”) arrived at the specific compensation policies and decisions involving the NEOs during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2017 Business Highlights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Cohu delivered another year of solid sales and profitability growth in fiscal 2017:</w:t>
      </w:r>
    </w:p>
    <w:p>
      <w:pPr>
        <w:spacing w:after="0" w:line="214" w:lineRule="exact"/>
        <w:rPr>
          <w:sz w:val="20"/>
          <w:szCs w:val="20"/>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were at record levels with the full year increasing 41% over 2016;</w:t>
      </w:r>
    </w:p>
    <w:p>
      <w:pPr>
        <w:spacing w:after="0" w:line="26"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were up 25% year-over-year to $352.7 million;</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earnings per share increased 858% to $1.15;</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a record $39 million in operating cash flow;</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Ended the year with $156 million in cash and investments and a strong balance sheet; and</w:t>
      </w:r>
    </w:p>
    <w:p>
      <w:pPr>
        <w:spacing w:after="0" w:line="9"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Returned $6.6 million to stockholders through quarterly cash dividends.</w:t>
      </w:r>
    </w:p>
    <w:p>
      <w:pPr>
        <w:spacing w:after="0" w:line="197" w:lineRule="exact"/>
        <w:rPr>
          <w:sz w:val="20"/>
          <w:szCs w:val="20"/>
          <w:color w:val="auto"/>
        </w:rPr>
      </w:pPr>
    </w:p>
    <w:p>
      <w:pPr>
        <w:jc w:val="both"/>
        <w:ind w:right="20" w:firstLine="307"/>
        <w:spacing w:after="0" w:line="267" w:lineRule="auto"/>
        <w:rPr>
          <w:sz w:val="20"/>
          <w:szCs w:val="20"/>
          <w:color w:val="auto"/>
        </w:rPr>
      </w:pPr>
      <w:r>
        <w:rPr>
          <w:rFonts w:ascii="Times New Roman" w:cs="Times New Roman" w:eastAsia="Times New Roman" w:hAnsi="Times New Roman"/>
          <w:sz w:val="17"/>
          <w:szCs w:val="17"/>
          <w:color w:val="auto"/>
        </w:rPr>
        <w:t>In 2017, we executed our strategic plan to grow share in the test handler market and to accelerate growth in test contactors while making disciplined investments in probe and semiconductor inspection. The acquisition of Kita has proven to be a success, with a 450% increase in the number of Kita probes incorporated within our contactors and several design-wins combined with Cohu handlers.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2017 Executive Compensation Highlights</w:t>
      </w:r>
    </w:p>
    <w:p>
      <w:pPr>
        <w:spacing w:after="0" w:line="218" w:lineRule="exact"/>
        <w:rPr>
          <w:sz w:val="20"/>
          <w:szCs w:val="20"/>
          <w:color w:val="auto"/>
        </w:rPr>
      </w:pPr>
    </w:p>
    <w:p>
      <w:pPr>
        <w:ind w:right="320" w:firstLine="307"/>
        <w:spacing w:after="0" w:line="284" w:lineRule="auto"/>
        <w:rPr>
          <w:sz w:val="20"/>
          <w:szCs w:val="20"/>
          <w:color w:val="auto"/>
        </w:rPr>
      </w:pPr>
      <w:r>
        <w:rPr>
          <w:rFonts w:ascii="Times New Roman" w:cs="Times New Roman" w:eastAsia="Times New Roman" w:hAnsi="Times New Roman"/>
          <w:sz w:val="17"/>
          <w:szCs w:val="17"/>
          <w:color w:val="auto"/>
        </w:rPr>
        <w:t>Consistent with our performance and compensation objectives, the Compensation Committee approved the following compensation actions for our executive officers, including the NEOs, for 2017:</w:t>
      </w:r>
    </w:p>
    <w:p>
      <w:pPr>
        <w:spacing w:after="0" w:line="152" w:lineRule="exact"/>
        <w:rPr>
          <w:sz w:val="20"/>
          <w:szCs w:val="20"/>
          <w:color w:val="auto"/>
        </w:rPr>
      </w:pPr>
    </w:p>
    <w:p>
      <w:pPr>
        <w:ind w:left="780" w:hanging="317"/>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merit adjustments to their base salaries, including an 10.3% increase to the CEO;</w:t>
      </w:r>
    </w:p>
    <w:p>
      <w:pPr>
        <w:spacing w:after="0" w:line="26" w:lineRule="exact"/>
        <w:rPr>
          <w:rFonts w:ascii="Times New Roman" w:cs="Times New Roman" w:eastAsia="Times New Roman" w:hAnsi="Times New Roman"/>
          <w:sz w:val="17"/>
          <w:szCs w:val="17"/>
          <w:color w:val="auto"/>
        </w:rPr>
      </w:pPr>
    </w:p>
    <w:p>
      <w:pPr>
        <w:ind w:left="780" w:hanging="317"/>
        <w:spacing w:after="0" w:line="251" w:lineRule="auto"/>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annual cash incentive bonuses ranging from 138% to 152% of their target annual cash incentive bonus opportunity, including an annual cash incentive bonus of 148% of target to our CEO;</w:t>
      </w:r>
    </w:p>
    <w:p>
      <w:pPr>
        <w:ind w:left="780" w:right="280" w:hanging="317"/>
        <w:spacing w:after="0" w:line="251" w:lineRule="auto"/>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long-term incentive compensation in the form of time-based restricted share unit (“RSU”) awards for shares of our common stock and performance share unit (“PSU”) awards for shares of our common stock to be earned based on our total stockholder return (“TSR”) relative to a pre-selected comparator group for a 3-year period from 2017 through 2019. Our CEO received a grant of 37,492 RSUs and a PSU grant of 37,492 shares at target performance; and</w:t>
      </w:r>
    </w:p>
    <w:p>
      <w:pPr>
        <w:spacing w:after="0" w:line="1" w:lineRule="exact"/>
        <w:rPr>
          <w:rFonts w:ascii="Times New Roman" w:cs="Times New Roman" w:eastAsia="Times New Roman" w:hAnsi="Times New Roman"/>
          <w:sz w:val="17"/>
          <w:szCs w:val="17"/>
          <w:color w:val="auto"/>
        </w:rPr>
      </w:pPr>
    </w:p>
    <w:p>
      <w:pPr>
        <w:ind w:left="780" w:right="640" w:hanging="317"/>
        <w:spacing w:after="0" w:line="251" w:lineRule="auto"/>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his appointment as our Vice President Corporate Development, General Counsel and Secretary on May 30, 2017, approved the following compensation arrangements for Mr. Kampfer:</w:t>
      </w:r>
    </w:p>
    <w:p>
      <w:pPr>
        <w:ind w:left="1240" w:hanging="316"/>
        <w:spacing w:after="0"/>
        <w:tabs>
          <w:tab w:leader="none" w:pos="12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base salary of $285,000;</w:t>
      </w:r>
    </w:p>
    <w:p>
      <w:pPr>
        <w:spacing w:after="0" w:line="9"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target annual cash incentive bonus opportunity equal to 50% of his annual base salary;</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21" w:name="page22"/>
    <w:bookmarkEnd w:id="21"/>
    <w:p>
      <w:pPr>
        <w:ind w:left="1240" w:hanging="316"/>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sign-on bonus of $50,000;</w:t>
      </w:r>
    </w:p>
    <w:p>
      <w:pPr>
        <w:spacing w:after="0" w:line="26"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car allowance of $6,000; and</w:t>
      </w:r>
    </w:p>
    <w:p>
      <w:pPr>
        <w:spacing w:after="0" w:line="9"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grant of 9,274 RSUs and a PSU grant of 9,274 shares at target performance.</w:t>
      </w:r>
    </w:p>
    <w:p>
      <w:pPr>
        <w:spacing w:after="0" w:line="197" w:lineRule="exact"/>
        <w:rPr>
          <w:sz w:val="20"/>
          <w:szCs w:val="20"/>
          <w:color w:val="auto"/>
        </w:rPr>
      </w:pPr>
    </w:p>
    <w:p>
      <w:pPr>
        <w:ind w:left="620" w:right="100"/>
        <w:spacing w:after="0" w:line="259" w:lineRule="auto"/>
        <w:rPr>
          <w:sz w:val="20"/>
          <w:szCs w:val="20"/>
          <w:color w:val="auto"/>
        </w:rPr>
      </w:pPr>
      <w:r>
        <w:rPr>
          <w:rFonts w:ascii="Times New Roman" w:cs="Times New Roman" w:eastAsia="Times New Roman" w:hAnsi="Times New Roman"/>
          <w:sz w:val="17"/>
          <w:szCs w:val="17"/>
          <w:color w:val="auto"/>
        </w:rPr>
        <w:t>Mr. Kampfer’s compensation arrangements were negotiated on our behalf by our CEO and approved by the Compensation Committee. In establishing the initial compensation arrangements for Mr. Kampfer, we took into consideration the requisite experience and skills that a qualified candidate would need to work in a growing business in a dynamic and ever-changing environment, the competitive market for similar positions at other comparable companies based on a review of compensation survey data and the need to integrate him into our existing executive compensation structure, while balancing both competitive and internal equity considerations.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Pay for Performance</w:t>
      </w:r>
    </w:p>
    <w:p>
      <w:pPr>
        <w:spacing w:after="0" w:line="218" w:lineRule="exact"/>
        <w:rPr>
          <w:sz w:val="20"/>
          <w:szCs w:val="20"/>
          <w:color w:val="auto"/>
        </w:rPr>
      </w:pPr>
    </w:p>
    <w:p>
      <w:pPr>
        <w:ind w:right="460" w:firstLine="307"/>
        <w:spacing w:after="0" w:line="267" w:lineRule="auto"/>
        <w:rPr>
          <w:sz w:val="20"/>
          <w:szCs w:val="20"/>
          <w:color w:val="auto"/>
        </w:rPr>
      </w:pPr>
      <w:r>
        <w:rPr>
          <w:rFonts w:ascii="Times New Roman" w:cs="Times New Roman" w:eastAsia="Times New Roman" w:hAnsi="Times New Roman"/>
          <w:sz w:val="17"/>
          <w:szCs w:val="17"/>
          <w:color w:val="auto"/>
        </w:rPr>
        <w:t>Our Board of Directors believes that the compensation of our executive officers for 2017 is reasonable and appropriate, is justified by our performance, and carefully balances both time-based and performance-based compensation elements. The following chart illustrates the mix of elements of the target total direct compensation opportunity for our CEO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116840</wp:posOffset>
            </wp:positionV>
            <wp:extent cx="2537460" cy="1967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7460" cy="196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07"/>
        <w:spacing w:after="0" w:line="267" w:lineRule="auto"/>
        <w:rPr>
          <w:sz w:val="20"/>
          <w:szCs w:val="20"/>
          <w:color w:val="auto"/>
        </w:rPr>
      </w:pPr>
      <w:r>
        <w:rPr>
          <w:rFonts w:ascii="Times New Roman" w:cs="Times New Roman" w:eastAsia="Times New Roman" w:hAnsi="Times New Roman"/>
          <w:sz w:val="17"/>
          <w:szCs w:val="17"/>
          <w:color w:val="auto"/>
        </w:rPr>
        <w:t>Further, the compensation of the NEOs over the previous five years demonstrates the alignment between pay and performance. The variable cash compensation for the NEOs for each year from 2013 through 2017 varied from 23% to 152% of their target annual cash incentive bonus opportunities based on our performance. For example:</w:t>
      </w:r>
    </w:p>
    <w:p>
      <w:pPr>
        <w:spacing w:after="0" w:line="167" w:lineRule="exact"/>
        <w:rPr>
          <w:sz w:val="20"/>
          <w:szCs w:val="20"/>
          <w:color w:val="auto"/>
        </w:rPr>
      </w:pPr>
    </w:p>
    <w:p>
      <w:pPr>
        <w:ind w:left="540" w:right="60" w:hanging="230"/>
        <w:spacing w:after="0" w:line="258"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2013, our sales were impacted by a weaker industry and global macroeconomic environment. While the NEOs continued to deliver on their strategic objectives, we incurred losses that year and consequently the NEOs received variable cash compensation ranging from 23% to 68% of their target annual cash incentive bonus opportunities.</w:t>
      </w:r>
    </w:p>
    <w:p>
      <w:pPr>
        <w:spacing w:after="0" w:line="1" w:lineRule="exact"/>
        <w:rPr>
          <w:rFonts w:ascii="Times New Roman" w:cs="Times New Roman" w:eastAsia="Times New Roman" w:hAnsi="Times New Roman"/>
          <w:sz w:val="17"/>
          <w:szCs w:val="17"/>
          <w:color w:val="auto"/>
        </w:rPr>
      </w:pPr>
    </w:p>
    <w:p>
      <w:pPr>
        <w:ind w:left="540" w:right="340" w:hanging="230"/>
        <w:spacing w:after="0" w:line="251"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2014, we attained record sales along with high profitability and all NEOs received variable cash compensation above their target amounts ranging from 111% to 129% of their target annual cash incentive bonus opportunities.</w:t>
      </w:r>
    </w:p>
    <w:p>
      <w:pPr>
        <w:ind w:left="540" w:right="20" w:hanging="230"/>
        <w:spacing w:after="0" w:line="251"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2015, we delivered solid sales and profitability levels while executing several key strategic deliverables relating to divesting non-core businesses. All NEOs received variable cash compensation near their target amounts ranging from 100% to 107% of their target annual cash incentive bonus opportunities.</w:t>
      </w:r>
    </w:p>
    <w:p>
      <w:pPr>
        <w:ind w:left="540" w:right="360" w:hanging="230"/>
        <w:spacing w:after="0" w:line="251"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2016, our results were again strong and we executed the acquisition of Kita Manufacturing. All NEOs received variable cash compensation above their target amounts ranging from 114% to 119% of their target annual cash incentive bonus opportunities.</w:t>
      </w:r>
    </w:p>
    <w:p>
      <w:pPr>
        <w:ind w:left="540" w:right="160" w:hanging="230"/>
        <w:spacing w:after="0" w:line="263"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2017, as discussed above, was a successful year where we delivered strong results and executed on our strategic objectives. All NEOs received variable cash compensation above their target amounts ranging from 138% to 152% of their target annual cash incentive bonus opportunities.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1894205</wp:posOffset>
            </wp:positionH>
            <wp:positionV relativeFrom="page">
              <wp:posOffset>365125</wp:posOffset>
            </wp:positionV>
            <wp:extent cx="3781425" cy="2813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781425"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Since 2012, all NEOs have had some portion of their Long-Term Incentive compensation based on PSUs that require achievement of business goals to earn the equity incentive. Starting in 2015, the PSU portion of the Long-Term Incentive program is earned based solely on our total stockholder return (“TSR”) relative to a pre-selected comparator group of peer companies. The weighting of these PSUs in relation to time-based RSU grants has also evolved over the years and currently stands at 50% of each NEOs annual equity grant. The NEOs have earned from a low of 37% of their target award for the 2015 Long-Term Incentive program to a high of 180% of their target award for the 2014 Long-Term Incentive program.</w:t>
      </w:r>
    </w:p>
    <w:p>
      <w:pPr>
        <w:spacing w:after="0" w:line="175" w:lineRule="exact"/>
        <w:rPr>
          <w:sz w:val="20"/>
          <w:szCs w:val="20"/>
          <w:color w:val="auto"/>
        </w:rPr>
      </w:pPr>
    </w:p>
    <w:p>
      <w:pPr>
        <w:ind w:right="60" w:firstLine="307"/>
        <w:spacing w:after="0" w:line="259" w:lineRule="auto"/>
        <w:rPr>
          <w:sz w:val="20"/>
          <w:szCs w:val="20"/>
          <w:color w:val="auto"/>
        </w:rPr>
      </w:pPr>
      <w:r>
        <w:rPr>
          <w:rFonts w:ascii="Times New Roman" w:cs="Times New Roman" w:eastAsia="Times New Roman" w:hAnsi="Times New Roman"/>
          <w:sz w:val="17"/>
          <w:szCs w:val="17"/>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correct balance between short-term financial performance and long-term stockholder return. For example, in March 2016, the Compensation Committee increased the performance period for the TSR to three years to enhance the focus on long-term results. This formula is described in detail in the section entitled “Long-Term Incentive Compensation” below.</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2017 Executive Compensation Policies and Practices</w:t>
      </w:r>
    </w:p>
    <w:p>
      <w:pPr>
        <w:spacing w:after="0" w:line="218" w:lineRule="exact"/>
        <w:rPr>
          <w:sz w:val="20"/>
          <w:szCs w:val="20"/>
          <w:color w:val="auto"/>
        </w:rPr>
      </w:pPr>
    </w:p>
    <w:p>
      <w:pPr>
        <w:ind w:firstLine="307"/>
        <w:spacing w:after="0" w:line="267" w:lineRule="auto"/>
        <w:rPr>
          <w:sz w:val="20"/>
          <w:szCs w:val="20"/>
          <w:color w:val="auto"/>
        </w:rPr>
      </w:pPr>
      <w:r>
        <w:rPr>
          <w:rFonts w:ascii="Times New Roman" w:cs="Times New Roman" w:eastAsia="Times New Roman" w:hAnsi="Times New Roman"/>
          <w:sz w:val="17"/>
          <w:szCs w:val="17"/>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2017:</w:t>
      </w:r>
    </w:p>
    <w:p>
      <w:pPr>
        <w:spacing w:after="0" w:line="161" w:lineRule="exact"/>
        <w:rPr>
          <w:sz w:val="20"/>
          <w:szCs w:val="20"/>
          <w:color w:val="auto"/>
        </w:rPr>
      </w:pPr>
    </w:p>
    <w:p>
      <w:pPr>
        <w:ind w:left="540" w:hanging="230"/>
        <w:spacing w:after="0"/>
        <w:tabs>
          <w:tab w:leader="none" w:pos="54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Independent Compensation Committee. </w:t>
      </w:r>
      <w:r>
        <w:rPr>
          <w:rFonts w:ascii="Times New Roman" w:cs="Times New Roman" w:eastAsia="Times New Roman" w:hAnsi="Times New Roman"/>
          <w:sz w:val="17"/>
          <w:szCs w:val="17"/>
          <w:color w:val="auto"/>
        </w:rPr>
        <w:t>The Compensation Committee is comprised solely of independent directors.</w:t>
      </w:r>
    </w:p>
    <w:p>
      <w:pPr>
        <w:spacing w:after="0" w:line="32" w:lineRule="exact"/>
        <w:rPr>
          <w:rFonts w:ascii="Times New Roman" w:cs="Times New Roman" w:eastAsia="Times New Roman" w:hAnsi="Times New Roman"/>
          <w:sz w:val="17"/>
          <w:szCs w:val="17"/>
          <w:b w:val="1"/>
          <w:bCs w:val="1"/>
          <w:i w:val="1"/>
          <w:iCs w:val="1"/>
          <w:color w:val="auto"/>
        </w:rPr>
      </w:pPr>
    </w:p>
    <w:p>
      <w:pPr>
        <w:ind w:left="540" w:right="860" w:hanging="230"/>
        <w:spacing w:after="0" w:line="251" w:lineRule="auto"/>
        <w:tabs>
          <w:tab w:leader="none" w:pos="54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Independent Compensation Committee Advisors. </w:t>
      </w:r>
      <w:r>
        <w:rPr>
          <w:rFonts w:ascii="Times New Roman" w:cs="Times New Roman" w:eastAsia="Times New Roman" w:hAnsi="Times New Roman"/>
          <w:sz w:val="17"/>
          <w:szCs w:val="17"/>
          <w:color w:val="auto"/>
        </w:rPr>
        <w:t>The Compensation Committee engaged its own compensation consultant to assist with its 2017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and governance reviews. This consultant performed no other consulting or services for us.</w:t>
      </w:r>
    </w:p>
    <w:p>
      <w:pPr>
        <w:ind w:left="540" w:right="140" w:hanging="230"/>
        <w:spacing w:after="0" w:line="251" w:lineRule="auto"/>
        <w:tabs>
          <w:tab w:leader="none" w:pos="54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Annual Executive Compensation Review. </w:t>
      </w:r>
      <w:r>
        <w:rPr>
          <w:rFonts w:ascii="Times New Roman" w:cs="Times New Roman" w:eastAsia="Times New Roman" w:hAnsi="Times New Roman"/>
          <w:sz w:val="17"/>
          <w:szCs w:val="17"/>
          <w:color w:val="auto"/>
        </w:rPr>
        <w:t>The Compensation Committee conducts an annual review and approval of our compensation strategy, including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review of our compensation peer group used for comparative purposes.</w:t>
      </w:r>
    </w:p>
    <w:p>
      <w:pPr>
        <w:ind w:left="540" w:hanging="230"/>
        <w:spacing w:after="0" w:line="263" w:lineRule="auto"/>
        <w:tabs>
          <w:tab w:leader="none" w:pos="54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Annual Compensation-Related Risk Review. </w:t>
      </w:r>
      <w:r>
        <w:rPr>
          <w:rFonts w:ascii="Times New Roman" w:cs="Times New Roman" w:eastAsia="Times New Roman" w:hAnsi="Times New Roman"/>
          <w:sz w:val="17"/>
          <w:szCs w:val="17"/>
          <w:color w:val="auto"/>
        </w:rPr>
        <w:t>The Compensation Committee conducts an annual review of our compensation-related risk profile to ensure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practices are not reasonably likely to have a material adverse effect on the Company.</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3" w:name="page24"/>
    <w:bookmarkEnd w:id="23"/>
    <w:p>
      <w:pPr>
        <w:jc w:val="both"/>
        <w:ind w:left="540" w:right="60" w:hanging="230"/>
        <w:spacing w:after="0" w:line="261" w:lineRule="auto"/>
        <w:tabs>
          <w:tab w:leader="none" w:pos="540" w:val="left"/>
        </w:tabs>
        <w:numPr>
          <w:ilvl w:val="0"/>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Executive Compensation Policies and Practices. </w:t>
      </w:r>
      <w:r>
        <w:rPr>
          <w:rFonts w:ascii="Times New Roman" w:cs="Times New Roman" w:eastAsia="Times New Roman" w:hAnsi="Times New Roman"/>
          <w:sz w:val="17"/>
          <w:szCs w:val="17"/>
          <w:color w:val="auto"/>
        </w:rPr>
        <w:t>Our compensation philosophy and related corporate governance policies and practices are complemented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specific compensation policies and practices that are designed to align our executive compensation with long-term stockholder interests, including the following:</w:t>
      </w:r>
    </w:p>
    <w:p>
      <w:pPr>
        <w:ind w:left="920" w:right="26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Compensation At-Risk. </w:t>
      </w:r>
      <w:r>
        <w:rPr>
          <w:rFonts w:ascii="Times New Roman" w:cs="Times New Roman" w:eastAsia="Times New Roman" w:hAnsi="Times New Roman"/>
          <w:sz w:val="17"/>
          <w:szCs w:val="17"/>
          <w:color w:val="auto"/>
        </w:rPr>
        <w:t>Our executive compensation program is designed so that a significant portion of compensation is “at risk” based on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as well as equity-based to align the interests of our executive officers and stockholders;</w:t>
      </w:r>
    </w:p>
    <w:p>
      <w:pPr>
        <w:ind w:left="920" w:right="12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 Retirement Pension Plans. </w:t>
      </w:r>
      <w:r>
        <w:rPr>
          <w:rFonts w:ascii="Times New Roman" w:cs="Times New Roman" w:eastAsia="Times New Roman" w:hAnsi="Times New Roman"/>
          <w:sz w:val="17"/>
          <w:szCs w:val="17"/>
          <w:color w:val="auto"/>
        </w:rPr>
        <w:t>We do not currently offer, nor do we have plans to provide, defined benefit pension arrangements or retirement plans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executive officers;</w:t>
      </w:r>
    </w:p>
    <w:p>
      <w:pPr>
        <w:ind w:left="920" w:hanging="303"/>
        <w:spacing w:after="0"/>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Limited Perquisites. </w:t>
      </w:r>
      <w:r>
        <w:rPr>
          <w:rFonts w:ascii="Times New Roman" w:cs="Times New Roman" w:eastAsia="Times New Roman" w:hAnsi="Times New Roman"/>
          <w:sz w:val="17"/>
          <w:szCs w:val="17"/>
          <w:color w:val="auto"/>
        </w:rPr>
        <w:t>We provide minimal perquisites and other personal benefits to our executive officers;</w:t>
      </w:r>
    </w:p>
    <w:p>
      <w:pPr>
        <w:spacing w:after="0" w:line="9" w:lineRule="exact"/>
        <w:rPr>
          <w:rFonts w:ascii="Times New Roman" w:cs="Times New Roman" w:eastAsia="Times New Roman" w:hAnsi="Times New Roman"/>
          <w:sz w:val="17"/>
          <w:szCs w:val="17"/>
          <w:b w:val="1"/>
          <w:bCs w:val="1"/>
          <w:i w:val="1"/>
          <w:iCs w:val="1"/>
          <w:color w:val="auto"/>
        </w:rPr>
      </w:pPr>
    </w:p>
    <w:p>
      <w:pPr>
        <w:ind w:left="92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 Tax Reimbursements. </w:t>
      </w:r>
      <w:r>
        <w:rPr>
          <w:rFonts w:ascii="Times New Roman" w:cs="Times New Roman" w:eastAsia="Times New Roman" w:hAnsi="Times New Roman"/>
          <w:sz w:val="17"/>
          <w:szCs w:val="17"/>
          <w:color w:val="auto"/>
        </w:rPr>
        <w:t>We do not provide any tax reimbursement payments (including “gross-ups”) on any perquisites or other personal benefits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than standard relocation benefits and tax equalization agreements related to expatriate assignments;</w:t>
      </w:r>
    </w:p>
    <w:p>
      <w:pPr>
        <w:ind w:left="92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 Post-Employment Tax Reimbursements. </w:t>
      </w:r>
      <w:r>
        <w:rPr>
          <w:rFonts w:ascii="Times New Roman" w:cs="Times New Roman" w:eastAsia="Times New Roman" w:hAnsi="Times New Roman"/>
          <w:sz w:val="17"/>
          <w:szCs w:val="17"/>
          <w:color w:val="auto"/>
        </w:rPr>
        <w:t>We do not provide any tax reimbursement payments (including “gross-ups”) on any severance or change-in-control payments or benefits;</w:t>
      </w:r>
    </w:p>
    <w:p>
      <w:pPr>
        <w:ind w:left="920" w:right="4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“Double-Trigger” Change-in-Control Arrangements. </w:t>
      </w:r>
      <w:r>
        <w:rPr>
          <w:rFonts w:ascii="Times New Roman" w:cs="Times New Roman" w:eastAsia="Times New Roman" w:hAnsi="Times New Roman"/>
          <w:sz w:val="17"/>
          <w:szCs w:val="17"/>
          <w:color w:val="auto"/>
        </w:rPr>
        <w:t>All change-in-control payments and benefits are based on a “double-trigger” arrangement (that is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they require both a change-in-control of the Company </w:t>
      </w:r>
      <w:r>
        <w:rPr>
          <w:rFonts w:ascii="Times New Roman" w:cs="Times New Roman" w:eastAsia="Times New Roman" w:hAnsi="Times New Roman"/>
          <w:sz w:val="17"/>
          <w:szCs w:val="17"/>
          <w:b w:val="1"/>
          <w:bCs w:val="1"/>
          <w:i w:val="1"/>
          <w:iCs w:val="1"/>
          <w:color w:val="auto"/>
        </w:rPr>
        <w:t>plus</w:t>
      </w:r>
      <w:r>
        <w:rPr>
          <w:rFonts w:ascii="Times New Roman" w:cs="Times New Roman" w:eastAsia="Times New Roman" w:hAnsi="Times New Roman"/>
          <w:sz w:val="17"/>
          <w:szCs w:val="17"/>
          <w:color w:val="auto"/>
        </w:rPr>
        <w:t xml:space="preserve"> a qualifying termination of employment before payments and benefits are paid);</w:t>
      </w:r>
    </w:p>
    <w:p>
      <w:pPr>
        <w:ind w:left="920" w:hanging="303"/>
        <w:spacing w:after="0"/>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Performance-Based Incentives. </w:t>
      </w:r>
      <w:r>
        <w:rPr>
          <w:rFonts w:ascii="Times New Roman" w:cs="Times New Roman" w:eastAsia="Times New Roman" w:hAnsi="Times New Roman"/>
          <w:sz w:val="17"/>
          <w:szCs w:val="17"/>
          <w:color w:val="auto"/>
        </w:rPr>
        <w:t>We use performance-based short-term and long-term incentives;</w:t>
      </w:r>
    </w:p>
    <w:p>
      <w:pPr>
        <w:spacing w:after="0" w:line="9" w:lineRule="exact"/>
        <w:rPr>
          <w:rFonts w:ascii="Times New Roman" w:cs="Times New Roman" w:eastAsia="Times New Roman" w:hAnsi="Times New Roman"/>
          <w:sz w:val="17"/>
          <w:szCs w:val="17"/>
          <w:b w:val="1"/>
          <w:bCs w:val="1"/>
          <w:i w:val="1"/>
          <w:iCs w:val="1"/>
          <w:color w:val="auto"/>
        </w:rPr>
      </w:pPr>
    </w:p>
    <w:p>
      <w:pPr>
        <w:ind w:left="920" w:right="70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Incentive Compensation Recoupment Policy. </w:t>
      </w:r>
      <w:r>
        <w:rPr>
          <w:rFonts w:ascii="Times New Roman" w:cs="Times New Roman" w:eastAsia="Times New Roman" w:hAnsi="Times New Roman"/>
          <w:sz w:val="17"/>
          <w:szCs w:val="17"/>
          <w:color w:val="auto"/>
        </w:rPr>
        <w:t>Incentive compensation awarded to our executive officers is subject to recoupment under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circumstances if our financial results are restated;</w:t>
      </w:r>
    </w:p>
    <w:p>
      <w:pPr>
        <w:ind w:left="920" w:right="2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Multi-Year Vesting Requirements. </w:t>
      </w:r>
      <w:r>
        <w:rPr>
          <w:rFonts w:ascii="Times New Roman" w:cs="Times New Roman" w:eastAsia="Times New Roman" w:hAnsi="Times New Roman"/>
          <w:sz w:val="17"/>
          <w:szCs w:val="17"/>
          <w:color w:val="auto"/>
        </w:rPr>
        <w:t>The equity awards granted to our executive officers vest or are earned over multi-year periods, consistent with current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practice and our retention objectives;</w:t>
      </w:r>
    </w:p>
    <w:p>
      <w:pPr>
        <w:ind w:left="920" w:right="180" w:hanging="303"/>
        <w:spacing w:after="0" w:line="251"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Hedging and Pledging Prohibited. </w:t>
      </w:r>
      <w:r>
        <w:rPr>
          <w:rFonts w:ascii="Times New Roman" w:cs="Times New Roman" w:eastAsia="Times New Roman" w:hAnsi="Times New Roman"/>
          <w:sz w:val="17"/>
          <w:szCs w:val="17"/>
          <w:color w:val="auto"/>
        </w:rPr>
        <w:t>We prohibit our employees, including our executive officers, and directors from hedging or pledging any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and</w:t>
      </w:r>
    </w:p>
    <w:p>
      <w:pPr>
        <w:ind w:left="920" w:right="200" w:hanging="303"/>
        <w:spacing w:after="0" w:line="263" w:lineRule="auto"/>
        <w:tabs>
          <w:tab w:leader="none" w:pos="920" w:val="left"/>
        </w:tabs>
        <w:numPr>
          <w:ilvl w:val="1"/>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Stock Ownership Policy. </w:t>
      </w:r>
      <w:r>
        <w:rPr>
          <w:rFonts w:ascii="Times New Roman" w:cs="Times New Roman" w:eastAsia="Times New Roman" w:hAnsi="Times New Roman"/>
          <w:sz w:val="17"/>
          <w:szCs w:val="17"/>
          <w:color w:val="auto"/>
        </w:rPr>
        <w:t>We maintain a stock ownership policy for our executive officers and directors that require each of them to beneficially own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specified number of shares of our common stock.</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2017 Stockholder Advisory Vote on Executive Compensation</w:t>
      </w:r>
    </w:p>
    <w:p>
      <w:pPr>
        <w:spacing w:after="0" w:line="218" w:lineRule="exact"/>
        <w:rPr>
          <w:sz w:val="20"/>
          <w:szCs w:val="20"/>
          <w:color w:val="auto"/>
        </w:rPr>
      </w:pPr>
    </w:p>
    <w:p>
      <w:pPr>
        <w:ind w:right="20" w:firstLine="307"/>
        <w:spacing w:after="0" w:line="267" w:lineRule="auto"/>
        <w:rPr>
          <w:sz w:val="20"/>
          <w:szCs w:val="20"/>
          <w:color w:val="auto"/>
        </w:rPr>
      </w:pPr>
      <w:r>
        <w:rPr>
          <w:rFonts w:ascii="Times New Roman" w:cs="Times New Roman" w:eastAsia="Times New Roman" w:hAnsi="Times New Roman"/>
          <w:sz w:val="17"/>
          <w:szCs w:val="17"/>
          <w:color w:val="auto"/>
        </w:rPr>
        <w:t>At our 2017 Annual Meeting of Stockholders, we conducted a stockholder advisory vote on the 2017 compensation of the NEOs (commonly known as a “Say-on-Pay” vote). Our stockholders approved the 2017 compensation of the NEOs, as disclosed in our proxy statement for the 2017 Annual Meeting of Stockholders with approximately 97% of the votes cast in favor of the proposal.</w:t>
      </w:r>
    </w:p>
    <w:p>
      <w:pPr>
        <w:spacing w:after="0" w:line="167" w:lineRule="exact"/>
        <w:rPr>
          <w:sz w:val="20"/>
          <w:szCs w:val="20"/>
          <w:color w:val="auto"/>
        </w:rPr>
      </w:pPr>
    </w:p>
    <w:p>
      <w:pPr>
        <w:ind w:right="100" w:firstLine="307"/>
        <w:spacing w:after="0" w:line="267" w:lineRule="auto"/>
        <w:rPr>
          <w:sz w:val="20"/>
          <w:szCs w:val="20"/>
          <w:color w:val="auto"/>
        </w:rPr>
      </w:pPr>
      <w:r>
        <w:rPr>
          <w:rFonts w:ascii="Times New Roman" w:cs="Times New Roman" w:eastAsia="Times New Roman" w:hAnsi="Times New Roman"/>
          <w:sz w:val="17"/>
          <w:szCs w:val="17"/>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the NEOs.</w:t>
      </w:r>
    </w:p>
    <w:p>
      <w:pPr>
        <w:spacing w:after="0" w:line="167" w:lineRule="exact"/>
        <w:rPr>
          <w:sz w:val="20"/>
          <w:szCs w:val="20"/>
          <w:color w:val="auto"/>
        </w:rPr>
      </w:pPr>
    </w:p>
    <w:p>
      <w:pPr>
        <w:ind w:right="220" w:firstLine="307"/>
        <w:spacing w:after="0" w:line="267" w:lineRule="auto"/>
        <w:rPr>
          <w:sz w:val="20"/>
          <w:szCs w:val="20"/>
          <w:color w:val="auto"/>
        </w:rPr>
      </w:pPr>
      <w:r>
        <w:rPr>
          <w:rFonts w:ascii="Times New Roman" w:cs="Times New Roman" w:eastAsia="Times New Roman" w:hAnsi="Times New Roman"/>
          <w:sz w:val="17"/>
          <w:szCs w:val="17"/>
          <w:color w:val="auto"/>
        </w:rPr>
        <w:t>Based on the results of a separate stockholder advisory vote on the frequency of future stockholder advisory votes regarding the compensation of the NEOs (commonly known as a “Say-When-on-Pay” vote) conducted at our 2017 Annual Meeting of Stockholders, our Board of Directors determined that we will hold our Say-on-Pay votes on an annual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executive compensation program is intended to meet three principal objectives:</w:t>
      </w:r>
    </w:p>
    <w:p>
      <w:pPr>
        <w:spacing w:after="0" w:line="214" w:lineRule="exact"/>
        <w:rPr>
          <w:sz w:val="20"/>
          <w:szCs w:val="20"/>
          <w:color w:val="auto"/>
        </w:rPr>
      </w:pPr>
    </w:p>
    <w:p>
      <w:pPr>
        <w:ind w:left="540" w:hanging="230"/>
        <w:spacing w:after="0"/>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reward and retain our executive officers;</w:t>
      </w:r>
    </w:p>
    <w:p>
      <w:pPr>
        <w:spacing w:after="0" w:line="26" w:lineRule="exact"/>
        <w:rPr>
          <w:rFonts w:ascii="Times New Roman" w:cs="Times New Roman" w:eastAsia="Times New Roman" w:hAnsi="Times New Roman"/>
          <w:sz w:val="17"/>
          <w:szCs w:val="17"/>
          <w:color w:val="auto"/>
        </w:rPr>
      </w:pPr>
    </w:p>
    <w:p>
      <w:pPr>
        <w:ind w:left="540" w:hanging="230"/>
        <w:spacing w:after="0"/>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these individuals to achieve our short-term and long-term corporate goals that enhance stockholder value; and</w:t>
      </w:r>
    </w:p>
    <w:p>
      <w:pPr>
        <w:spacing w:after="0" w:line="9" w:lineRule="exact"/>
        <w:rPr>
          <w:rFonts w:ascii="Times New Roman" w:cs="Times New Roman" w:eastAsia="Times New Roman" w:hAnsi="Times New Roman"/>
          <w:sz w:val="17"/>
          <w:szCs w:val="17"/>
          <w:color w:val="auto"/>
        </w:rPr>
      </w:pPr>
    </w:p>
    <w:p>
      <w:pPr>
        <w:ind w:left="540" w:hanging="230"/>
        <w:spacing w:after="0"/>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our core values and culture by promoting internal equity and external competitiveness.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meet these objectives, we have adopted the following overarching policies:</w:t>
      </w:r>
    </w:p>
    <w:p>
      <w:pPr>
        <w:spacing w:after="0" w:line="214" w:lineRule="exact"/>
        <w:rPr>
          <w:sz w:val="20"/>
          <w:szCs w:val="20"/>
          <w:color w:val="auto"/>
        </w:rPr>
      </w:pPr>
    </w:p>
    <w:p>
      <w:pPr>
        <w:ind w:left="540" w:hanging="230"/>
        <w:spacing w:after="0"/>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compensation that is competitive with the practices of other leading semiconductor equipment and similar technology companies; and</w:t>
      </w:r>
    </w:p>
    <w:p>
      <w:pPr>
        <w:spacing w:after="0" w:line="26" w:lineRule="exact"/>
        <w:rPr>
          <w:rFonts w:ascii="Times New Roman" w:cs="Times New Roman" w:eastAsia="Times New Roman" w:hAnsi="Times New Roman"/>
          <w:sz w:val="17"/>
          <w:szCs w:val="17"/>
          <w:color w:val="auto"/>
        </w:rPr>
      </w:pPr>
    </w:p>
    <w:p>
      <w:pPr>
        <w:ind w:left="540" w:hanging="230"/>
        <w:spacing w:after="0"/>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for performance by:</w:t>
      </w:r>
    </w:p>
    <w:p>
      <w:pPr>
        <w:spacing w:after="0" w:line="9" w:lineRule="exact"/>
        <w:rPr>
          <w:rFonts w:ascii="Times New Roman" w:cs="Times New Roman" w:eastAsia="Times New Roman" w:hAnsi="Times New Roman"/>
          <w:sz w:val="17"/>
          <w:szCs w:val="17"/>
          <w:color w:val="auto"/>
        </w:rPr>
      </w:pPr>
    </w:p>
    <w:p>
      <w:pPr>
        <w:ind w:left="920" w:right="40" w:hanging="303"/>
        <w:spacing w:after="0" w:line="251" w:lineRule="auto"/>
        <w:tabs>
          <w:tab w:leader="none" w:pos="9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short-term cash incentive opportunity that is based on challenging financial and individual performance objectives for our executive officers; and</w:t>
      </w:r>
    </w:p>
    <w:p>
      <w:pPr>
        <w:ind w:left="920" w:right="220" w:hanging="303"/>
        <w:spacing w:after="0" w:line="263" w:lineRule="auto"/>
        <w:tabs>
          <w:tab w:leader="none" w:pos="9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long-term incentive opportunities in the form of a combination of RSU awards, PSU awards, and/or stock options that enable us to motivate and retain those executive officers with the leadership abilities necessary to create sustainable long-term value for our stockholders.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4" w:name="page25"/>
    <w:bookmarkEnd w:id="24"/>
    <w:p>
      <w:pPr>
        <w:ind w:firstLine="307"/>
        <w:spacing w:after="0" w:line="267" w:lineRule="auto"/>
        <w:rPr>
          <w:sz w:val="20"/>
          <w:szCs w:val="20"/>
          <w:color w:val="auto"/>
        </w:rPr>
      </w:pPr>
      <w:r>
        <w:rPr>
          <w:rFonts w:ascii="Times New Roman" w:cs="Times New Roman" w:eastAsia="Times New Roman" w:hAnsi="Times New Roman"/>
          <w:sz w:val="17"/>
          <w:szCs w:val="17"/>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Compensation-Setting Process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Role of the Compensation Committee</w:t>
      </w:r>
    </w:p>
    <w:p>
      <w:pPr>
        <w:spacing w:after="0" w:line="218" w:lineRule="exact"/>
        <w:rPr>
          <w:sz w:val="20"/>
          <w:szCs w:val="20"/>
          <w:color w:val="auto"/>
        </w:r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further described below. Based on its review and assessment, the Compensation Committee from time to time recommends changes in our executive compensation program.</w:t>
      </w:r>
    </w:p>
    <w:p>
      <w:pPr>
        <w:spacing w:after="0" w:line="175"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The Compensation Committee reviews our executive compensation program on an annual basis, including each of the elements of compensation provided under the program (other than deferred compensation and 401(k) benefits, which are reviewed from time to time to ensure that benefit levels remain competitive but are not included in the annual determination of our executive officers’ compensation arrangements). In determining the overall compensation arrangements for our executive officers, including the NEOs, as well as the level of each specific element of compensation, the Compensation Committee takes into consideration a number of factors, including the following:</w:t>
      </w:r>
    </w:p>
    <w:p>
      <w:pPr>
        <w:spacing w:after="0" w:line="175" w:lineRule="exact"/>
        <w:rPr>
          <w:sz w:val="20"/>
          <w:szCs w:val="20"/>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recommendations of our CEO (except with respect to his own compensation) as described below;</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growth and other elements of financial performance;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 performance of each executive officer, including his or her achievement of management objectives;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review of the relevant competitive market data, as described below;</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skill set, prior experience, and tenure of the executive officer;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role and responsibilities of the executive officer;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past and expected future contribution of the executive officer;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pay consistency for similar positions or skill levels within the Company;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pressures to attract and retain talent and overall market conditions.</w:t>
      </w:r>
    </w:p>
    <w:p>
      <w:pPr>
        <w:spacing w:after="0" w:line="197" w:lineRule="exact"/>
        <w:rPr>
          <w:sz w:val="20"/>
          <w:szCs w:val="20"/>
          <w:color w:val="auto"/>
        </w:rPr>
      </w:pPr>
    </w:p>
    <w:p>
      <w:pPr>
        <w:ind w:right="160" w:firstLine="307"/>
        <w:spacing w:after="0" w:line="267" w:lineRule="auto"/>
        <w:rPr>
          <w:sz w:val="20"/>
          <w:szCs w:val="20"/>
          <w:color w:val="auto"/>
        </w:rPr>
      </w:pPr>
      <w:r>
        <w:rPr>
          <w:rFonts w:ascii="Times New Roman" w:cs="Times New Roman" w:eastAsia="Times New Roman" w:hAnsi="Times New Roman"/>
          <w:sz w:val="17"/>
          <w:szCs w:val="17"/>
          <w:color w:val="auto"/>
        </w:rPr>
        <w:t>The Compensation Committee does not weight these factors in any predetermined manner, nor does it apply any formulas in developing its compensation recommendations. The members of the Compensation Committee consider all of this information in light of their individual experience, knowledge of the Company, knowledge of the competitive market, knowledge of each executive officer, and business judgment in making these recommendations.</w:t>
      </w:r>
    </w:p>
    <w:p>
      <w:pPr>
        <w:spacing w:after="0" w:line="167" w:lineRule="exact"/>
        <w:rPr>
          <w:sz w:val="20"/>
          <w:szCs w:val="20"/>
          <w:color w:val="auto"/>
        </w:rPr>
      </w:pPr>
    </w:p>
    <w:p>
      <w:pPr>
        <w:ind w:right="680" w:firstLine="307"/>
        <w:spacing w:after="0" w:line="284" w:lineRule="auto"/>
        <w:rPr>
          <w:sz w:val="20"/>
          <w:szCs w:val="20"/>
          <w:color w:val="auto"/>
        </w:rPr>
      </w:pPr>
      <w:r>
        <w:rPr>
          <w:rFonts w:ascii="Times New Roman" w:cs="Times New Roman" w:eastAsia="Times New Roman" w:hAnsi="Times New Roman"/>
          <w:sz w:val="17"/>
          <w:szCs w:val="17"/>
          <w:color w:val="auto"/>
        </w:rPr>
        <w:t>The Compensation Committee’s authority, duties, and responsibilities are described in its charter, which is reviewed annually and revised and updated as warranted. The charter is available at www.cohu.com in the Investor Information section.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Role of Management</w:t>
      </w:r>
    </w:p>
    <w:p>
      <w:pPr>
        <w:spacing w:after="0" w:line="218" w:lineRule="exact"/>
        <w:rPr>
          <w:sz w:val="20"/>
          <w:szCs w:val="20"/>
          <w:color w:val="auto"/>
        </w:rPr>
      </w:pPr>
    </w:p>
    <w:p>
      <w:pPr>
        <w:ind w:right="20" w:firstLine="307"/>
        <w:spacing w:after="0" w:line="256" w:lineRule="auto"/>
        <w:rPr>
          <w:sz w:val="20"/>
          <w:szCs w:val="20"/>
          <w:color w:val="auto"/>
        </w:rPr>
      </w:pPr>
      <w:r>
        <w:rPr>
          <w:rFonts w:ascii="Times New Roman" w:cs="Times New Roman" w:eastAsia="Times New Roman" w:hAnsi="Times New Roman"/>
          <w:sz w:val="17"/>
          <w:szCs w:val="17"/>
          <w:color w:val="auto"/>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2017, the Compensation Committee met with Dr. Müller, our CEO, who made recommendations to the Compensation Committee on the base salary, target annual cash incentive award opportunities, and long-term incentive compensation for our executive officers, including the NEOs (except with respect to his own compensation). In formulating these recommendations, our CEO used, among other things, competitive market data, an internal equity analysis and individual performance factors. The Compensation Committee considers, but is not bound by and does not always accept, these recommendations with respect to executive compensation. In recent years, the Compensation Committee has changed several of our CEO’s compensation proposals and regularly seeks input from its compensation consultant or data from other independent sources prior to making its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5" w:name="page26"/>
    <w:bookmarkEnd w:id="25"/>
    <w:p>
      <w:pPr>
        <w:jc w:val="both"/>
        <w:ind w:right="40" w:firstLine="307"/>
        <w:spacing w:after="0" w:line="267" w:lineRule="auto"/>
        <w:rPr>
          <w:sz w:val="20"/>
          <w:szCs w:val="20"/>
          <w:color w:val="auto"/>
        </w:rPr>
      </w:pPr>
      <w:r>
        <w:rPr>
          <w:rFonts w:ascii="Times New Roman" w:cs="Times New Roman" w:eastAsia="Times New Roman" w:hAnsi="Times New Roman"/>
          <w:sz w:val="17"/>
          <w:szCs w:val="17"/>
          <w:color w:val="auto"/>
        </w:rPr>
        <w:t>In 2017, our CEO attended some of the Compensation Committee’s meetings, but the Compensation Committee also held regular executive sessions not attended by any members of management or non-independent members of our Board of Directors. The Compensation Committee held discussions and made its decisions with respect to our CEO’s compensation without him present.</w:t>
      </w:r>
    </w:p>
    <w:p>
      <w:pPr>
        <w:spacing w:after="0" w:line="167" w:lineRule="exact"/>
        <w:rPr>
          <w:sz w:val="20"/>
          <w:szCs w:val="20"/>
          <w:color w:val="auto"/>
        </w:rPr>
      </w:pPr>
    </w:p>
    <w:p>
      <w:pPr>
        <w:jc w:val="both"/>
        <w:ind w:right="140" w:firstLine="307"/>
        <w:spacing w:after="0" w:line="267" w:lineRule="auto"/>
        <w:rPr>
          <w:sz w:val="20"/>
          <w:szCs w:val="20"/>
          <w:color w:val="auto"/>
        </w:rPr>
      </w:pPr>
      <w:r>
        <w:rPr>
          <w:rFonts w:ascii="Times New Roman" w:cs="Times New Roman" w:eastAsia="Times New Roman" w:hAnsi="Times New Roman"/>
          <w:sz w:val="17"/>
          <w:szCs w:val="17"/>
          <w:color w:val="auto"/>
        </w:rPr>
        <w:t>The Compensation Committee has the ultimate authority to make decisions with respect to the compensation of our executive officers, including the NEOs, but may, if it chooses, delegate any of its responsibilities to subcommittees. The Compensation Committee has authorized our CEO to make base salary adjustments and short-term cash incentive award decisions for all employees other than our executive officers, including the NEOs.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Role of Compensation Consultant</w:t>
      </w:r>
    </w:p>
    <w:p>
      <w:pPr>
        <w:spacing w:after="0" w:line="218" w:lineRule="exact"/>
        <w:rPr>
          <w:sz w:val="20"/>
          <w:szCs w:val="20"/>
          <w:color w:val="auto"/>
        </w:rPr>
      </w:pPr>
    </w:p>
    <w:p>
      <w:pPr>
        <w:ind w:right="60" w:firstLine="307"/>
        <w:spacing w:after="0" w:line="267" w:lineRule="auto"/>
        <w:rPr>
          <w:sz w:val="20"/>
          <w:szCs w:val="20"/>
          <w:color w:val="auto"/>
        </w:rPr>
      </w:pPr>
      <w:r>
        <w:rPr>
          <w:rFonts w:ascii="Times New Roman" w:cs="Times New Roman" w:eastAsia="Times New Roman" w:hAnsi="Times New Roman"/>
          <w:sz w:val="17"/>
          <w:szCs w:val="17"/>
          <w:color w:val="auto"/>
        </w:rPr>
        <w:t>The Compensation Committee has the authority to engage independent advisors to assist in carrying out its responsibilities. In 2017, the Compensation Committee engaged Compensia, a national compensation consulting firm, to advise and assist it on various aspects of executive and director compensation, including base salaries, annual and long-term incentive compensation. The Chair of the Compensation Committee reviewed and approved all payments to Compensia.</w:t>
      </w:r>
    </w:p>
    <w:p>
      <w:pPr>
        <w:spacing w:after="0" w:line="167" w:lineRule="exact"/>
        <w:rPr>
          <w:sz w:val="20"/>
          <w:szCs w:val="20"/>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It has been the Compensation Committee’s practice to have Compensia prepare a comprehensive executive compensation analysis in alternating years, and update this analysis in interim years only if warranted by changing conditions. Compensia prepared full director and executive compensation analyses in September 2017 and December 2017, respectively. In addition, the Compensation Committee directed Compensia to report on trends in executive and director compensation policies and practices, corporate governance, and to conduct a compensation-related risk assessment of our compensation programs in 2017.</w:t>
      </w:r>
    </w:p>
    <w:p>
      <w:pPr>
        <w:spacing w:after="0" w:line="171" w:lineRule="exact"/>
        <w:rPr>
          <w:sz w:val="20"/>
          <w:szCs w:val="20"/>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Compensia reports directly to the Compensation Committee, although one or more of its consultants met with management for purposes of gathering information on the compensation proposals that management submitted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spacing w:after="0" w:line="171" w:lineRule="exact"/>
        <w:rPr>
          <w:sz w:val="20"/>
          <w:szCs w:val="20"/>
          <w:color w:val="auto"/>
        </w:rPr>
      </w:pPr>
    </w:p>
    <w:p>
      <w:pPr>
        <w:ind w:right="220" w:firstLine="307"/>
        <w:spacing w:after="0" w:line="284" w:lineRule="auto"/>
        <w:rPr>
          <w:sz w:val="20"/>
          <w:szCs w:val="20"/>
          <w:color w:val="auto"/>
        </w:rPr>
      </w:pPr>
      <w:r>
        <w:rPr>
          <w:rFonts w:ascii="Times New Roman" w:cs="Times New Roman" w:eastAsia="Times New Roman" w:hAnsi="Times New Roman"/>
          <w:sz w:val="17"/>
          <w:szCs w:val="17"/>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Competitive Positioning</w:t>
      </w:r>
    </w:p>
    <w:p>
      <w:pPr>
        <w:spacing w:after="0" w:line="218" w:lineRule="exact"/>
        <w:rPr>
          <w:sz w:val="20"/>
          <w:szCs w:val="20"/>
          <w:color w:val="auto"/>
        </w:rPr>
      </w:pPr>
    </w:p>
    <w:p>
      <w:pPr>
        <w:jc w:val="both"/>
        <w:ind w:right="40" w:firstLine="307"/>
        <w:spacing w:after="0" w:line="256" w:lineRule="auto"/>
        <w:rPr>
          <w:sz w:val="20"/>
          <w:szCs w:val="20"/>
          <w:color w:val="auto"/>
        </w:rPr>
      </w:pPr>
      <w:r>
        <w:rPr>
          <w:rFonts w:ascii="Times New Roman" w:cs="Times New Roman" w:eastAsia="Times New Roman" w:hAnsi="Times New Roman"/>
          <w:sz w:val="17"/>
          <w:szCs w:val="17"/>
          <w:color w:val="auto"/>
        </w:rPr>
        <w:t>In arriving at its compensation decisions for our executive officers, including the NEOs, for 2017,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with input from management. In selecting companies for the compensation peer group, the Compensation Committee identified companies in the semiconductor equipment sector that were comparable to us on the basis of revenues, market capitalization, and scope of operations, and which the Compensation Committee believed compete with us for executive talent. For 2017, the compensation peer group consisted of 14 companies. Ultratech was removed in May 2017 due to their being acquired and FARO was added in September 2017. There was a 93% overlap of the companies comprising the compensation peer group with the 2017 Glass-Lewis-identified peer group and a 65% overlap with the 2017 Institutional Shareholder Services (“ISS”) identified peer group.</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2017, the compensation peer group as of March 2017 consisted of the following companies:</w:t>
      </w:r>
    </w:p>
    <w:p>
      <w:pPr>
        <w:sectPr>
          <w:pgSz w:w="11900" w:h="16838" w:orient="portrait"/>
          <w:cols w:equalWidth="0" w:num="1">
            <w:col w:w="11380"/>
          </w:cols>
          <w:pgMar w:left="240" w:top="558" w:right="27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Advanced Energy Industries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Axcelis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Brooks Automation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Cabot Microelectronics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 Scientific Industries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Kulicke &amp; Soffa</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Nanometrics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Photronics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Rudolph Technologies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Ultra Clean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Ultratech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Veeco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Xcerra</w:t>
      </w:r>
    </w:p>
    <w:p>
      <w:pPr>
        <w:spacing w:after="0" w:line="197" w:lineRule="exact"/>
        <w:rPr>
          <w:sz w:val="20"/>
          <w:szCs w:val="20"/>
          <w:color w:val="auto"/>
        </w:rPr>
      </w:pPr>
    </w:p>
    <w:p>
      <w:pPr>
        <w:sectPr>
          <w:pgSz w:w="11900" w:h="16838" w:orient="portrait"/>
          <w:cols w:equalWidth="0" w:num="2">
            <w:col w:w="4680" w:space="720"/>
            <w:col w:w="5980"/>
          </w:cols>
          <w:pgMar w:left="240" w:top="558" w:right="279" w:bottom="1440" w:gutter="0" w:footer="0" w:header="0"/>
          <w:type w:val="continuous"/>
        </w:sect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Generally, data on the compensation practices of the companies in the compensation peer group was gathered by Compensia from publicly-available sources, including publicly available databases. Peer company data is gathered with respect to base salary, target annual bonus opportunities, equity awards (including stock options, RSU awards, and PSU awards), and long-term cash-based awards. In addition, similar data was gathered from the Radford High-Technology Executive Compensation survey for purposes of providing additional perspective in the case of executive positions where the compensation peer group offered a limited number of relevant data points.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executive compensation program consists of six principal elements:</w:t>
      </w:r>
    </w:p>
    <w:p>
      <w:pPr>
        <w:spacing w:after="0" w:line="214" w:lineRule="exact"/>
        <w:rPr>
          <w:sz w:val="20"/>
          <w:szCs w:val="20"/>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35"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bonus opportunities;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incentive compensation in the form of equity awards;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compensation benefits;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welfare and health benefits, including a Section 401(k) plan;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perquisites and other personal benefits.</w:t>
      </w:r>
    </w:p>
    <w:p>
      <w:pPr>
        <w:spacing w:after="0" w:line="197" w:lineRule="exact"/>
        <w:rPr>
          <w:sz w:val="20"/>
          <w:szCs w:val="20"/>
          <w:color w:val="auto"/>
        </w:rPr>
      </w:pPr>
    </w:p>
    <w:p>
      <w:pPr>
        <w:jc w:val="both"/>
        <w:ind w:right="60" w:firstLine="307"/>
        <w:spacing w:after="0" w:line="284" w:lineRule="auto"/>
        <w:rPr>
          <w:sz w:val="20"/>
          <w:szCs w:val="20"/>
          <w:color w:val="auto"/>
        </w:rPr>
      </w:pPr>
      <w:r>
        <w:rPr>
          <w:rFonts w:ascii="Times New Roman" w:cs="Times New Roman" w:eastAsia="Times New Roman" w:hAnsi="Times New Roman"/>
          <w:sz w:val="17"/>
          <w:szCs w:val="17"/>
          <w:color w:val="auto"/>
        </w:rPr>
        <w:t>The Compensation Committee has selected these elements because each is considered necessary, appropriate and when combined, are effective, and will continue to be effective, in achieving our compensation objectives.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18" w:lineRule="exact"/>
        <w:rPr>
          <w:sz w:val="20"/>
          <w:szCs w:val="20"/>
          <w:color w:val="auto"/>
        </w:rPr>
      </w:pPr>
    </w:p>
    <w:p>
      <w:pPr>
        <w:jc w:val="both"/>
        <w:ind w:right="60" w:firstLine="307"/>
        <w:spacing w:after="0" w:line="267" w:lineRule="auto"/>
        <w:rPr>
          <w:sz w:val="20"/>
          <w:szCs w:val="20"/>
          <w:color w:val="auto"/>
        </w:rPr>
      </w:pPr>
      <w:r>
        <w:rPr>
          <w:rFonts w:ascii="Times New Roman" w:cs="Times New Roman" w:eastAsia="Times New Roman" w:hAnsi="Times New Roman"/>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67" w:lineRule="exact"/>
        <w:rPr>
          <w:sz w:val="20"/>
          <w:szCs w:val="20"/>
          <w:color w:val="auto"/>
        </w:rPr>
      </w:pPr>
    </w:p>
    <w:p>
      <w:pPr>
        <w:ind w:right="440" w:firstLine="307"/>
        <w:spacing w:after="0" w:line="284" w:lineRule="auto"/>
        <w:rPr>
          <w:sz w:val="20"/>
          <w:szCs w:val="20"/>
          <w:color w:val="auto"/>
        </w:rPr>
      </w:pPr>
      <w:r>
        <w:rPr>
          <w:rFonts w:ascii="Times New Roman" w:cs="Times New Roman" w:eastAsia="Times New Roman" w:hAnsi="Times New Roman"/>
          <w:sz w:val="17"/>
          <w:szCs w:val="17"/>
          <w:color w:val="auto"/>
        </w:rPr>
        <w:t>The Compensation Committee reviews the base salaries of our executive officers, including the NEOs, annually and makes adjustments to base salaries as it determines to be necessary or appropriate.</w:t>
      </w:r>
    </w:p>
    <w:p>
      <w:pPr>
        <w:spacing w:after="0" w:line="152" w:lineRule="exact"/>
        <w:rPr>
          <w:sz w:val="20"/>
          <w:szCs w:val="20"/>
          <w:color w:val="auto"/>
        </w:rPr>
      </w:pPr>
    </w:p>
    <w:p>
      <w:pPr>
        <w:ind w:right="20" w:firstLine="307"/>
        <w:spacing w:after="0" w:line="258" w:lineRule="auto"/>
        <w:rPr>
          <w:sz w:val="20"/>
          <w:szCs w:val="20"/>
          <w:color w:val="auto"/>
        </w:rPr>
      </w:pPr>
      <w:r>
        <w:rPr>
          <w:rFonts w:ascii="Times New Roman" w:cs="Times New Roman" w:eastAsia="Times New Roman" w:hAnsi="Times New Roman"/>
          <w:sz w:val="17"/>
          <w:szCs w:val="17"/>
          <w:color w:val="auto"/>
        </w:rPr>
        <w:t>In February 2017, the Compensation Committee reviewed the base salaries of our executive officers, including the NEOs, taking into consideration a competitive market analysis prepared by Compensia in 2015 and updated in December 2016, and the recommendations of our CEO (except with respect to his own base salary), as well as the other factors described above. Following this review, the Compensation Committee determined, to make merit adjustments to maintain the competitiveness of certain executive officers’ base salaries. The increases for Dr. Müller and Mr. von Fellenberg were above general merit increase market data levels due to the Committee’s intention to reward successful performance and to address the Committee’s view that both salaries were below market salary levels considering the performance, experience and skills of these two individuals.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Effective March 1, 2017, the annual base salaries of the NEOs for 2017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8"/>
              </w:rPr>
              <w:t>Prior</w:t>
            </w:r>
          </w:p>
        </w:tc>
        <w:tc>
          <w:tcPr>
            <w:tcW w:w="300" w:type="dxa"/>
            <w:vAlign w:val="bottom"/>
          </w:tcPr>
          <w:p>
            <w:pPr>
              <w:spacing w:after="0"/>
              <w:rPr>
                <w:sz w:val="17"/>
                <w:szCs w:val="17"/>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2017</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9"/>
              </w:rPr>
              <w:t>Base</w:t>
            </w:r>
          </w:p>
        </w:tc>
        <w:tc>
          <w:tcPr>
            <w:tcW w:w="3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9"/>
              </w:rPr>
              <w:t>Base</w:t>
            </w:r>
          </w:p>
        </w:tc>
        <w:tc>
          <w:tcPr>
            <w:tcW w:w="16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225"/>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300" w:type="dxa"/>
            <w:vAlign w:val="bottom"/>
          </w:tcPr>
          <w:p>
            <w:pPr>
              <w:spacing w:after="0"/>
              <w:rPr>
                <w:sz w:val="19"/>
                <w:szCs w:val="19"/>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62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485,000</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535,000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320,000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329,500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Thomas D. Kampfer </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285,000</w:t>
            </w:r>
          </w:p>
        </w:tc>
        <w:tc>
          <w:tcPr>
            <w:tcW w:w="1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250,000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250,000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Ian von Fellenberg </w:t>
            </w:r>
            <w:r>
              <w:rPr>
                <w:rFonts w:ascii="Times New Roman" w:cs="Times New Roman" w:eastAsia="Times New Roman" w:hAnsi="Times New Roman"/>
                <w:sz w:val="28"/>
                <w:szCs w:val="28"/>
                <w:color w:val="auto"/>
                <w:vertAlign w:val="superscript"/>
              </w:rPr>
              <w:t>(2)</w:t>
            </w:r>
          </w:p>
        </w:tc>
        <w:tc>
          <w:tcPr>
            <w:tcW w:w="40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223,207</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241,064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bl>
    <w:p>
      <w:pPr>
        <w:ind w:left="460" w:hanging="381"/>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Kampfer began his employment on May 30, 2017 and the salary noted was his starting salary.</w:t>
      </w:r>
    </w:p>
    <w:p>
      <w:pPr>
        <w:spacing w:after="0" w:line="197" w:lineRule="exact"/>
        <w:rPr>
          <w:rFonts w:ascii="Times New Roman" w:cs="Times New Roman" w:eastAsia="Times New Roman" w:hAnsi="Times New Roman"/>
          <w:sz w:val="17"/>
          <w:szCs w:val="17"/>
          <w:color w:val="auto"/>
        </w:rPr>
      </w:pPr>
    </w:p>
    <w:p>
      <w:pPr>
        <w:ind w:left="460" w:right="320" w:hanging="381"/>
        <w:spacing w:after="0" w:line="267"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von Fellenberg is paid in Swiss Francs and the base salary rates above have been converted to U.S. Dollars as required by SEC rules. The salary change percentage was applied to his base salary in Swiss Francs and the year-over-year change in U.S. Dollars as reflected above is impacted by the currency exchange rates in effect at the time of the change.</w:t>
      </w:r>
    </w:p>
    <w:p>
      <w:pPr>
        <w:spacing w:after="0" w:line="167" w:lineRule="exact"/>
        <w:rPr>
          <w:sz w:val="20"/>
          <w:szCs w:val="20"/>
          <w:color w:val="auto"/>
        </w:rPr>
      </w:pPr>
    </w:p>
    <w:p>
      <w:pPr>
        <w:ind w:right="20" w:firstLine="307"/>
        <w:spacing w:after="0" w:line="257" w:lineRule="auto"/>
        <w:rPr>
          <w:sz w:val="20"/>
          <w:szCs w:val="20"/>
          <w:color w:val="auto"/>
        </w:rPr>
      </w:pPr>
      <w:r>
        <w:rPr>
          <w:rFonts w:ascii="Times New Roman" w:cs="Times New Roman" w:eastAsia="Times New Roman" w:hAnsi="Times New Roman"/>
          <w:sz w:val="17"/>
          <w:szCs w:val="17"/>
          <w:color w:val="auto"/>
        </w:rPr>
        <w:t>On February 8, 2018, the Compensation Committee, based on the recommendation of Dr. Müller and a review of market salary data performed by Compensia in December 2017, as well as the other factors described above, approved base salary increases for our executive officers including the NEOs. At this same meeting, the Compensation Committee held an executive session without the presence of management or our CEO to discuss his base salary level in relation to the competitive market, and his performance in the role. At this meeting, the Compensation Committee also approved a base salary increase for Dr. Müller to be effective the same date as the other NEO’s annual compensation changes. The increases for Dr. Müller and Messrs. Bohrson and von Fellenberg were above general merit increase market data levels due to the Committee’s intention to reward the strong performance of the executive officers and, in the case of Messrs. Bohrson and von Fellenberg, to address the Committee’s concern for the individuals’ relatively low base salaries in comparison to market salary levels.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Effective February 12, 2018, the annual base salaries of the NEOs are as follows: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9"/>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9"/>
              </w:rPr>
              <w:t>Base</w:t>
            </w:r>
          </w:p>
        </w:tc>
        <w:tc>
          <w:tcPr>
            <w:tcW w:w="3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9"/>
              </w:rPr>
              <w:t>Base</w:t>
            </w:r>
          </w:p>
        </w:tc>
        <w:tc>
          <w:tcPr>
            <w:tcW w:w="16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225"/>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300" w:type="dxa"/>
            <w:vAlign w:val="bottom"/>
          </w:tcPr>
          <w:p>
            <w:pPr>
              <w:spacing w:after="0"/>
              <w:rPr>
                <w:sz w:val="19"/>
                <w:szCs w:val="19"/>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62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535,000</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595,000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329,500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342,680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285,000</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293,550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250,000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277,002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Ian von Fellenberg </w:t>
            </w:r>
            <w:r>
              <w:rPr>
                <w:rFonts w:ascii="Times New Roman" w:cs="Times New Roman" w:eastAsia="Times New Roman" w:hAnsi="Times New Roman"/>
                <w:sz w:val="28"/>
                <w:szCs w:val="28"/>
                <w:color w:val="auto"/>
                <w:vertAlign w:val="superscript"/>
              </w:rPr>
              <w:t>(1)</w:t>
            </w:r>
          </w:p>
        </w:tc>
        <w:tc>
          <w:tcPr>
            <w:tcW w:w="40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241,064</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277,002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ind w:left="380" w:right="40" w:hanging="301"/>
        <w:spacing w:after="0" w:line="257" w:lineRule="auto"/>
        <w:tabs>
          <w:tab w:leader="none" w:pos="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von Fellenberg is paid in Swiss Francs and the base salary rates above have been converted to U.S. Dollars as required by SEC rules. The salary change percentage was applied to his base salary in Swiss Francs and the year-over-year change in U.S. Dollars as reflected above is impacted by the currency exchange rates in effect at the time of the change.</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base salaries of the NEOs during 2017 are set forth in the “2017 Summary Compensation Table” below.</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Annual Cash Incentive Bonuses</w:t>
      </w:r>
    </w:p>
    <w:p>
      <w:pPr>
        <w:spacing w:after="0" w:line="218" w:lineRule="exact"/>
        <w:rPr>
          <w:sz w:val="20"/>
          <w:szCs w:val="20"/>
          <w:color w:val="auto"/>
        </w:rPr>
      </w:pPr>
    </w:p>
    <w:p>
      <w:pPr>
        <w:ind w:right="120" w:firstLine="307"/>
        <w:spacing w:after="0" w:line="259" w:lineRule="auto"/>
        <w:rPr>
          <w:sz w:val="20"/>
          <w:szCs w:val="20"/>
          <w:color w:val="auto"/>
        </w:rPr>
      </w:pPr>
      <w:r>
        <w:rPr>
          <w:rFonts w:ascii="Times New Roman" w:cs="Times New Roman" w:eastAsia="Times New Roman" w:hAnsi="Times New Roman"/>
          <w:sz w:val="17"/>
          <w:szCs w:val="17"/>
          <w:color w:val="auto"/>
        </w:rPr>
        <w:t>Each year, the Compensation Committee approves an annual management incentive plan for our executive officers, including the NEOs, to encourage and award their achievement of our financial and operational objectives as set forth in our annual operating plan. Under this annual management incentive plan, the Compensation Committee establishes a bonus formula that is applied to the actual level of achievement for each of the selected performance measures. The bonus formula is based on the anticipated difficulty and relative importance of achieving the target level for each respective performance measure. Accordingly, the actual bonuses paid, if any, for any given year will vary depending on our actual performance.</w:t>
      </w:r>
    </w:p>
    <w:p>
      <w:pPr>
        <w:spacing w:after="0" w:line="175" w:lineRule="exact"/>
        <w:rPr>
          <w:sz w:val="20"/>
          <w:szCs w:val="20"/>
          <w:color w:val="auto"/>
        </w:rPr>
      </w:pPr>
    </w:p>
    <w:p>
      <w:pPr>
        <w:ind w:right="220" w:firstLine="307"/>
        <w:spacing w:after="0" w:line="262" w:lineRule="auto"/>
        <w:rPr>
          <w:sz w:val="20"/>
          <w:szCs w:val="20"/>
          <w:color w:val="auto"/>
        </w:rPr>
      </w:pPr>
      <w:r>
        <w:rPr>
          <w:rFonts w:ascii="Times New Roman" w:cs="Times New Roman" w:eastAsia="Times New Roman" w:hAnsi="Times New Roman"/>
          <w:sz w:val="17"/>
          <w:szCs w:val="17"/>
          <w:color w:val="auto"/>
        </w:rPr>
        <w:t>To support our retention objectives, typically the annual management incentive plan provides that an executive officer must be an employee when the incentive bonus for the year is paid. The annual management incentive plan provides that the Compensation Committee has the discretion to decrease, but not increase, any bonuses paid under the plan, even if the applicable performance objectives have been achieved. Historically, bonuses have been payable in cash unless an executive officer elects to defer all or part of his bonus into the Cohu, Inc. Deferred Compensation Plan.</w:t>
      </w:r>
    </w:p>
    <w:p>
      <w:pPr>
        <w:spacing w:after="0" w:line="171" w:lineRule="exact"/>
        <w:rPr>
          <w:sz w:val="20"/>
          <w:szCs w:val="20"/>
          <w:color w:val="auto"/>
        </w:rPr>
      </w:pPr>
    </w:p>
    <w:p>
      <w:pPr>
        <w:ind w:right="460" w:firstLine="307"/>
        <w:spacing w:after="0" w:line="284" w:lineRule="auto"/>
        <w:rPr>
          <w:sz w:val="20"/>
          <w:szCs w:val="20"/>
          <w:color w:val="auto"/>
        </w:rPr>
      </w:pPr>
      <w:r>
        <w:rPr>
          <w:rFonts w:ascii="Times New Roman" w:cs="Times New Roman" w:eastAsia="Times New Roman" w:hAnsi="Times New Roman"/>
          <w:sz w:val="17"/>
          <w:szCs w:val="17"/>
          <w:color w:val="auto"/>
        </w:rPr>
        <w:t>On February 9, 2017, the Compensation Committee adopted the annual management incentive plan for 2017 (the “2017 MIP”). The 2017 MIP was adopted pursuant to the Cohu, Inc. 2005 Equity Incentive Plan (the “2005 Plan”).</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Target Annual Cash Incentive Bonus Opportunities</w:t>
      </w:r>
    </w:p>
    <w:p>
      <w:pPr>
        <w:spacing w:after="0" w:line="214" w:lineRule="exact"/>
        <w:rPr>
          <w:sz w:val="20"/>
          <w:szCs w:val="20"/>
          <w:color w:val="auto"/>
        </w:rPr>
      </w:pPr>
    </w:p>
    <w:p>
      <w:pPr>
        <w:ind w:right="80" w:firstLine="307"/>
        <w:spacing w:after="0" w:line="262" w:lineRule="auto"/>
        <w:rPr>
          <w:sz w:val="20"/>
          <w:szCs w:val="20"/>
          <w:color w:val="auto"/>
        </w:rPr>
      </w:pPr>
      <w:r>
        <w:rPr>
          <w:rFonts w:ascii="Times New Roman" w:cs="Times New Roman" w:eastAsia="Times New Roman" w:hAnsi="Times New Roman"/>
          <w:sz w:val="17"/>
          <w:szCs w:val="17"/>
          <w:color w:val="auto"/>
        </w:rPr>
        <w:t>For purposes of the 2017 MIP, our CEO made recommendations to the Compensation Committee with respect to target annual cash incentive bonus opportunities (expressed as a percentage of base salary) for each of our executive officers, including the NEOs (except with respect to his own target annual cash incentive bonus opportunity). The target annual cash incentive bonus opportunities approved by the Compensation Committee for the NEOs, and the range of the potential bonus, as a percentage of base salary, were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Target Annual Cash</w:t>
            </w:r>
          </w:p>
        </w:tc>
        <w:tc>
          <w:tcPr>
            <w:tcW w:w="200" w:type="dxa"/>
            <w:vAlign w:val="bottom"/>
          </w:tcPr>
          <w:p>
            <w:pPr>
              <w:spacing w:after="0"/>
              <w:rPr>
                <w:sz w:val="18"/>
                <w:szCs w:val="18"/>
                <w:color w:val="auto"/>
              </w:rPr>
            </w:pPr>
          </w:p>
        </w:tc>
        <w:tc>
          <w:tcPr>
            <w:tcW w:w="186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Range of Possible 2017</w:t>
            </w:r>
          </w:p>
        </w:tc>
      </w:tr>
      <w:tr>
        <w:trPr>
          <w:trHeight w:val="225"/>
        </w:trPr>
        <w:tc>
          <w:tcPr>
            <w:tcW w:w="6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 Opportunity</w:t>
            </w:r>
          </w:p>
        </w:tc>
        <w:tc>
          <w:tcPr>
            <w:tcW w:w="200" w:type="dxa"/>
            <w:vAlign w:val="bottom"/>
          </w:tcPr>
          <w:p>
            <w:pPr>
              <w:spacing w:after="0"/>
              <w:rPr>
                <w:sz w:val="19"/>
                <w:szCs w:val="19"/>
                <w:color w:val="auto"/>
              </w:rPr>
            </w:pPr>
          </w:p>
        </w:tc>
        <w:tc>
          <w:tcPr>
            <w:tcW w:w="186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Incentive Awards</w:t>
            </w:r>
          </w:p>
        </w:tc>
      </w:tr>
      <w:tr>
        <w:trPr>
          <w:trHeight w:val="198"/>
        </w:trPr>
        <w:tc>
          <w:tcPr>
            <w:tcW w:w="20" w:type="dxa"/>
            <w:vAlign w:val="bottom"/>
          </w:tcPr>
          <w:p>
            <w:pPr>
              <w:spacing w:after="0"/>
              <w:rPr>
                <w:sz w:val="17"/>
                <w:szCs w:val="17"/>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- 166.7%</w:t>
            </w:r>
          </w:p>
        </w:tc>
      </w:tr>
      <w:tr>
        <w:trPr>
          <w:trHeight w:val="205"/>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9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- 100%</w:t>
            </w:r>
          </w:p>
        </w:tc>
      </w:tr>
      <w:tr>
        <w:trPr>
          <w:trHeight w:val="205"/>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19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- 75%</w:t>
            </w:r>
          </w:p>
        </w:tc>
      </w:tr>
      <w:tr>
        <w:trPr>
          <w:trHeight w:val="205"/>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9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- 83.3%</w:t>
            </w:r>
          </w:p>
        </w:tc>
      </w:tr>
      <w:tr>
        <w:trPr>
          <w:trHeight w:val="205"/>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19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- 83.3%</w:t>
            </w:r>
          </w:p>
        </w:tc>
      </w:tr>
    </w:tbl>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Performance Measures</w:t>
      </w:r>
    </w:p>
    <w:p>
      <w:pPr>
        <w:spacing w:after="0" w:line="214" w:lineRule="exact"/>
        <w:rPr>
          <w:sz w:val="20"/>
          <w:szCs w:val="20"/>
          <w:color w:val="auto"/>
        </w:rPr>
      </w:pPr>
    </w:p>
    <w:p>
      <w:pPr>
        <w:ind w:right="20" w:firstLine="307"/>
        <w:spacing w:after="0" w:line="267" w:lineRule="auto"/>
        <w:rPr>
          <w:sz w:val="20"/>
          <w:szCs w:val="20"/>
          <w:color w:val="auto"/>
        </w:rPr>
      </w:pPr>
      <w:r>
        <w:rPr>
          <w:rFonts w:ascii="Times New Roman" w:cs="Times New Roman" w:eastAsia="Times New Roman" w:hAnsi="Times New Roman"/>
          <w:sz w:val="17"/>
          <w:szCs w:val="17"/>
          <w:color w:val="auto"/>
        </w:rPr>
        <w:t>For purposes of the annual management incentive plan, the Compensation Committee may select one or more performance measures from a range of performance measures specified in the 2005 Plan. For purposes of the 2017 MIP, the Compensation Committee selected two financial performance measures for our executive officers:</w:t>
      </w:r>
    </w:p>
    <w:p>
      <w:pPr>
        <w:spacing w:after="0" w:line="167" w:lineRule="exact"/>
        <w:rPr>
          <w:sz w:val="20"/>
          <w:szCs w:val="20"/>
          <w:color w:val="auto"/>
        </w:rPr>
      </w:pPr>
    </w:p>
    <w:p>
      <w:pPr>
        <w:ind w:left="540" w:hanging="230"/>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w:t>
      </w:r>
    </w:p>
    <w:p>
      <w:pPr>
        <w:spacing w:after="0" w:line="26" w:lineRule="exact"/>
        <w:rPr>
          <w:rFonts w:ascii="Times New Roman" w:cs="Times New Roman" w:eastAsia="Times New Roman" w:hAnsi="Times New Roman"/>
          <w:sz w:val="17"/>
          <w:szCs w:val="17"/>
          <w:color w:val="auto"/>
        </w:rPr>
      </w:pPr>
    </w:p>
    <w:p>
      <w:pPr>
        <w:ind w:left="540" w:hanging="230"/>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operating income.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8" w:name="page29"/>
    <w:bookmarkEnd w:id="28"/>
    <w:p>
      <w:pPr>
        <w:ind w:right="60" w:firstLine="307"/>
        <w:spacing w:after="0" w:line="267" w:lineRule="auto"/>
        <w:rPr>
          <w:sz w:val="20"/>
          <w:szCs w:val="20"/>
          <w:color w:val="auto"/>
        </w:rPr>
      </w:pPr>
      <w:r>
        <w:rPr>
          <w:rFonts w:ascii="Times New Roman" w:cs="Times New Roman" w:eastAsia="Times New Roman" w:hAnsi="Times New Roman"/>
          <w:sz w:val="17"/>
          <w:szCs w:val="17"/>
          <w:color w:val="auto"/>
        </w:rPr>
        <w:t>The Compensation Committee selected these two performance measures because they believe sales reflect the overall acceptance of the market for our products and Non-GAAP operating income reflects how effectively management delivered our products to our customers during the year. Sales targets were based on our consolidated results for the year, except in the case of Messrs. Bohrson and von Fellenberg whose sales targets were based on their respective business unit results.</w:t>
      </w:r>
    </w:p>
    <w:p>
      <w:pPr>
        <w:spacing w:after="0" w:line="167" w:lineRule="exact"/>
        <w:rPr>
          <w:sz w:val="20"/>
          <w:szCs w:val="20"/>
          <w:color w:val="auto"/>
        </w:rPr>
      </w:pPr>
    </w:p>
    <w:p>
      <w:pPr>
        <w:ind w:right="60" w:firstLine="307"/>
        <w:spacing w:after="0" w:line="259" w:lineRule="auto"/>
        <w:rPr>
          <w:sz w:val="20"/>
          <w:szCs w:val="20"/>
          <w:color w:val="auto"/>
        </w:rPr>
      </w:pPr>
      <w:r>
        <w:rPr>
          <w:rFonts w:ascii="Times New Roman" w:cs="Times New Roman" w:eastAsia="Times New Roman" w:hAnsi="Times New Roman"/>
          <w:sz w:val="17"/>
          <w:szCs w:val="17"/>
          <w:color w:val="auto"/>
        </w:rPr>
        <w:t xml:space="preserve">For purposes of the 2017 MIP, “non-GAAP operating income” was calculated by adjusting our 2017 actual results prepared under GAAP to exclude charges for share-based compensation, the amortization of acquired intangible assets, manufacturing transition costs, employee severance costs, acquisition related costs, fair value adjustment to contingent consideration, purchase accounting inventory step-up included in cost of sales and the reduction of an uncertain tax position liability and related indemnification receivable. This methodology is identical to that used in our quarterly earnings press releases. A reconciliation of GAAP to non-GAAP operating income used for the 2017 MIP is included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to this proxy statement.</w:t>
      </w:r>
    </w:p>
    <w:p>
      <w:pPr>
        <w:spacing w:after="0" w:line="175" w:lineRule="exact"/>
        <w:rPr>
          <w:sz w:val="20"/>
          <w:szCs w:val="20"/>
          <w:color w:val="auto"/>
        </w:rPr>
      </w:pPr>
    </w:p>
    <w:p>
      <w:pPr>
        <w:ind w:right="300" w:firstLine="307"/>
        <w:spacing w:after="0" w:line="267" w:lineRule="auto"/>
        <w:rPr>
          <w:sz w:val="20"/>
          <w:szCs w:val="20"/>
          <w:color w:val="auto"/>
        </w:rPr>
      </w:pPr>
      <w:r>
        <w:rPr>
          <w:rFonts w:ascii="Times New Roman" w:cs="Times New Roman" w:eastAsia="Times New Roman" w:hAnsi="Times New Roman"/>
          <w:sz w:val="17"/>
          <w:szCs w:val="17"/>
          <w:color w:val="auto"/>
        </w:rPr>
        <w:t>In addition, the Compensation Committee determined that each executive officer’s annual cash incentive bonus would be based, in part, on his individual performance as measured against multiple management objectives, which included, among other things, specific quantitative and qualitative goals in the areas of market expansion, business development, operating and financial performance, and/or new product development.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weighting of these corporate and individual performance measures for purposes of the 2017 MIP for each NEO were as follows: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Non-GAAP</w:t>
            </w:r>
          </w:p>
        </w:tc>
        <w:tc>
          <w:tcPr>
            <w:tcW w:w="220" w:type="dxa"/>
            <w:vAlign w:val="bottom"/>
          </w:tcPr>
          <w:p>
            <w:pPr>
              <w:spacing w:after="0"/>
              <w:rPr>
                <w:sz w:val="17"/>
                <w:szCs w:val="17"/>
                <w:color w:val="auto"/>
              </w:rPr>
            </w:pPr>
          </w:p>
        </w:tc>
        <w:tc>
          <w:tcPr>
            <w:tcW w:w="15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Individual</w:t>
            </w: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Operating</w:t>
            </w:r>
          </w:p>
        </w:tc>
        <w:tc>
          <w:tcPr>
            <w:tcW w:w="220" w:type="dxa"/>
            <w:vAlign w:val="bottom"/>
          </w:tcPr>
          <w:p>
            <w:pPr>
              <w:spacing w:after="0"/>
              <w:rPr>
                <w:sz w:val="18"/>
                <w:szCs w:val="18"/>
                <w:color w:val="auto"/>
              </w:rPr>
            </w:pPr>
          </w:p>
        </w:tc>
        <w:tc>
          <w:tcPr>
            <w:tcW w:w="15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Management</w:t>
            </w:r>
          </w:p>
        </w:tc>
      </w:tr>
      <w:tr>
        <w:trPr>
          <w:trHeight w:val="225"/>
        </w:trPr>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Sales</w:t>
            </w:r>
          </w:p>
        </w:tc>
        <w:tc>
          <w:tcPr>
            <w:tcW w:w="1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220" w:type="dxa"/>
            <w:vAlign w:val="bottom"/>
          </w:tcPr>
          <w:p>
            <w:pPr>
              <w:spacing w:after="0"/>
              <w:rPr>
                <w:sz w:val="19"/>
                <w:szCs w:val="19"/>
                <w:color w:val="auto"/>
              </w:rPr>
            </w:pPr>
          </w:p>
        </w:tc>
        <w:tc>
          <w:tcPr>
            <w:tcW w:w="15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Objectives</w:t>
            </w:r>
          </w:p>
        </w:tc>
      </w:tr>
      <w:tr>
        <w:trPr>
          <w:trHeight w:val="198"/>
        </w:trPr>
        <w:tc>
          <w:tcPr>
            <w:tcW w:w="20" w:type="dxa"/>
            <w:vAlign w:val="bottom"/>
          </w:tcPr>
          <w:p>
            <w:pPr>
              <w:spacing w:after="0"/>
              <w:rPr>
                <w:sz w:val="17"/>
                <w:szCs w:val="17"/>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c>
          <w:tcPr>
            <w:tcW w:w="180" w:type="dxa"/>
            <w:vAlign w:val="bottom"/>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c>
          <w:tcPr>
            <w:tcW w:w="22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33%</w:t>
            </w: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c>
          <w:tcPr>
            <w:tcW w:w="196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6"/>
              </w:rPr>
              <w:t>33%</w:t>
            </w:r>
          </w:p>
        </w:tc>
        <w:tc>
          <w:tcPr>
            <w:tcW w:w="17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33%</w:t>
            </w: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c>
          <w:tcPr>
            <w:tcW w:w="196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6"/>
              </w:rPr>
              <w:t>25%</w:t>
            </w:r>
          </w:p>
        </w:tc>
        <w:tc>
          <w:tcPr>
            <w:tcW w:w="17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50%</w:t>
            </w: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c>
          <w:tcPr>
            <w:tcW w:w="196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6"/>
              </w:rPr>
              <w:t>33%</w:t>
            </w:r>
          </w:p>
        </w:tc>
        <w:tc>
          <w:tcPr>
            <w:tcW w:w="17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33%</w:t>
            </w: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c>
          <w:tcPr>
            <w:tcW w:w="196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6"/>
              </w:rPr>
              <w:t>33%</w:t>
            </w:r>
          </w:p>
        </w:tc>
        <w:tc>
          <w:tcPr>
            <w:tcW w:w="17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33%</w:t>
            </w:r>
          </w:p>
        </w:tc>
      </w:tr>
    </w:tbl>
    <w:p>
      <w:pPr>
        <w:spacing w:after="0" w:line="188" w:lineRule="exact"/>
        <w:rPr>
          <w:sz w:val="20"/>
          <w:szCs w:val="20"/>
          <w:color w:val="auto"/>
        </w:rPr>
      </w:pPr>
    </w:p>
    <w:p>
      <w:pPr>
        <w:jc w:val="both"/>
        <w:ind w:right="80" w:firstLine="307"/>
        <w:spacing w:after="0" w:line="267" w:lineRule="auto"/>
        <w:rPr>
          <w:sz w:val="20"/>
          <w:szCs w:val="20"/>
          <w:color w:val="auto"/>
        </w:rPr>
      </w:pPr>
      <w:r>
        <w:rPr>
          <w:rFonts w:ascii="Times New Roman" w:cs="Times New Roman" w:eastAsia="Times New Roman" w:hAnsi="Times New Roman"/>
          <w:sz w:val="17"/>
          <w:szCs w:val="17"/>
          <w:color w:val="auto"/>
        </w:rPr>
        <w:t>The performance measures and their respective weightings were selected to reflect the principal role and responsibilities of each of our executive officers. The Compensation Committee determined that using our consolidated results for non-GAAP operating income and sales, except as noted above, were appropriate for all executive officers given their responsibilities for the overall success of our business.</w:t>
      </w:r>
    </w:p>
    <w:p>
      <w:pPr>
        <w:spacing w:after="0" w:line="167" w:lineRule="exact"/>
        <w:rPr>
          <w:sz w:val="20"/>
          <w:szCs w:val="20"/>
          <w:color w:val="auto"/>
        </w:rPr>
      </w:pPr>
    </w:p>
    <w:p>
      <w:pPr>
        <w:ind w:right="560" w:firstLine="307"/>
        <w:spacing w:after="0" w:line="284" w:lineRule="auto"/>
        <w:rPr>
          <w:sz w:val="20"/>
          <w:szCs w:val="20"/>
          <w:color w:val="auto"/>
        </w:rPr>
      </w:pPr>
      <w:r>
        <w:rPr>
          <w:rFonts w:ascii="Times New Roman" w:cs="Times New Roman" w:eastAsia="Times New Roman" w:hAnsi="Times New Roman"/>
          <w:sz w:val="17"/>
          <w:szCs w:val="17"/>
          <w:color w:val="auto"/>
        </w:rPr>
        <w:t>In addition, to further motivate our executive officers and based on a competitive market analysis prepared by Compensia, the Compensation Committee determined that the following features would apply to the 2017 MIP:</w:t>
      </w:r>
    </w:p>
    <w:p>
      <w:pPr>
        <w:spacing w:after="0" w:line="152" w:lineRule="exact"/>
        <w:rPr>
          <w:sz w:val="20"/>
          <w:szCs w:val="20"/>
          <w:color w:val="auto"/>
        </w:rPr>
      </w:pPr>
    </w:p>
    <w:p>
      <w:pPr>
        <w:jc w:val="both"/>
        <w:ind w:left="540" w:right="60" w:hanging="230"/>
        <w:spacing w:after="0" w:line="25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portion of the annual cash incentive bonus related to the sales and non-GAAP operating income performance measures, no amount would be paid unless such sales and non-GAAP operating income were at least 85% and 75%, respectively, of our target levels as reflected in our annual operating plan; and</w:t>
      </w:r>
    </w:p>
    <w:p>
      <w:pPr>
        <w:spacing w:after="0" w:line="1" w:lineRule="exact"/>
        <w:rPr>
          <w:rFonts w:ascii="Times New Roman" w:cs="Times New Roman" w:eastAsia="Times New Roman" w:hAnsi="Times New Roman"/>
          <w:sz w:val="17"/>
          <w:szCs w:val="17"/>
          <w:color w:val="auto"/>
        </w:rPr>
      </w:pPr>
    </w:p>
    <w:p>
      <w:pPr>
        <w:ind w:left="540" w:right="380" w:hanging="230"/>
        <w:spacing w:after="0" w:line="263"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threshold, target, and maximum performance and payout levels for the sales and non-GAAP operating income performance measures were scaled to provide both greater reward for exceeding our target levels and greater penalty for missing target levels as follows: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2017 MIP Scales for Sales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-123190</wp:posOffset>
            </wp:positionV>
            <wp:extent cx="5802630"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2630" cy="151130"/>
                    </a:xfrm>
                    <a:prstGeom prst="rect">
                      <a:avLst/>
                    </a:prstGeom>
                    <a:noFill/>
                  </pic:spPr>
                </pic:pic>
              </a:graphicData>
            </a:graphic>
          </wp:anchor>
        </w:drawing>
      </w:r>
    </w:p>
    <w:p>
      <w:pPr>
        <w:spacing w:after="0" w:line="2" w:lineRule="exact"/>
        <w:rPr>
          <w:sz w:val="20"/>
          <w:szCs w:val="20"/>
          <w:color w:val="auto"/>
        </w:rPr>
      </w:pPr>
    </w:p>
    <w:tbl>
      <w:tblPr>
        <w:tblLayout w:type="fixed"/>
        <w:tblInd w:w="1150" w:type="dxa"/>
        <w:tblCellMar>
          <w:top w:w="0" w:type="dxa"/>
          <w:left w:w="0" w:type="dxa"/>
          <w:bottom w:w="0" w:type="dxa"/>
          <w:right w:w="0" w:type="dxa"/>
        </w:tblCellMar>
      </w:tblPr>
      <w:tr>
        <w:trPr>
          <w:trHeight w:val="201"/>
        </w:trPr>
        <w:tc>
          <w:tcPr>
            <w:tcW w:w="368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to Sale Target</w:t>
            </w:r>
          </w:p>
        </w:tc>
        <w:tc>
          <w:tcPr>
            <w:tcW w:w="1820" w:type="dxa"/>
            <w:vAlign w:val="bottom"/>
            <w:tcBorders>
              <w:top w:val="single" w:sz="8" w:color="auto"/>
              <w:bottom w:val="single" w:sz="8" w:color="auto"/>
              <w:right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&lt;85%</w:t>
            </w:r>
          </w:p>
        </w:tc>
        <w:tc>
          <w:tcPr>
            <w:tcW w:w="1820" w:type="dxa"/>
            <w:vAlign w:val="bottom"/>
            <w:tcBorders>
              <w:top w:val="single" w:sz="8" w:color="auto"/>
              <w:bottom w:val="single" w:sz="8" w:color="auto"/>
              <w:right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85 - 130%</w:t>
            </w:r>
          </w:p>
        </w:tc>
        <w:tc>
          <w:tcPr>
            <w:tcW w:w="18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&gt;130%</w:t>
            </w:r>
          </w:p>
        </w:tc>
      </w:tr>
      <w:tr>
        <w:trPr>
          <w:trHeight w:val="198"/>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Payout Level Earned</w:t>
            </w:r>
          </w:p>
        </w:tc>
        <w:tc>
          <w:tcPr>
            <w:tcW w:w="182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None</w:t>
            </w:r>
          </w:p>
        </w:tc>
        <w:tc>
          <w:tcPr>
            <w:tcW w:w="1820" w:type="dxa"/>
            <w:vAlign w:val="bottom"/>
            <w:tcBorders>
              <w:bottom w:val="single" w:sz="8" w:color="auto"/>
              <w:right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50 - 200%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r>
      <w:tr>
        <w:trPr>
          <w:trHeight w:val="198"/>
        </w:trPr>
        <w:tc>
          <w:tcPr>
            <w:tcW w:w="3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to Operating Income Target</w:t>
            </w:r>
          </w:p>
        </w:tc>
        <w:tc>
          <w:tcPr>
            <w:tcW w:w="1820" w:type="dxa"/>
            <w:vAlign w:val="bottom"/>
            <w:tcBorders>
              <w:bottom w:val="single" w:sz="8" w:color="auto"/>
              <w:right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&lt;75%</w:t>
            </w:r>
          </w:p>
        </w:tc>
        <w:tc>
          <w:tcPr>
            <w:tcW w:w="182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75 - 150%</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&gt;150%</w:t>
            </w:r>
          </w:p>
        </w:tc>
      </w:tr>
      <w:tr>
        <w:trPr>
          <w:trHeight w:val="198"/>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Payout Level Earned</w:t>
            </w:r>
          </w:p>
        </w:tc>
        <w:tc>
          <w:tcPr>
            <w:tcW w:w="182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None</w:t>
            </w:r>
          </w:p>
        </w:tc>
        <w:tc>
          <w:tcPr>
            <w:tcW w:w="1820" w:type="dxa"/>
            <w:vAlign w:val="bottom"/>
            <w:tcBorders>
              <w:bottom w:val="single" w:sz="8" w:color="auto"/>
              <w:right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50 - 200%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r>
    </w:tbl>
    <w:p>
      <w:pPr>
        <w:spacing w:after="0" w:line="188" w:lineRule="exact"/>
        <w:rPr>
          <w:sz w:val="20"/>
          <w:szCs w:val="20"/>
          <w:color w:val="auto"/>
        </w:rPr>
      </w:pPr>
    </w:p>
    <w:p>
      <w:pPr>
        <w:ind w:firstLine="307"/>
        <w:spacing w:after="0" w:line="258" w:lineRule="auto"/>
        <w:rPr>
          <w:sz w:val="20"/>
          <w:szCs w:val="20"/>
          <w:color w:val="auto"/>
        </w:rPr>
      </w:pPr>
      <w:r>
        <w:rPr>
          <w:rFonts w:ascii="Times New Roman" w:cs="Times New Roman" w:eastAsia="Times New Roman" w:hAnsi="Times New Roman"/>
          <w:sz w:val="17"/>
          <w:szCs w:val="17"/>
          <w:color w:val="auto"/>
        </w:rPr>
        <w:t>To ensure that the annual cash incentive bonuses served our goal of increasing stockholder value and because the Compensation Committee wanted to pay bonuses at above target levels only upon the achievement of what it considered to be exceptional target performance, it determined that the maximum annual cash incentive bonus for any executive officer would be payable only if the actual performance significantly exceeded our target operating results. Accordingly, if our actual results for 2017 exceeded the applicable target level for sales and non-GAAP operating income, each portion of their target annual cash incentive bonus opportunity subject to those performance measures could have been increased up to an amount that was two times the target cash incentive bonus opportunity subject to those measures.</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00"/>
          </w:cols>
          <w:pgMar w:left="240" w:top="558" w:right="359" w:bottom="1440" w:gutter="0" w:footer="0" w:header="0"/>
        </w:sectPr>
      </w:pPr>
    </w:p>
    <w:bookmarkStart w:id="29" w:name="page30"/>
    <w:bookmarkEnd w:id="29"/>
    <w:p>
      <w:pPr>
        <w:jc w:val="both"/>
        <w:ind w:right="20" w:firstLine="307"/>
        <w:spacing w:after="0" w:line="267" w:lineRule="auto"/>
        <w:rPr>
          <w:sz w:val="20"/>
          <w:szCs w:val="20"/>
          <w:color w:val="auto"/>
        </w:rPr>
      </w:pPr>
      <w:r>
        <w:rPr>
          <w:rFonts w:ascii="Times New Roman" w:cs="Times New Roman" w:eastAsia="Times New Roman" w:hAnsi="Times New Roman"/>
          <w:sz w:val="17"/>
          <w:szCs w:val="17"/>
          <w:color w:val="auto"/>
        </w:rPr>
        <w:t>Payouts for performance between the threshold and maximum performance levels were to be determined on a linear basis. However, no bonus with respect to the sales performance measures would be paid if the Company reported a non-GAAP operating loss. Finally, as provided under the 2005 Plan, no performance bonus may exceed $1 million in any fiscal year.</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Individual Performance Objectives</w:t>
      </w:r>
    </w:p>
    <w:p>
      <w:pPr>
        <w:spacing w:after="0" w:line="214" w:lineRule="exact"/>
        <w:rPr>
          <w:sz w:val="20"/>
          <w:szCs w:val="20"/>
          <w:color w:val="auto"/>
        </w:rPr>
      </w:pPr>
    </w:p>
    <w:p>
      <w:pPr>
        <w:ind w:right="560" w:firstLine="307"/>
        <w:spacing w:after="0" w:line="284" w:lineRule="auto"/>
        <w:rPr>
          <w:sz w:val="20"/>
          <w:szCs w:val="20"/>
          <w:color w:val="auto"/>
        </w:rPr>
      </w:pPr>
      <w:r>
        <w:rPr>
          <w:rFonts w:ascii="Times New Roman" w:cs="Times New Roman" w:eastAsia="Times New Roman" w:hAnsi="Times New Roman"/>
          <w:sz w:val="17"/>
          <w:szCs w:val="17"/>
          <w:color w:val="auto"/>
        </w:rPr>
        <w:t>For purposes of the 2017 MIP, the Compensation Committee selected individual performance objectives for our CEO and our other executive officers that reflected their responsibilities for the overall management of the Company. These performance objectives for each NEO are set forth in the table below.</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Performance Measure Target Levels</w:t>
      </w:r>
    </w:p>
    <w:p>
      <w:pPr>
        <w:spacing w:after="0" w:line="214" w:lineRule="exact"/>
        <w:rPr>
          <w:sz w:val="20"/>
          <w:szCs w:val="20"/>
          <w:color w:val="auto"/>
        </w:rPr>
      </w:pPr>
    </w:p>
    <w:p>
      <w:pPr>
        <w:ind w:right="80" w:firstLine="307"/>
        <w:spacing w:after="0" w:line="258" w:lineRule="auto"/>
        <w:rPr>
          <w:sz w:val="20"/>
          <w:szCs w:val="20"/>
          <w:color w:val="auto"/>
        </w:rPr>
      </w:pPr>
      <w:r>
        <w:rPr>
          <w:rFonts w:ascii="Times New Roman" w:cs="Times New Roman" w:eastAsia="Times New Roman" w:hAnsi="Times New Roman"/>
          <w:sz w:val="17"/>
          <w:szCs w:val="17"/>
          <w:color w:val="auto"/>
        </w:rPr>
        <w:t>With respect to the target levels for sales and non-GAAP operating income, the Compensation Committee believed that, at the time the target level for each performance measure was set, these target levels would be challenging and difficult, but achievable under normal business conditions with significant effort and skill. For 2017, the Compensation Committee expected that these target levels would be difficult to achieve because they would require delivery of results in uncertain market conditions, adroitly executing our business strategy, the development and acceptance by customers of new products, and successful entry into certain new markets in a highly competitive and volatile environment. In addition, the Compensation Committee set the 2017 sales and non-GAAP operating income targets at levels significantly higher than those achieved in 2016.</w:t>
      </w:r>
    </w:p>
    <w:p>
      <w:pPr>
        <w:spacing w:after="0" w:line="173"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For purposes of the 2017 MIP, the target levels for Company sales and non-GAAP operating income are set forth in the following table, which also summarizes the individual performance objectives for each NEO. The sales target levels for Messrs. Bohrson and von Fellenberg were based on their respective business units, and since we do not report financial results at the business unit level, these specific target levels and results have not been disclosed. These activities were determined to be challenging to achieve due to the highly competitive markets in which we operate and the impact that achievement of the objectives would have on our business results.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00" w:type="dxa"/>
            <w:vAlign w:val="bottom"/>
            <w:tcBorders>
              <w:top w:val="single" w:sz="8" w:color="auto"/>
              <w:left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5380" w:type="dxa"/>
            <w:vAlign w:val="bottom"/>
            <w:tcBorders>
              <w:top w:val="single" w:sz="8" w:color="auto"/>
              <w:bottom w:val="single" w:sz="8" w:color="auto"/>
              <w:right w:val="single" w:sz="8" w:color="CCEEFF"/>
            </w:tcBorders>
            <w:gridSpan w:val="3"/>
            <w:shd w:val="clear" w:color="auto" w:fill="CCEEFF"/>
          </w:tcPr>
          <w:p>
            <w:pPr>
              <w:ind w:left="1340"/>
              <w:spacing w:after="0"/>
              <w:rPr>
                <w:sz w:val="20"/>
                <w:szCs w:val="20"/>
                <w:color w:val="auto"/>
              </w:rPr>
            </w:pPr>
            <w:r>
              <w:rPr>
                <w:rFonts w:ascii="Times New Roman" w:cs="Times New Roman" w:eastAsia="Times New Roman" w:hAnsi="Times New Roman"/>
                <w:sz w:val="17"/>
                <w:szCs w:val="17"/>
                <w:b w:val="1"/>
                <w:bCs w:val="1"/>
                <w:color w:val="auto"/>
              </w:rPr>
              <w:t>2017 MIP Performance Measures and Objectives</w:t>
            </w:r>
          </w:p>
        </w:tc>
        <w:tc>
          <w:tcPr>
            <w:tcW w:w="15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201"/>
        </w:trPr>
        <w:tc>
          <w:tcPr>
            <w:tcW w:w="24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Goals (as defined)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Dr. Müller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Mr. Jones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Mr. Bohrson</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Mr. Kampfer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Mr. von Fellenberg</w:t>
            </w:r>
          </w:p>
        </w:tc>
      </w:tr>
      <w:tr>
        <w:trPr>
          <w:trHeight w:val="181"/>
        </w:trPr>
        <w:tc>
          <w:tcPr>
            <w:tcW w:w="24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Sales (Target)</w:t>
            </w:r>
          </w:p>
        </w:tc>
        <w:tc>
          <w:tcPr>
            <w:tcW w:w="22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$301.6 million</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$301.6 million</w:t>
            </w:r>
          </w:p>
        </w:tc>
        <w:tc>
          <w:tcPr>
            <w:tcW w:w="15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Confidential</w:t>
            </w:r>
          </w:p>
        </w:tc>
        <w:tc>
          <w:tcPr>
            <w:tcW w:w="15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$301.6 million</w:t>
            </w:r>
          </w:p>
        </w:tc>
        <w:tc>
          <w:tcPr>
            <w:tcW w:w="18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Confidential</w:t>
            </w:r>
          </w:p>
        </w:tc>
      </w:tr>
      <w:tr>
        <w:trPr>
          <w:trHeight w:val="205"/>
        </w:trPr>
        <w:tc>
          <w:tcPr>
            <w:tcW w:w="2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Non-GAAP Operating Income</w:t>
            </w:r>
          </w:p>
        </w:tc>
        <w:tc>
          <w:tcPr>
            <w:tcW w:w="22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21"/>
        </w:trPr>
        <w:tc>
          <w:tcPr>
            <w:tcW w:w="24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(Target)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$32.7 million</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$32.7 million</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$32.7 million</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$32.7 million</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$32.7 million</w:t>
            </w:r>
          </w:p>
        </w:tc>
      </w:tr>
      <w:tr>
        <w:trPr>
          <w:trHeight w:val="181"/>
        </w:trPr>
        <w:tc>
          <w:tcPr>
            <w:tcW w:w="24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Personal Objective #1</w:t>
            </w:r>
          </w:p>
        </w:tc>
        <w:tc>
          <w:tcPr>
            <w:tcW w:w="22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Profitably grow with new</w:t>
            </w:r>
          </w:p>
        </w:tc>
        <w:tc>
          <w:tcPr>
            <w:tcW w:w="158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Implement new</w:t>
            </w:r>
          </w:p>
        </w:tc>
        <w:tc>
          <w:tcPr>
            <w:tcW w:w="15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Develop next</w:t>
            </w:r>
          </w:p>
        </w:tc>
        <w:tc>
          <w:tcPr>
            <w:tcW w:w="15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Execute corporate</w:t>
            </w:r>
          </w:p>
        </w:tc>
        <w:tc>
          <w:tcPr>
            <w:tcW w:w="1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Grow turret share at</w:t>
            </w:r>
          </w:p>
        </w:tc>
      </w:tr>
      <w:tr>
        <w:trPr>
          <w:trHeight w:val="205"/>
        </w:trPr>
        <w:tc>
          <w:tcPr>
            <w:tcW w:w="17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products aligned to end-</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systems to simplify</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generation pick &amp;</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development projects.</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existing and target new</w:t>
            </w:r>
          </w:p>
        </w:tc>
      </w:tr>
      <w:tr>
        <w:trPr>
          <w:trHeight w:val="221"/>
        </w:trPr>
        <w:tc>
          <w:tcPr>
            <w:tcW w:w="17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application markets.</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business</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place handler.</w:t>
            </w:r>
          </w:p>
        </w:tc>
        <w:tc>
          <w:tcPr>
            <w:tcW w:w="15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customers.</w:t>
            </w:r>
          </w:p>
        </w:tc>
      </w:tr>
      <w:tr>
        <w:trPr>
          <w:trHeight w:val="181"/>
        </w:trPr>
        <w:tc>
          <w:tcPr>
            <w:tcW w:w="24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Personal Objective #2</w:t>
            </w:r>
          </w:p>
        </w:tc>
        <w:tc>
          <w:tcPr>
            <w:tcW w:w="22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Execute operational</w:t>
            </w:r>
          </w:p>
        </w:tc>
        <w:tc>
          <w:tcPr>
            <w:tcW w:w="158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Optimize financial</w:t>
            </w:r>
          </w:p>
        </w:tc>
        <w:tc>
          <w:tcPr>
            <w:tcW w:w="15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Secure pick &amp; place</w:t>
            </w:r>
          </w:p>
        </w:tc>
        <w:tc>
          <w:tcPr>
            <w:tcW w:w="15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Harmonize global</w:t>
            </w:r>
          </w:p>
        </w:tc>
        <w:tc>
          <w:tcPr>
            <w:tcW w:w="1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Successfully introduce</w:t>
            </w:r>
          </w:p>
        </w:tc>
      </w:tr>
      <w:tr>
        <w:trPr>
          <w:trHeight w:val="205"/>
        </w:trPr>
        <w:tc>
          <w:tcPr>
            <w:tcW w:w="17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standardization and quality</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processes.</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at key and focus</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policies and optimize</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new WLCSP prober.</w:t>
            </w:r>
          </w:p>
        </w:tc>
      </w:tr>
      <w:tr>
        <w:trPr>
          <w:trHeight w:val="221"/>
        </w:trPr>
        <w:tc>
          <w:tcPr>
            <w:tcW w:w="17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excellence.</w:t>
            </w:r>
          </w:p>
        </w:tc>
        <w:tc>
          <w:tcPr>
            <w:tcW w:w="15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accounts.</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legal function.</w:t>
            </w:r>
          </w:p>
        </w:tc>
        <w:tc>
          <w:tcPr>
            <w:tcW w:w="1800" w:type="dxa"/>
            <w:vAlign w:val="bottom"/>
            <w:tcBorders>
              <w:bottom w:val="single" w:sz="8" w:color="auto"/>
              <w:right w:val="single" w:sz="8" w:color="auto"/>
            </w:tcBorders>
          </w:tcPr>
          <w:p>
            <w:pPr>
              <w:spacing w:after="0"/>
              <w:rPr>
                <w:sz w:val="19"/>
                <w:szCs w:val="19"/>
                <w:color w:val="auto"/>
              </w:rPr>
            </w:pPr>
          </w:p>
        </w:tc>
      </w:tr>
      <w:tr>
        <w:trPr>
          <w:trHeight w:val="181"/>
        </w:trPr>
        <w:tc>
          <w:tcPr>
            <w:tcW w:w="24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Personal Objective #3</w:t>
            </w:r>
          </w:p>
        </w:tc>
        <w:tc>
          <w:tcPr>
            <w:tcW w:w="22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Drive strategic corporate</w:t>
            </w:r>
          </w:p>
        </w:tc>
        <w:tc>
          <w:tcPr>
            <w:tcW w:w="15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Grow pick &amp; place</w:t>
            </w:r>
          </w:p>
        </w:tc>
        <w:tc>
          <w:tcPr>
            <w:tcW w:w="15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r>
      <w:tr>
        <w:trPr>
          <w:trHeight w:val="205"/>
        </w:trPr>
        <w:tc>
          <w:tcPr>
            <w:tcW w:w="17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development projects.</w:t>
            </w:r>
          </w:p>
        </w:tc>
        <w:tc>
          <w:tcPr>
            <w:tcW w:w="15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with new</w:t>
            </w:r>
          </w:p>
        </w:tc>
        <w:tc>
          <w:tcPr>
            <w:tcW w:w="15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05"/>
        </w:trPr>
        <w:tc>
          <w:tcPr>
            <w:tcW w:w="17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Eclipse</w:t>
            </w:r>
          </w:p>
        </w:tc>
        <w:tc>
          <w:tcPr>
            <w:tcW w:w="15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21"/>
        </w:trPr>
        <w:tc>
          <w:tcPr>
            <w:tcW w:w="17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configurations.</w:t>
            </w:r>
          </w:p>
        </w:tc>
        <w:tc>
          <w:tcPr>
            <w:tcW w:w="15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r>
      <w:tr>
        <w:trPr>
          <w:trHeight w:val="364"/>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Annual Bonus Decisions</w:t>
            </w: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14" w:lineRule="exact"/>
        <w:rPr>
          <w:sz w:val="20"/>
          <w:szCs w:val="20"/>
          <w:color w:val="auto"/>
        </w:rPr>
      </w:pPr>
    </w:p>
    <w:p>
      <w:pPr>
        <w:ind w:right="20" w:firstLine="307"/>
        <w:spacing w:after="0" w:line="267" w:lineRule="auto"/>
        <w:rPr>
          <w:sz w:val="20"/>
          <w:szCs w:val="20"/>
          <w:color w:val="auto"/>
        </w:rPr>
      </w:pPr>
      <w:r>
        <w:rPr>
          <w:rFonts w:ascii="Times New Roman" w:cs="Times New Roman" w:eastAsia="Times New Roman" w:hAnsi="Times New Roman"/>
          <w:sz w:val="17"/>
          <w:szCs w:val="17"/>
          <w:color w:val="auto"/>
        </w:rPr>
        <w:t>Following the end of 2017, the Compensation Committee compared our actual financial performance to the target performance levels established for the year, and applied the bonus formula under the 2017 MIP to this actual performance. In addition, the Compensation Committee determined that the NEOs had achieved a majority of their individual performance objectives for 2017.</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7"/>
          <w:szCs w:val="17"/>
          <w:color w:val="auto"/>
        </w:rPr>
        <w:t>Based on these determinations, the annual cash incentive bonuses paid to the NEOs for 2017 were as follows:</w:t>
      </w:r>
    </w:p>
    <w:p>
      <w:pPr>
        <w:spacing w:after="0" w:line="2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Actual Achievement of 2017 MIP Performance Measures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063105" cy="28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105" cy="281305"/>
                    </a:xfrm>
                    <a:prstGeom prst="rect">
                      <a:avLst/>
                    </a:prstGeom>
                    <a:noFill/>
                  </pic:spPr>
                </pic:pic>
              </a:graphicData>
            </a:graphic>
          </wp:anchor>
        </w:drawing>
      </w:r>
    </w:p>
    <w:p>
      <w:pPr>
        <w:spacing w:after="0" w:line="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defined)</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98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Dr. Müller</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Mr. Jones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Mr. Bohrson</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Mr. Kampfer</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Mr. von Fellenberg</w:t>
            </w:r>
          </w:p>
        </w:tc>
        <w:tc>
          <w:tcPr>
            <w:tcW w:w="0" w:type="dxa"/>
            <w:vAlign w:val="bottom"/>
          </w:tcPr>
          <w:p>
            <w:pPr>
              <w:spacing w:after="0"/>
              <w:rPr>
                <w:sz w:val="1"/>
                <w:szCs w:val="1"/>
                <w:color w:val="auto"/>
              </w:rPr>
            </w:pPr>
          </w:p>
        </w:tc>
      </w:tr>
      <w:tr>
        <w:trPr>
          <w:trHeight w:val="181"/>
        </w:trPr>
        <w:tc>
          <w:tcPr>
            <w:tcW w:w="29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Sales (Actual)</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$352.7 million</w:t>
            </w:r>
          </w:p>
        </w:tc>
        <w:tc>
          <w:tcPr>
            <w:tcW w:w="16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$352.7 million</w:t>
            </w:r>
          </w:p>
        </w:tc>
        <w:tc>
          <w:tcPr>
            <w:tcW w:w="16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Confidential</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$352.7 million</w:t>
            </w:r>
          </w:p>
        </w:tc>
        <w:tc>
          <w:tcPr>
            <w:tcW w:w="17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Confidential</w:t>
            </w:r>
          </w:p>
        </w:tc>
        <w:tc>
          <w:tcPr>
            <w:tcW w:w="0" w:type="dxa"/>
            <w:vAlign w:val="bottom"/>
          </w:tcPr>
          <w:p>
            <w:pPr>
              <w:spacing w:after="0"/>
              <w:rPr>
                <w:sz w:val="1"/>
                <w:szCs w:val="1"/>
                <w:color w:val="auto"/>
              </w:rPr>
            </w:pPr>
          </w:p>
        </w:tc>
      </w:tr>
      <w:tr>
        <w:trPr>
          <w:trHeight w:val="221"/>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Goal Payout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156%</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156%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181"/>
        </w:trPr>
        <w:tc>
          <w:tcPr>
            <w:tcW w:w="29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Non-GAAP Operating</w:t>
            </w:r>
          </w:p>
        </w:tc>
        <w:tc>
          <w:tcPr>
            <w:tcW w:w="15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(Actual)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$50.9 million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$50.9 million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$50.9 million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$50.9 million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$50.9 million</w:t>
            </w:r>
          </w:p>
        </w:tc>
        <w:tc>
          <w:tcPr>
            <w:tcW w:w="0" w:type="dxa"/>
            <w:vAlign w:val="bottom"/>
          </w:tcPr>
          <w:p>
            <w:pPr>
              <w:spacing w:after="0"/>
              <w:rPr>
                <w:sz w:val="1"/>
                <w:szCs w:val="1"/>
                <w:color w:val="auto"/>
              </w:rPr>
            </w:pPr>
          </w:p>
        </w:tc>
      </w:tr>
      <w:tr>
        <w:trPr>
          <w:trHeight w:val="221"/>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Goal Payout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181"/>
        </w:trPr>
        <w:tc>
          <w:tcPr>
            <w:tcW w:w="29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Personal Goal #1</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81%</w:t>
            </w:r>
          </w:p>
        </w:tc>
        <w:tc>
          <w:tcPr>
            <w:tcW w:w="16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6"/>
              </w:rPr>
              <w:t>75%</w:t>
            </w:r>
          </w:p>
        </w:tc>
        <w:tc>
          <w:tcPr>
            <w:tcW w:w="16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90%</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95%</w:t>
            </w:r>
          </w:p>
        </w:tc>
        <w:tc>
          <w:tcPr>
            <w:tcW w:w="17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Personal Goal #2</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1"/>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Personal Goal #3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16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90%</w:t>
            </w:r>
          </w:p>
        </w:tc>
        <w:tc>
          <w:tcPr>
            <w:tcW w:w="15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Personal Goal Achievement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89%</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198"/>
        </w:trPr>
        <w:tc>
          <w:tcPr>
            <w:tcW w:w="2980" w:type="dxa"/>
            <w:vAlign w:val="bottom"/>
            <w:tcBorders>
              <w:left w:val="single" w:sz="8" w:color="CCEEFF"/>
              <w:bottom w:val="single" w:sz="8" w:color="auto"/>
              <w:right w:val="single" w:sz="8" w:color="CCEEFF"/>
            </w:tcBorders>
            <w:shd w:val="clear" w:color="auto" w:fill="CCEEFF"/>
          </w:tcPr>
          <w:p>
            <w:pPr>
              <w:spacing w:after="0"/>
              <w:rPr>
                <w:sz w:val="17"/>
                <w:szCs w:val="17"/>
                <w:color w:val="auto"/>
              </w:rPr>
            </w:pPr>
          </w:p>
        </w:tc>
        <w:tc>
          <w:tcPr>
            <w:tcW w:w="4860" w:type="dxa"/>
            <w:vAlign w:val="bottom"/>
            <w:tcBorders>
              <w:bottom w:val="single" w:sz="8" w:color="auto"/>
              <w:right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Actual Amount of Fiscal 2017 Annual Cash Incentive Bonuses</w:t>
            </w:r>
          </w:p>
        </w:tc>
        <w:tc>
          <w:tcPr>
            <w:tcW w:w="1580" w:type="dxa"/>
            <w:vAlign w:val="bottom"/>
            <w:tcBorders>
              <w:bottom w:val="single" w:sz="8" w:color="auto"/>
              <w:right w:val="single" w:sz="8" w:color="CCEEFF"/>
            </w:tcBorders>
            <w:shd w:val="clear" w:color="auto" w:fill="CCEEFF"/>
          </w:tcPr>
          <w:p>
            <w:pPr>
              <w:spacing w:after="0"/>
              <w:rPr>
                <w:sz w:val="17"/>
                <w:szCs w:val="17"/>
                <w:color w:val="auto"/>
              </w:rPr>
            </w:pPr>
          </w:p>
        </w:tc>
        <w:tc>
          <w:tcPr>
            <w:tcW w:w="1700" w:type="dxa"/>
            <w:vAlign w:val="bottom"/>
            <w:tcBorders>
              <w:bottom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Annual Cash Incentive</w:t>
            </w:r>
          </w:p>
        </w:tc>
        <w:tc>
          <w:tcPr>
            <w:tcW w:w="15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 xml:space="preserve">$114,803 </w:t>
            </w:r>
            <w:r>
              <w:rPr>
                <w:rFonts w:ascii="Times New Roman" w:cs="Times New Roman" w:eastAsia="Times New Roman" w:hAnsi="Times New Roman"/>
                <w:sz w:val="28"/>
                <w:szCs w:val="28"/>
                <w:color w:val="auto"/>
                <w:w w:val="93"/>
                <w:vertAlign w:val="superscript"/>
              </w:rPr>
              <w:t>(1)</w:t>
            </w: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Bonus Payment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$794,361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$292,884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$190,171</w:t>
            </w:r>
          </w:p>
        </w:tc>
        <w:tc>
          <w:tcPr>
            <w:tcW w:w="158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$188,849</w:t>
            </w: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of target annual cash</w:t>
            </w: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incentive bonus opportunity</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148%</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148%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138%</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Bonus payment was pro-rated based on start date of May 30, 2017.</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annual cash incentive bonuses paid to the NEOs for 2017 are set forth in the “2017 Summary Compensation Table” below.</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Long-Term Incentive Compensation</w:t>
      </w:r>
    </w:p>
    <w:p>
      <w:pPr>
        <w:spacing w:after="0" w:line="218" w:lineRule="exact"/>
        <w:rPr>
          <w:sz w:val="20"/>
          <w:szCs w:val="20"/>
          <w:color w:val="auto"/>
        </w:rPr>
      </w:pPr>
    </w:p>
    <w:p>
      <w:pPr>
        <w:ind w:right="20" w:firstLine="307"/>
        <w:spacing w:after="0" w:line="259" w:lineRule="auto"/>
        <w:rPr>
          <w:sz w:val="20"/>
          <w:szCs w:val="20"/>
          <w:color w:val="auto"/>
        </w:rPr>
      </w:pPr>
      <w:r>
        <w:rPr>
          <w:rFonts w:ascii="Times New Roman" w:cs="Times New Roman" w:eastAsia="Times New Roman" w:hAnsi="Times New Roman"/>
          <w:sz w:val="17"/>
          <w:szCs w:val="17"/>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75" w:lineRule="exact"/>
        <w:rPr>
          <w:sz w:val="20"/>
          <w:szCs w:val="20"/>
          <w:color w:val="auto"/>
        </w:rPr>
      </w:pPr>
    </w:p>
    <w:p>
      <w:pPr>
        <w:ind w:right="140" w:firstLine="307"/>
        <w:spacing w:after="0" w:line="258" w:lineRule="auto"/>
        <w:rPr>
          <w:sz w:val="20"/>
          <w:szCs w:val="20"/>
          <w:color w:val="auto"/>
        </w:rPr>
      </w:pPr>
      <w:r>
        <w:rPr>
          <w:rFonts w:ascii="Times New Roman" w:cs="Times New Roman" w:eastAsia="Times New Roman" w:hAnsi="Times New Roman"/>
          <w:sz w:val="17"/>
          <w:szCs w:val="17"/>
          <w:color w:val="auto"/>
        </w:rPr>
        <w:t>In 2012, based in part upon a review of competitive market practices and the recommendation of its compensation consultant, the Compensation Committee determined that it was in the best interests of our stockholders to add a performance-based component to our long-term incentive compensation program and introduced the grant of PSU awards beginning in 2013. The Compensation Committee believes that the combination of time-based and performance-based stock unit awards provides an appropriate balance between awards of high incentive value (in the form of PSU awards which are earned only if pre-established corporate performance objectives and additional service requirements are met) and awards that provide high retention value (in the form of time-based RSU awards with continued service requirements).</w:t>
      </w:r>
    </w:p>
    <w:p>
      <w:pPr>
        <w:spacing w:after="0" w:line="173" w:lineRule="exact"/>
        <w:rPr>
          <w:sz w:val="20"/>
          <w:szCs w:val="20"/>
          <w:color w:val="auto"/>
        </w:rPr>
      </w:pPr>
    </w:p>
    <w:p>
      <w:pPr>
        <w:ind w:right="100" w:firstLine="307"/>
        <w:spacing w:after="0" w:line="262" w:lineRule="auto"/>
        <w:rPr>
          <w:sz w:val="20"/>
          <w:szCs w:val="20"/>
          <w:color w:val="auto"/>
        </w:rPr>
      </w:pPr>
      <w:r>
        <w:rPr>
          <w:rFonts w:ascii="Times New Roman" w:cs="Times New Roman" w:eastAsia="Times New Roman" w:hAnsi="Times New Roman"/>
          <w:sz w:val="17"/>
          <w:szCs w:val="17"/>
          <w:color w:val="auto"/>
        </w:rPr>
        <w:t>In 2013, based in part upon a review of competitive market practices and the recommendation of its compensation consultant, the Compensation Committee determined that it was in the best interests of our stockholders to discontinue the use of stock options as part of our long-term incentive compensation program. RSU and PSU awards are typically a more efficient vehicle with respect to the use of our equity plan’s share reserve because fewer shares of our common stock are needed to achieve our incentive and retention goals than using a stock option award.</w:t>
      </w:r>
    </w:p>
    <w:p>
      <w:pPr>
        <w:spacing w:after="0" w:line="171" w:lineRule="exact"/>
        <w:rPr>
          <w:sz w:val="20"/>
          <w:szCs w:val="20"/>
          <w:color w:val="auto"/>
        </w:rPr>
      </w:pPr>
    </w:p>
    <w:p>
      <w:pPr>
        <w:ind w:firstLine="307"/>
        <w:spacing w:after="0" w:line="258" w:lineRule="auto"/>
        <w:rPr>
          <w:sz w:val="20"/>
          <w:szCs w:val="20"/>
          <w:color w:val="auto"/>
        </w:rPr>
      </w:pPr>
      <w:r>
        <w:rPr>
          <w:rFonts w:ascii="Times New Roman" w:cs="Times New Roman" w:eastAsia="Times New Roman" w:hAnsi="Times New Roman"/>
          <w:sz w:val="17"/>
          <w:szCs w:val="17"/>
          <w:color w:val="auto"/>
        </w:rPr>
        <w:t>Generally, in determining the size of the equity awards granted to our executive officers, including the NEOs, the Compensation Committee takes into consideration the recommendations of our CEO (except with respect to his own equity awards), competitive market data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or a combination thereof.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1" w:name="page32"/>
    <w:bookmarkEnd w:id="31"/>
    <w:p>
      <w:pPr>
        <w:ind w:right="60" w:firstLine="307"/>
        <w:spacing w:after="0" w:line="262" w:lineRule="auto"/>
        <w:rPr>
          <w:sz w:val="20"/>
          <w:szCs w:val="20"/>
          <w:color w:val="auto"/>
        </w:rPr>
      </w:pPr>
      <w:r>
        <w:rPr>
          <w:rFonts w:ascii="Times New Roman" w:cs="Times New Roman" w:eastAsia="Times New Roman" w:hAnsi="Times New Roman"/>
          <w:sz w:val="17"/>
          <w:szCs w:val="17"/>
          <w:color w:val="auto"/>
        </w:rPr>
        <w:t>On March 22, 2017, the Compensation Committee, based on the factors described above, approved the grant of RSU awards and PSU awards to our executive officers, including the NEOs. The Compensation Committee also determined that, to balance the retention value of the RSU awards with the performance focus of the PSU awards, the total dollar value of the equity awards should be equally weighted between RSU awards and PSU awards. The equity awards granted to the NEOs in 2017, excluding Mr. Kampfer’s equity award grants discussed above, were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20" w:type="dxa"/>
            <w:vAlign w:val="bottom"/>
          </w:tcPr>
          <w:p>
            <w:pPr>
              <w:spacing w:after="0"/>
              <w:rPr>
                <w:sz w:val="17"/>
                <w:szCs w:val="17"/>
                <w:color w:val="auto"/>
              </w:rPr>
            </w:pPr>
          </w:p>
        </w:tc>
        <w:tc>
          <w:tcPr>
            <w:tcW w:w="16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05"/>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Restricted</w:t>
            </w:r>
          </w:p>
        </w:tc>
        <w:tc>
          <w:tcPr>
            <w:tcW w:w="220" w:type="dxa"/>
            <w:vAlign w:val="bottom"/>
          </w:tcPr>
          <w:p>
            <w:pPr>
              <w:spacing w:after="0"/>
              <w:rPr>
                <w:sz w:val="17"/>
                <w:szCs w:val="17"/>
                <w:color w:val="auto"/>
              </w:rPr>
            </w:pPr>
          </w:p>
        </w:tc>
        <w:tc>
          <w:tcPr>
            <w:tcW w:w="16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Performance</w:t>
            </w: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220" w:type="dxa"/>
            <w:vAlign w:val="bottom"/>
          </w:tcPr>
          <w:p>
            <w:pPr>
              <w:spacing w:after="0"/>
              <w:rPr>
                <w:sz w:val="18"/>
                <w:szCs w:val="18"/>
                <w:color w:val="auto"/>
              </w:rPr>
            </w:pPr>
          </w:p>
        </w:tc>
        <w:tc>
          <w:tcPr>
            <w:tcW w:w="16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Stock Units</w:t>
            </w:r>
          </w:p>
        </w:tc>
      </w:tr>
      <w:tr>
        <w:trPr>
          <w:trHeight w:val="260"/>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220" w:type="dxa"/>
            <w:vAlign w:val="bottom"/>
          </w:tcPr>
          <w:p>
            <w:pPr>
              <w:spacing w:after="0"/>
              <w:rPr>
                <w:sz w:val="22"/>
                <w:szCs w:val="22"/>
                <w:color w:val="auto"/>
              </w:rPr>
            </w:pPr>
          </w:p>
        </w:tc>
        <w:tc>
          <w:tcPr>
            <w:tcW w:w="1600" w:type="dxa"/>
            <w:vAlign w:val="bottom"/>
          </w:tcPr>
          <w:p>
            <w:pPr>
              <w:jc w:val="center"/>
              <w:ind w:right="15"/>
              <w:spacing w:after="0" w:line="259" w:lineRule="exact"/>
              <w:rPr>
                <w:sz w:val="20"/>
                <w:szCs w:val="20"/>
                <w:color w:val="auto"/>
              </w:rPr>
            </w:pPr>
            <w:r>
              <w:rPr>
                <w:rFonts w:ascii="Times New Roman" w:cs="Times New Roman" w:eastAsia="Times New Roman" w:hAnsi="Times New Roman"/>
                <w:sz w:val="17"/>
                <w:szCs w:val="17"/>
                <w:b w:val="1"/>
                <w:bCs w:val="1"/>
                <w:color w:val="auto"/>
                <w:w w:val="93"/>
              </w:rPr>
              <w:t xml:space="preserve">Granted </w:t>
            </w:r>
            <w:r>
              <w:rPr>
                <w:rFonts w:ascii="Times New Roman" w:cs="Times New Roman" w:eastAsia="Times New Roman" w:hAnsi="Times New Roman"/>
                <w:sz w:val="28"/>
                <w:szCs w:val="28"/>
                <w:b w:val="1"/>
                <w:bCs w:val="1"/>
                <w:color w:val="auto"/>
                <w:w w:val="93"/>
                <w:vertAlign w:val="superscript"/>
              </w:rPr>
              <w:t>(1)</w:t>
            </w:r>
          </w:p>
        </w:tc>
      </w:tr>
      <w:tr>
        <w:trPr>
          <w:trHeight w:val="198"/>
        </w:trPr>
        <w:tc>
          <w:tcPr>
            <w:tcW w:w="20" w:type="dxa"/>
            <w:vAlign w:val="bottom"/>
          </w:tcPr>
          <w:p>
            <w:pPr>
              <w:spacing w:after="0"/>
              <w:rPr>
                <w:sz w:val="17"/>
                <w:szCs w:val="17"/>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2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37,492</w:t>
            </w:r>
          </w:p>
        </w:tc>
        <w:tc>
          <w:tcPr>
            <w:tcW w:w="22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37,492</w:t>
            </w:r>
          </w:p>
        </w:tc>
      </w:tr>
      <w:tr>
        <w:trPr>
          <w:trHeight w:val="205"/>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16,196</w:t>
            </w:r>
          </w:p>
        </w:tc>
        <w:tc>
          <w:tcPr>
            <w:tcW w:w="18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16,196</w:t>
            </w:r>
          </w:p>
        </w:tc>
      </w:tr>
      <w:tr>
        <w:trPr>
          <w:trHeight w:val="205"/>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8,998</w:t>
            </w:r>
          </w:p>
        </w:tc>
        <w:tc>
          <w:tcPr>
            <w:tcW w:w="18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8,998</w:t>
            </w:r>
          </w:p>
        </w:tc>
      </w:tr>
      <w:tr>
        <w:trPr>
          <w:trHeight w:val="218"/>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8,998</w:t>
            </w:r>
          </w:p>
        </w:tc>
        <w:tc>
          <w:tcPr>
            <w:tcW w:w="18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8,998</w:t>
            </w:r>
          </w:p>
        </w:tc>
      </w:tr>
      <w:tr>
        <w:trPr>
          <w:trHeight w:val="215"/>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 PSUs granted at the target award level.</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Restricted Stock Unit Awards</w:t>
      </w:r>
    </w:p>
    <w:p>
      <w:pPr>
        <w:spacing w:after="0" w:line="218" w:lineRule="exact"/>
        <w:rPr>
          <w:sz w:val="20"/>
          <w:szCs w:val="20"/>
          <w:color w:val="auto"/>
        </w:rPr>
      </w:pPr>
    </w:p>
    <w:p>
      <w:pPr>
        <w:jc w:val="both"/>
        <w:ind w:right="100" w:firstLine="307"/>
        <w:spacing w:after="0" w:line="284" w:lineRule="auto"/>
        <w:rPr>
          <w:sz w:val="20"/>
          <w:szCs w:val="20"/>
          <w:color w:val="auto"/>
        </w:rPr>
      </w:pPr>
      <w:r>
        <w:rPr>
          <w:rFonts w:ascii="Times New Roman" w:cs="Times New Roman" w:eastAsia="Times New Roman" w:hAnsi="Times New Roman"/>
          <w:sz w:val="17"/>
          <w:szCs w:val="17"/>
          <w:color w:val="auto"/>
        </w:rPr>
        <w:t>Consistent with our other employee equity awards, the RSU awards granted to our executive officers in 2017 vest at the rate of 25% of the shares of our common stock subject to the awards per year.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Performance Stock Unit Awards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2017 PSU Awards</w:t>
      </w:r>
    </w:p>
    <w:p>
      <w:pPr>
        <w:spacing w:after="0" w:line="214" w:lineRule="exact"/>
        <w:rPr>
          <w:sz w:val="20"/>
          <w:szCs w:val="20"/>
          <w:color w:val="auto"/>
        </w:rPr>
      </w:pPr>
    </w:p>
    <w:p>
      <w:pPr>
        <w:ind w:right="220" w:firstLine="307"/>
        <w:spacing w:after="0" w:line="262" w:lineRule="auto"/>
        <w:rPr>
          <w:sz w:val="20"/>
          <w:szCs w:val="20"/>
          <w:color w:val="auto"/>
        </w:rPr>
      </w:pPr>
      <w:r>
        <w:rPr>
          <w:rFonts w:ascii="Times New Roman" w:cs="Times New Roman" w:eastAsia="Times New Roman" w:hAnsi="Times New Roman"/>
          <w:sz w:val="17"/>
          <w:szCs w:val="17"/>
          <w:color w:val="auto"/>
        </w:rPr>
        <w:t>The PSU awards granted to our executive officers in March 2017, and to Mr. Kampfer in May 2017, will be earned based on our TSR as compared to a pre-established comparator group measured over a three-year performance period beginning on the first day of 2017, with earned shares vesting fully at the end of three years from the date of grant. The performance period for the 2017 PSU Awards was set at three years (rather than the two-year performance period used in the 2015 PSU awards) to enhance the long-term focus of the program.</w:t>
      </w:r>
    </w:p>
    <w:p>
      <w:pPr>
        <w:spacing w:after="0" w:line="171" w:lineRule="exact"/>
        <w:rPr>
          <w:sz w:val="20"/>
          <w:szCs w:val="20"/>
          <w:color w:val="auto"/>
        </w:rPr>
      </w:pPr>
    </w:p>
    <w:p>
      <w:pPr>
        <w:ind w:right="200" w:firstLine="307"/>
        <w:spacing w:after="0" w:line="284" w:lineRule="auto"/>
        <w:rPr>
          <w:sz w:val="20"/>
          <w:szCs w:val="20"/>
          <w:color w:val="auto"/>
        </w:rPr>
      </w:pPr>
      <w:r>
        <w:rPr>
          <w:rFonts w:ascii="Times New Roman" w:cs="Times New Roman" w:eastAsia="Times New Roman" w:hAnsi="Times New Roman"/>
          <w:sz w:val="17"/>
          <w:szCs w:val="17"/>
          <w:color w:val="auto"/>
        </w:rPr>
        <w:t>The number of shares of our common stock that may be earned under the 2017 PSU Awards range from a minimum award level of 25% of the target number of shares subject to the awards, up to a maximum of 200% of the target number of shares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TSR Ranking Relative to Comparator Group</w:t>
            </w:r>
          </w:p>
        </w:tc>
        <w:tc>
          <w:tcPr>
            <w:tcW w:w="534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Percentage of Target Number of Shares Earned</w:t>
            </w:r>
          </w:p>
        </w:tc>
      </w:tr>
      <w:tr>
        <w:trPr>
          <w:trHeight w:val="220"/>
        </w:trPr>
        <w:tc>
          <w:tcPr>
            <w:tcW w:w="5520" w:type="dxa"/>
            <w:vAlign w:val="bottom"/>
            <w:tcBorders>
              <w:top w:val="single" w:sz="8" w:color="auto"/>
              <w:left w:val="single" w:sz="8" w:color="auto"/>
              <w:bottom w:val="single" w:sz="8" w:color="auto"/>
              <w:right w:val="single" w:sz="8" w:color="auto"/>
            </w:tcBorders>
            <w:shd w:val="clear" w:color="auto" w:fill="CCEEFF"/>
          </w:tcPr>
          <w:p>
            <w:pPr>
              <w:jc w:val="center"/>
              <w:spacing w:after="0" w:line="220" w:lineRule="exact"/>
              <w:rPr>
                <w:sz w:val="20"/>
                <w:szCs w:val="20"/>
                <w:color w:val="auto"/>
              </w:rPr>
            </w:pPr>
            <w:r>
              <w:rPr>
                <w:rFonts w:ascii="Times New Roman" w:cs="Times New Roman" w:eastAsia="Times New Roman" w:hAnsi="Times New Roman"/>
                <w:sz w:val="16"/>
                <w:szCs w:val="16"/>
                <w:color w:val="auto"/>
              </w:rPr>
              <w:t>Below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w:t>
            </w:r>
          </w:p>
        </w:tc>
        <w:tc>
          <w:tcPr>
            <w:tcW w:w="534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36"/>
        </w:trPr>
        <w:tc>
          <w:tcPr>
            <w:tcW w:w="552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w w:val="98"/>
              </w:rPr>
              <w:t>25</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17"/>
                <w:szCs w:val="17"/>
                <w:color w:val="auto"/>
                <w:w w:val="98"/>
              </w:rPr>
              <w:t xml:space="preserve"> Percentile</w:t>
            </w:r>
          </w:p>
        </w:tc>
        <w:tc>
          <w:tcPr>
            <w:tcW w:w="5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r>
      <w:tr>
        <w:trPr>
          <w:trHeight w:val="236"/>
        </w:trPr>
        <w:tc>
          <w:tcPr>
            <w:tcW w:w="5520" w:type="dxa"/>
            <w:vAlign w:val="bottom"/>
            <w:tcBorders>
              <w:left w:val="single" w:sz="8" w:color="auto"/>
              <w:bottom w:val="single" w:sz="8" w:color="auto"/>
              <w:right w:val="single" w:sz="8" w:color="auto"/>
            </w:tcBorders>
            <w:shd w:val="clear" w:color="auto" w:fill="CCEEFF"/>
          </w:tcPr>
          <w:p>
            <w:pPr>
              <w:jc w:val="center"/>
              <w:spacing w:after="0" w:line="236" w:lineRule="exact"/>
              <w:rPr>
                <w:sz w:val="20"/>
                <w:szCs w:val="20"/>
                <w:color w:val="auto"/>
              </w:rPr>
            </w:pPr>
            <w:r>
              <w:rPr>
                <w:rFonts w:ascii="Times New Roman" w:cs="Times New Roman" w:eastAsia="Times New Roman" w:hAnsi="Times New Roman"/>
                <w:sz w:val="17"/>
                <w:szCs w:val="17"/>
                <w:color w:val="auto"/>
                <w:w w:val="98"/>
              </w:rPr>
              <w:t>57</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17"/>
                <w:szCs w:val="17"/>
                <w:color w:val="auto"/>
                <w:w w:val="98"/>
              </w:rPr>
              <w:t xml:space="preserve"> Percentile</w:t>
            </w:r>
          </w:p>
        </w:tc>
        <w:tc>
          <w:tcPr>
            <w:tcW w:w="5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36"/>
        </w:trPr>
        <w:tc>
          <w:tcPr>
            <w:tcW w:w="552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w w:val="98"/>
              </w:rPr>
              <w:t>100</w:t>
            </w:r>
            <w:r>
              <w:rPr>
                <w:rFonts w:ascii="Times New Roman" w:cs="Times New Roman" w:eastAsia="Times New Roman" w:hAnsi="Times New Roman"/>
                <w:sz w:val="27"/>
                <w:szCs w:val="27"/>
                <w:color w:val="auto"/>
                <w:w w:val="98"/>
                <w:vertAlign w:val="superscript"/>
              </w:rPr>
              <w:t>th</w:t>
            </w:r>
            <w:r>
              <w:rPr>
                <w:rFonts w:ascii="Times New Roman" w:cs="Times New Roman" w:eastAsia="Times New Roman" w:hAnsi="Times New Roman"/>
                <w:sz w:val="17"/>
                <w:szCs w:val="17"/>
                <w:color w:val="auto"/>
                <w:w w:val="98"/>
              </w:rPr>
              <w:t xml:space="preserve"> Percentile</w:t>
            </w:r>
          </w:p>
        </w:tc>
        <w:tc>
          <w:tcPr>
            <w:tcW w:w="5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r>
    </w:tbl>
    <w:p>
      <w:pPr>
        <w:spacing w:after="0" w:line="188" w:lineRule="exact"/>
        <w:rPr>
          <w:sz w:val="20"/>
          <w:szCs w:val="20"/>
          <w:color w:val="auto"/>
        </w:rPr>
      </w:pPr>
    </w:p>
    <w:p>
      <w:pPr>
        <w:ind w:right="460" w:firstLine="307"/>
        <w:spacing w:after="0" w:line="267" w:lineRule="auto"/>
        <w:rPr>
          <w:sz w:val="20"/>
          <w:szCs w:val="20"/>
          <w:color w:val="auto"/>
        </w:rPr>
      </w:pPr>
      <w:r>
        <w:rPr>
          <w:rFonts w:ascii="Times New Roman" w:cs="Times New Roman" w:eastAsia="Times New Roman" w:hAnsi="Times New Roman"/>
          <w:sz w:val="17"/>
          <w:szCs w:val="17"/>
          <w:color w:val="auto"/>
        </w:rPr>
        <w:t>For performance between the percentile rankings listed above, the 2017 PSU Awards operate on a linear basis with an additional 7% of the target number of shares earned for each 3% increase in our TSR performance above the threshold performance level of 25%. TSR performance is calculated by an outside firm, Research Data Group,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7"/>
          <w:szCs w:val="17"/>
          <w:color w:val="auto"/>
        </w:rPr>
        <w:t>The following graph illustrates how the number of shares of common stock subject to the 2017 PSU awards that are earned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146685</wp:posOffset>
            </wp:positionV>
            <wp:extent cx="3903345" cy="2854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033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firstLine="307"/>
        <w:spacing w:after="0" w:line="284" w:lineRule="auto"/>
        <w:rPr>
          <w:sz w:val="20"/>
          <w:szCs w:val="20"/>
          <w:color w:val="auto"/>
        </w:rPr>
      </w:pPr>
      <w:r>
        <w:rPr>
          <w:rFonts w:ascii="Times New Roman" w:cs="Times New Roman" w:eastAsia="Times New Roman" w:hAnsi="Times New Roman"/>
          <w:sz w:val="17"/>
          <w:szCs w:val="17"/>
          <w:color w:val="auto"/>
        </w:rPr>
        <w:t>For purposes of the 2017 PSU awards, the comparator group as of March 2017 consisted of the following companies that the Compensation Committee believes represent competition for our stockholders’ investments. Ultratech was acquired in May 2017 and was removed from the comparator group at that point.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Advanced Energy Industries</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Camtek</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Photronics</w:t>
            </w:r>
          </w:p>
        </w:tc>
      </w:t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Advantest</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Electro Scientific Industries</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Rudolph Technologies</w:t>
            </w:r>
          </w:p>
        </w:tc>
      </w:t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ASM Pacific</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FormFactor</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Teradyne</w:t>
            </w:r>
          </w:p>
        </w:tc>
      </w:t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Axcelis Technologies</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Kulicke &amp; Soffa</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Ultra Clean Holdings</w:t>
            </w:r>
          </w:p>
        </w:tc>
      </w:t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Besi</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Micronics</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Ultratech</w:t>
            </w:r>
          </w:p>
        </w:tc>
      </w:tr>
      <w:tr>
        <w:trPr>
          <w:trHeight w:val="20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Brooks Automation</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MKS Instruments</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Veeco</w:t>
            </w:r>
          </w:p>
        </w:tc>
      </w:tr>
      <w:tr>
        <w:trPr>
          <w:trHeight w:val="222"/>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Cabot Microelectronics</w:t>
            </w:r>
          </w:p>
        </w:tc>
        <w:tc>
          <w:tcPr>
            <w:tcW w:w="33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Nanometrics</w:t>
            </w:r>
          </w:p>
        </w:tc>
        <w:tc>
          <w:tcPr>
            <w:tcW w:w="2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Xcerra</w:t>
            </w:r>
          </w:p>
        </w:tc>
      </w:tr>
    </w:tbl>
    <w:p>
      <w:pPr>
        <w:spacing w:after="0" w:line="188" w:lineRule="exact"/>
        <w:rPr>
          <w:sz w:val="20"/>
          <w:szCs w:val="20"/>
          <w:color w:val="auto"/>
        </w:rPr>
      </w:pPr>
    </w:p>
    <w:p>
      <w:pPr>
        <w:ind w:right="280" w:firstLine="307"/>
        <w:spacing w:after="0" w:line="284" w:lineRule="auto"/>
        <w:rPr>
          <w:sz w:val="20"/>
          <w:szCs w:val="20"/>
          <w:color w:val="auto"/>
        </w:rPr>
      </w:pPr>
      <w:r>
        <w:rPr>
          <w:rFonts w:ascii="Times New Roman" w:cs="Times New Roman" w:eastAsia="Times New Roman" w:hAnsi="Times New Roman"/>
          <w:sz w:val="17"/>
          <w:szCs w:val="17"/>
          <w:color w:val="auto"/>
        </w:rPr>
        <w:t>The equity awards granted to the NEOs in 2017 are set forth in the “2017 Summary Compensation Table” and the “2017 Grants of Plan-Based Awards Table”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Compensation Benefits and 401(k) Plan</w:t>
      </w:r>
    </w:p>
    <w:p>
      <w:pPr>
        <w:spacing w:after="0" w:line="218" w:lineRule="exact"/>
        <w:rPr>
          <w:sz w:val="20"/>
          <w:szCs w:val="20"/>
          <w:color w:val="auto"/>
        </w:rPr>
      </w:pPr>
    </w:p>
    <w:p>
      <w:pPr>
        <w:ind w:right="300" w:firstLine="307"/>
        <w:spacing w:after="0" w:line="262" w:lineRule="auto"/>
        <w:rPr>
          <w:sz w:val="20"/>
          <w:szCs w:val="20"/>
          <w:color w:val="auto"/>
        </w:rPr>
      </w:pPr>
      <w:r>
        <w:rPr>
          <w:rFonts w:ascii="Times New Roman" w:cs="Times New Roman" w:eastAsia="Times New Roman" w:hAnsi="Times New Roman"/>
          <w:sz w:val="17"/>
          <w:szCs w:val="17"/>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bonus payment, thereby allowing them to defer taxation on such amounts.</w:t>
      </w:r>
    </w:p>
    <w:p>
      <w:pPr>
        <w:spacing w:after="0" w:line="171"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We may match participant contributions to the Deferred Compensation Plan up to 4% of the participant’s annual base salary in excess of the specified annual compensation limit allowed under the Code for contributions under the Section 401(k) plan. The annual limit, which is indexed, was $270,000 for 2017. Our matching contributions and any deemed investment earnings attributable to these contributions will be 100% vested when the participant has two years of service with us. Prior to that time, such amounts are unvested. Participant contributions and deemed investment earnings are 100% vested at all times. We have not matched any participant contributions to the Deferred Compensation Plan since 2008.</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on the Deferred Compensation Plan, see “2017 Nonqualified Deferred Compensation” below.</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763" w:right="279" w:bottom="1440" w:gutter="0" w:footer="0" w:header="0"/>
        </w:sectPr>
      </w:pPr>
    </w:p>
    <w:bookmarkStart w:id="33" w:name="page34"/>
    <w:bookmarkEnd w:id="33"/>
    <w:p>
      <w:pPr>
        <w:ind w:right="60" w:firstLine="307"/>
        <w:spacing w:after="0" w:line="257" w:lineRule="auto"/>
        <w:rPr>
          <w:sz w:val="20"/>
          <w:szCs w:val="20"/>
          <w:color w:val="auto"/>
        </w:rPr>
      </w:pPr>
      <w:r>
        <w:rPr>
          <w:rFonts w:ascii="Times New Roman" w:cs="Times New Roman" w:eastAsia="Times New Roman" w:hAnsi="Times New Roman"/>
          <w:sz w:val="17"/>
          <w:szCs w:val="17"/>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2017 are vested 10% after one year of participation, another 20% after two years, another 20% after three years, and an additional 50% after four years and our matching contribution was at the rate of 50% of the first 6% of employee pre-tax contributions to the plan. Generally, during 2017 the maximum annual amount that any participant could contribute to the 401(k) Plan was $18,000 unless aged 50 or more which allows participants to make an additional $6,000 in “catch-up” contributions and our maximum matching contribution was $8,100.</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Welfare and Health Benefits</w:t>
      </w:r>
    </w:p>
    <w:p>
      <w:pPr>
        <w:spacing w:after="0" w:line="218" w:lineRule="exact"/>
        <w:rPr>
          <w:sz w:val="20"/>
          <w:szCs w:val="20"/>
          <w:color w:val="auto"/>
        </w:rPr>
      </w:pPr>
    </w:p>
    <w:p>
      <w:pPr>
        <w:ind w:right="80" w:firstLine="307"/>
        <w:spacing w:after="0" w:line="262" w:lineRule="auto"/>
        <w:rPr>
          <w:sz w:val="20"/>
          <w:szCs w:val="20"/>
          <w:color w:val="auto"/>
        </w:rPr>
      </w:pPr>
      <w:r>
        <w:rPr>
          <w:rFonts w:ascii="Times New Roman" w:cs="Times New Roman" w:eastAsia="Times New Roman" w:hAnsi="Times New Roman"/>
          <w:sz w:val="17"/>
          <w:szCs w:val="17"/>
          <w:color w:val="auto"/>
        </w:rPr>
        <w:t>In 2017, our executive officers, including the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71" w:lineRule="exact"/>
        <w:rPr>
          <w:sz w:val="20"/>
          <w:szCs w:val="20"/>
          <w:color w:val="auto"/>
        </w:rPr>
      </w:pPr>
    </w:p>
    <w:p>
      <w:pPr>
        <w:ind w:right="260" w:firstLine="307"/>
        <w:spacing w:after="0" w:line="267" w:lineRule="auto"/>
        <w:rPr>
          <w:sz w:val="20"/>
          <w:szCs w:val="20"/>
          <w:color w:val="auto"/>
        </w:rPr>
      </w:pPr>
      <w:r>
        <w:rPr>
          <w:rFonts w:ascii="Times New Roman" w:cs="Times New Roman" w:eastAsia="Times New Roman" w:hAnsi="Times New Roman"/>
          <w:sz w:val="17"/>
          <w:szCs w:val="17"/>
          <w:color w:val="auto"/>
        </w:rPr>
        <w:t>In accordance with agreements executed prior to 1997, we pay certain health care-related costs for certain retired executive officers of the Company and their dependents, including insurance premiums and non-insurance covered costs, such as prescription copays and other health care costs. These health benefits continue after retirement if certain lengths of service and age requirements are satisfied at the time of retirement.</w:t>
      </w:r>
    </w:p>
    <w:p>
      <w:pPr>
        <w:spacing w:after="0" w:line="167"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The 401(k) Plan and other generally-available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generally-available benefits do not specifically factor into decisions regarding an individual executive officer’s total compensation or equity awards.</w:t>
      </w:r>
    </w:p>
    <w:p>
      <w:pPr>
        <w:spacing w:after="0" w:line="175" w:lineRule="exact"/>
        <w:rPr>
          <w:sz w:val="20"/>
          <w:szCs w:val="20"/>
          <w:color w:val="auto"/>
        </w:rPr>
      </w:pPr>
    </w:p>
    <w:p>
      <w:pPr>
        <w:ind w:right="160" w:firstLine="307"/>
        <w:spacing w:after="0" w:line="259" w:lineRule="auto"/>
        <w:rPr>
          <w:sz w:val="20"/>
          <w:szCs w:val="20"/>
          <w:color w:val="auto"/>
        </w:rPr>
      </w:pPr>
      <w:r>
        <w:rPr>
          <w:rFonts w:ascii="Times New Roman" w:cs="Times New Roman" w:eastAsia="Times New Roman" w:hAnsi="Times New Roman"/>
          <w:sz w:val="17"/>
          <w:szCs w:val="17"/>
          <w:color w:val="auto"/>
        </w:rPr>
        <w:t>Each year, we informally review our U.S. based benefit programs against our peers with data provided by Aon, our health and welfare benefits broker of record, and by Retirement Benefits Group, our independent 401(k) Plan consultant. Similar evaluations are made in other regions with local benefit consultants. We also evaluate the competitiveness of the 401(k) Plan against the companies in the compensation peer group, including an analysis of the dollar value to an employee and the dollar cost to us for the benefits under the applicable plan using a standard population of employees. We analyze changes to our benefit programs in light of the overall objectives of the programs, including the effectiveness of their incentive and retention features.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Perquisites and Other Personal Benefits</w:t>
      </w:r>
    </w:p>
    <w:p>
      <w:pPr>
        <w:spacing w:after="0" w:line="21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duties, to make our executive officers more efficient and effective, and for recruitment and retention purposes.</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During 2017, we provided the NEOs with automobile expense reimbursement or allowances as follows:</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89"/>
        </w:trPr>
        <w:tc>
          <w:tcPr>
            <w:tcW w:w="28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Annual</w:t>
            </w:r>
          </w:p>
        </w:tc>
      </w:tr>
      <w:tr>
        <w:trPr>
          <w:trHeight w:val="218"/>
        </w:trPr>
        <w:tc>
          <w:tcPr>
            <w:tcW w:w="28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Auto</w:t>
            </w:r>
          </w:p>
        </w:tc>
      </w:tr>
      <w:tr>
        <w:trPr>
          <w:trHeight w:val="225"/>
        </w:trPr>
        <w:tc>
          <w:tcPr>
            <w:tcW w:w="9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0" w:type="dxa"/>
            <w:vAlign w:val="bottom"/>
          </w:tcPr>
          <w:p>
            <w:pPr>
              <w:spacing w:after="0"/>
              <w:rPr>
                <w:sz w:val="19"/>
                <w:szCs w:val="19"/>
                <w:color w:val="auto"/>
              </w:rPr>
            </w:pPr>
          </w:p>
        </w:tc>
        <w:tc>
          <w:tcPr>
            <w:tcW w:w="15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Allowance</w:t>
            </w:r>
          </w:p>
        </w:tc>
      </w:tr>
      <w:tr>
        <w:trPr>
          <w:trHeight w:val="198"/>
        </w:trPr>
        <w:tc>
          <w:tcPr>
            <w:tcW w:w="280" w:type="dxa"/>
            <w:vAlign w:val="bottom"/>
          </w:tcPr>
          <w:p>
            <w:pPr>
              <w:spacing w:after="0"/>
              <w:rPr>
                <w:sz w:val="17"/>
                <w:szCs w:val="17"/>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w w:val="98"/>
              </w:rPr>
              <w:t>$9,000</w:t>
            </w:r>
          </w:p>
        </w:tc>
      </w:tr>
      <w:tr>
        <w:trPr>
          <w:trHeight w:val="205"/>
        </w:trPr>
        <w:tc>
          <w:tcPr>
            <w:tcW w:w="280" w:type="dxa"/>
            <w:vAlign w:val="bottom"/>
          </w:tcPr>
          <w:p>
            <w:pPr>
              <w:spacing w:after="0"/>
              <w:rPr>
                <w:sz w:val="17"/>
                <w:szCs w:val="17"/>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$6,000</w:t>
            </w:r>
          </w:p>
        </w:tc>
      </w:tr>
      <w:tr>
        <w:trPr>
          <w:trHeight w:val="205"/>
        </w:trPr>
        <w:tc>
          <w:tcPr>
            <w:tcW w:w="280" w:type="dxa"/>
            <w:vAlign w:val="bottom"/>
          </w:tcPr>
          <w:p>
            <w:pPr>
              <w:spacing w:after="0"/>
              <w:rPr>
                <w:sz w:val="17"/>
                <w:szCs w:val="17"/>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$6,000</w:t>
            </w:r>
          </w:p>
        </w:tc>
      </w:tr>
      <w:tr>
        <w:trPr>
          <w:trHeight w:val="205"/>
        </w:trPr>
        <w:tc>
          <w:tcPr>
            <w:tcW w:w="280" w:type="dxa"/>
            <w:vAlign w:val="bottom"/>
          </w:tcPr>
          <w:p>
            <w:pPr>
              <w:spacing w:after="0"/>
              <w:rPr>
                <w:sz w:val="17"/>
                <w:szCs w:val="17"/>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$6,000</w:t>
            </w:r>
          </w:p>
        </w:tc>
      </w:tr>
      <w:tr>
        <w:trPr>
          <w:trHeight w:val="243"/>
        </w:trPr>
        <w:tc>
          <w:tcPr>
            <w:tcW w:w="280" w:type="dxa"/>
            <w:vAlign w:val="bottom"/>
          </w:tcPr>
          <w:p>
            <w:pPr>
              <w:spacing w:after="0"/>
              <w:rPr>
                <w:sz w:val="21"/>
                <w:szCs w:val="21"/>
                <w:color w:val="auto"/>
              </w:rPr>
            </w:pPr>
          </w:p>
        </w:tc>
        <w:tc>
          <w:tcPr>
            <w:tcW w:w="924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Ian von Fellenberg </w:t>
            </w:r>
            <w:r>
              <w:rPr>
                <w:rFonts w:ascii="Times New Roman" w:cs="Times New Roman" w:eastAsia="Times New Roman" w:hAnsi="Times New Roman"/>
                <w:sz w:val="28"/>
                <w:szCs w:val="28"/>
                <w:color w:val="auto"/>
                <w:vertAlign w:val="superscript"/>
              </w:rPr>
              <w:t>(1)</w:t>
            </w:r>
          </w:p>
        </w:tc>
        <w:tc>
          <w:tcPr>
            <w:tcW w:w="16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$11,483</w:t>
            </w:r>
          </w:p>
        </w:tc>
      </w:tr>
    </w:tbl>
    <w:p>
      <w:pPr>
        <w:ind w:left="900" w:right="160" w:hanging="259"/>
        <w:spacing w:after="0" w:line="26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von Fellenberg is not provided an auto allowance. The amount presented above represents non-taxable mileage expense reimbursement he received during 2017.</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4" w:name="page35"/>
    <w:bookmarkEnd w:id="34"/>
    <w:p>
      <w:pPr>
        <w:ind w:firstLine="307"/>
        <w:spacing w:after="0" w:line="262" w:lineRule="auto"/>
        <w:rPr>
          <w:sz w:val="20"/>
          <w:szCs w:val="20"/>
          <w:color w:val="auto"/>
        </w:rPr>
      </w:pPr>
      <w:r>
        <w:rPr>
          <w:rFonts w:ascii="Times New Roman" w:cs="Times New Roman" w:eastAsia="Times New Roman" w:hAnsi="Times New Roman"/>
          <w:sz w:val="17"/>
          <w:szCs w:val="17"/>
          <w:color w:val="auto"/>
        </w:rPr>
        <w:t>In the future, we may provide perquisites or other personal benefits to our executive officers in limited circumstances, such as where we believe it is appropriate to assist an individual executive officer in the performance of his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8" w:lineRule="exact"/>
        <w:rPr>
          <w:sz w:val="20"/>
          <w:szCs w:val="20"/>
          <w:color w:val="auto"/>
        </w:rPr>
      </w:pPr>
    </w:p>
    <w:p>
      <w:pPr>
        <w:ind w:right="40" w:firstLine="307"/>
        <w:spacing w:after="0" w:line="259" w:lineRule="auto"/>
        <w:rPr>
          <w:sz w:val="20"/>
          <w:szCs w:val="20"/>
          <w:color w:val="auto"/>
        </w:rPr>
      </w:pPr>
      <w:r>
        <w:rPr>
          <w:rFonts w:ascii="Times New Roman" w:cs="Times New Roman" w:eastAsia="Times New Roman" w:hAnsi="Times New Roman"/>
          <w:sz w:val="17"/>
          <w:szCs w:val="17"/>
          <w:color w:val="auto"/>
        </w:rPr>
        <w:t>With the exception of Dr. Müller and Mr. von Fellenberg, we do not have any employment agreements or other arrangements with any of the NEOs, except as described under “Potential Payments Upon Termination or Change in Control” below. In connection with his appointment as our President and Chief Executive Officer on October 7, 2014, we entered into an “at-will” employment agreement with Dr. Müller effective December 28, 2014. We revised Mr. von Fellenberg’s standard Swiss employment contract effective June 1, 2017, to reflect his new responsibilities related to his promotion to Vice President and General Manager, Analog Test Handlers.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Post-Employment Compensation</w:t>
      </w:r>
    </w:p>
    <w:p>
      <w:pPr>
        <w:spacing w:after="0" w:line="218" w:lineRule="exact"/>
        <w:rPr>
          <w:sz w:val="20"/>
          <w:szCs w:val="20"/>
          <w:color w:val="auto"/>
        </w:rPr>
      </w:pPr>
    </w:p>
    <w:p>
      <w:pPr>
        <w:ind w:right="280" w:firstLine="307"/>
        <w:spacing w:after="0" w:line="267" w:lineRule="auto"/>
        <w:rPr>
          <w:sz w:val="20"/>
          <w:szCs w:val="20"/>
          <w:color w:val="auto"/>
        </w:rPr>
      </w:pPr>
      <w:r>
        <w:rPr>
          <w:rFonts w:ascii="Times New Roman" w:cs="Times New Roman" w:eastAsia="Times New Roman" w:hAnsi="Times New Roman"/>
          <w:sz w:val="17"/>
          <w:szCs w:val="17"/>
          <w:color w:val="auto"/>
        </w:rPr>
        <w:t>With the exception of Dr. Müller and Messrs. Jones and Kampfer, we do not have an employment or other arrangement providing for post-employment compensation with any NEO. In the case of Dr. Müller and Messrs. Jones and Kampfer, their arrangements provide, under certain circumstances, for payments and benefits upon certain terminations of employment, including a termination of employment following a change in control of the Company.</w:t>
      </w:r>
    </w:p>
    <w:p>
      <w:pPr>
        <w:spacing w:after="0" w:line="167" w:lineRule="exact"/>
        <w:rPr>
          <w:sz w:val="20"/>
          <w:szCs w:val="20"/>
          <w:color w:val="auto"/>
        </w:rPr>
      </w:pPr>
    </w:p>
    <w:p>
      <w:pPr>
        <w:ind w:right="80" w:firstLine="307"/>
        <w:spacing w:after="0" w:line="257" w:lineRule="auto"/>
        <w:rPr>
          <w:sz w:val="20"/>
          <w:szCs w:val="20"/>
          <w:color w:val="auto"/>
        </w:rPr>
      </w:pPr>
      <w:r>
        <w:rPr>
          <w:rFonts w:ascii="Times New Roman" w:cs="Times New Roman" w:eastAsia="Times New Roman" w:hAnsi="Times New Roman"/>
          <w:sz w:val="17"/>
          <w:szCs w:val="17"/>
          <w:color w:val="auto"/>
        </w:rPr>
        <w:t>The payments and benefits payable under these arrangements in the event of a change in control of the Company are subject to a “double trigger,” meaning that both a change in control of the Company and a subsequent involuntary termination of employment are required. In other words, the change in control of the Company does not by itself trigger any payments or benefits; rather, payments and benefits are paid only if the employment of Dr. Müller and Messrs. Jones and Kampfer are subsequently terminated without “cause” (or he resigns for “good reason”) during a specified period following the change in control. We believe that a “double trigger” arrangement maximizes stockholder value because it prevents an unintended windfall to these executive officers in the event of a change in control of the Company, while still providing them appropriate incentives to cooperate in negotiating a transaction involving a potential change in control of the Company in which they believe they may lose their jobs.</w:t>
      </w:r>
    </w:p>
    <w:p>
      <w:pPr>
        <w:spacing w:after="0" w:line="174" w:lineRule="exact"/>
        <w:rPr>
          <w:sz w:val="20"/>
          <w:szCs w:val="20"/>
          <w:color w:val="auto"/>
        </w:rPr>
      </w:pPr>
    </w:p>
    <w:p>
      <w:pPr>
        <w:ind w:right="340" w:firstLine="307"/>
        <w:spacing w:after="0" w:line="267" w:lineRule="auto"/>
        <w:rPr>
          <w:sz w:val="20"/>
          <w:szCs w:val="20"/>
          <w:color w:val="auto"/>
        </w:rPr>
      </w:pPr>
      <w:r>
        <w:rPr>
          <w:rFonts w:ascii="Times New Roman" w:cs="Times New Roman" w:eastAsia="Times New Roman" w:hAnsi="Times New Roman"/>
          <w:sz w:val="17"/>
          <w:szCs w:val="17"/>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w:t>
      </w:r>
    </w:p>
    <w:p>
      <w:pPr>
        <w:spacing w:after="0" w:line="167" w:lineRule="exact"/>
        <w:rPr>
          <w:sz w:val="20"/>
          <w:szCs w:val="20"/>
          <w:color w:val="auto"/>
        </w:rPr>
      </w:pPr>
    </w:p>
    <w:p>
      <w:pPr>
        <w:ind w:right="240" w:firstLine="307"/>
        <w:spacing w:after="0" w:line="284" w:lineRule="auto"/>
        <w:rPr>
          <w:sz w:val="20"/>
          <w:szCs w:val="20"/>
          <w:color w:val="auto"/>
        </w:rPr>
      </w:pPr>
      <w:r>
        <w:rPr>
          <w:rFonts w:ascii="Times New Roman" w:cs="Times New Roman" w:eastAsia="Times New Roman" w:hAnsi="Times New Roman"/>
          <w:sz w:val="17"/>
          <w:szCs w:val="17"/>
          <w:color w:val="auto"/>
        </w:rPr>
        <w:t>The post-employment payments and benefits which Dr. Müller and Messrs. Jones and Kampfer are eligible to receive are described in more detail in “Potential Payments upon Termination or Change in Control”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Compensation Policies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Stock Ownership Policy</w:t>
      </w:r>
    </w:p>
    <w:p>
      <w:pPr>
        <w:spacing w:after="0" w:line="218" w:lineRule="exact"/>
        <w:rPr>
          <w:sz w:val="20"/>
          <w:szCs w:val="20"/>
          <w:color w:val="auto"/>
        </w:rPr>
      </w:pPr>
    </w:p>
    <w:p>
      <w:pPr>
        <w:ind w:right="140" w:firstLine="307"/>
        <w:spacing w:after="0" w:line="258" w:lineRule="auto"/>
        <w:rPr>
          <w:sz w:val="20"/>
          <w:szCs w:val="20"/>
          <w:color w:val="auto"/>
        </w:rPr>
      </w:pPr>
      <w:r>
        <w:rPr>
          <w:rFonts w:ascii="Times New Roman" w:cs="Times New Roman" w:eastAsia="Times New Roman" w:hAnsi="Times New Roman"/>
          <w:sz w:val="17"/>
          <w:szCs w:val="17"/>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69" w:lineRule="exact"/>
        <w:rPr>
          <w:sz w:val="20"/>
          <w:szCs w:val="20"/>
          <w:color w:val="auto"/>
        </w:rPr>
      </w:pPr>
    </w:p>
    <w:p>
      <w:pPr>
        <w:ind w:left="1720"/>
        <w:spacing w:after="0"/>
        <w:tabs>
          <w:tab w:leader="none" w:pos="6380" w:val="left"/>
        </w:tabs>
        <w:rPr>
          <w:sz w:val="20"/>
          <w:szCs w:val="20"/>
          <w:color w:val="auto"/>
        </w:rPr>
      </w:pPr>
      <w:r>
        <w:rPr>
          <w:rFonts w:ascii="Times New Roman" w:cs="Times New Roman" w:eastAsia="Times New Roman" w:hAnsi="Times New Roman"/>
          <w:sz w:val="17"/>
          <w:szCs w:val="17"/>
          <w:b w:val="1"/>
          <w:bCs w:val="1"/>
          <w:color w:val="auto"/>
        </w:rPr>
        <w:t>Individual Subject to Stock Ownership Policy</w:t>
      </w:r>
      <w:r>
        <w:rPr>
          <w:sz w:val="20"/>
          <w:szCs w:val="20"/>
          <w:color w:val="auto"/>
        </w:rPr>
        <w:tab/>
      </w:r>
      <w:r>
        <w:rPr>
          <w:rFonts w:ascii="Times New Roman" w:cs="Times New Roman" w:eastAsia="Times New Roman" w:hAnsi="Times New Roman"/>
          <w:sz w:val="17"/>
          <w:szCs w:val="17"/>
          <w:b w:val="1"/>
          <w:bCs w:val="1"/>
          <w:color w:val="auto"/>
        </w:rPr>
        <w:t>Minimum Required Level of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5798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8185" cy="825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All other executive officers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7"/>
          <w:szCs w:val="17"/>
          <w:color w:val="auto"/>
        </w:rPr>
        <w:t>Three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-115570</wp:posOffset>
            </wp:positionV>
            <wp:extent cx="5798185" cy="13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Two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5715</wp:posOffset>
            </wp:positionV>
            <wp:extent cx="5798185" cy="13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7"/>
          <w:szCs w:val="17"/>
          <w:color w:val="auto"/>
        </w:rPr>
        <w:t>One times annual base salary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81280</wp:posOffset>
            </wp:positionV>
            <wp:extent cx="72536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2">
            <w:col w:w="4900" w:space="720"/>
            <w:col w:w="5800"/>
          </w:cols>
          <w:pgMar w:left="240" w:top="558" w:right="239" w:bottom="1440" w:gutter="0" w:footer="0" w:header="0"/>
          <w:type w:val="continuous"/>
        </w:sectPr>
      </w:pPr>
    </w:p>
    <w:bookmarkStart w:id="35" w:name="page36"/>
    <w:bookmarkEnd w:id="35"/>
    <w:p>
      <w:pPr>
        <w:ind w:right="60" w:firstLine="307"/>
        <w:spacing w:after="0" w:line="262" w:lineRule="auto"/>
        <w:rPr>
          <w:sz w:val="20"/>
          <w:szCs w:val="20"/>
          <w:color w:val="auto"/>
        </w:rPr>
      </w:pPr>
      <w:r>
        <w:rPr>
          <w:rFonts w:ascii="Times New Roman" w:cs="Times New Roman" w:eastAsia="Times New Roman" w:hAnsi="Times New Roman"/>
          <w:sz w:val="17"/>
          <w:szCs w:val="17"/>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w:t>
      </w:r>
    </w:p>
    <w:p>
      <w:pPr>
        <w:spacing w:after="0" w:line="171" w:lineRule="exact"/>
        <w:rPr>
          <w:sz w:val="20"/>
          <w:szCs w:val="20"/>
          <w:color w:val="auto"/>
        </w:rPr>
      </w:pPr>
    </w:p>
    <w:p>
      <w:pPr>
        <w:ind w:right="240" w:firstLine="307"/>
        <w:spacing w:after="0" w:line="284" w:lineRule="auto"/>
        <w:rPr>
          <w:sz w:val="20"/>
          <w:szCs w:val="20"/>
          <w:color w:val="auto"/>
        </w:rPr>
      </w:pPr>
      <w:r>
        <w:rPr>
          <w:rFonts w:ascii="Times New Roman" w:cs="Times New Roman" w:eastAsia="Times New Roman" w:hAnsi="Times New Roman"/>
          <w:sz w:val="17"/>
          <w:szCs w:val="17"/>
          <w:color w:val="auto"/>
        </w:rPr>
        <w:t>The Compensation Committee monitors compliance with these stock ownership levels on an annual basis using the average closing price of our common stock during the preceding fiscal year. As of December 30, 2017, each of the NEOs was compliant with the policy.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Compensation Recoupment Policy</w:t>
      </w:r>
    </w:p>
    <w:p>
      <w:pPr>
        <w:spacing w:after="0" w:line="218" w:lineRule="exact"/>
        <w:rPr>
          <w:sz w:val="20"/>
          <w:szCs w:val="20"/>
          <w:color w:val="auto"/>
        </w:rPr>
      </w:pPr>
    </w:p>
    <w:p>
      <w:pPr>
        <w:ind w:right="340" w:firstLine="307"/>
        <w:spacing w:after="0" w:line="267" w:lineRule="auto"/>
        <w:rPr>
          <w:sz w:val="20"/>
          <w:szCs w:val="20"/>
          <w:color w:val="auto"/>
        </w:rPr>
      </w:pPr>
      <w:r>
        <w:rPr>
          <w:rFonts w:ascii="Times New Roman" w:cs="Times New Roman" w:eastAsia="Times New Roman" w:hAnsi="Times New Roman"/>
          <w:sz w:val="17"/>
          <w:szCs w:val="17"/>
          <w:color w:val="auto"/>
        </w:rPr>
        <w:t>We have adopted a formal compensation recoupment (“clawback”) policy under which our Board of Directors may seek reimbursement of the amount paid, awarded or granted to any executive officer if, as a result of their fraud or misconduct, we restate our financial results due to our material noncompliance with any financial reporting requirements under the federal securities laws.</w:t>
      </w:r>
    </w:p>
    <w:p>
      <w:pPr>
        <w:spacing w:after="0" w:line="167" w:lineRule="exact"/>
        <w:rPr>
          <w:sz w:val="20"/>
          <w:szCs w:val="20"/>
          <w:color w:val="auto"/>
        </w:rPr>
      </w:pPr>
    </w:p>
    <w:p>
      <w:pPr>
        <w:ind w:right="540" w:firstLine="307"/>
        <w:spacing w:after="0" w:line="284" w:lineRule="auto"/>
        <w:rPr>
          <w:sz w:val="20"/>
          <w:szCs w:val="20"/>
          <w:color w:val="auto"/>
        </w:rPr>
      </w:pPr>
      <w:r>
        <w:rPr>
          <w:rFonts w:ascii="Times New Roman" w:cs="Times New Roman" w:eastAsia="Times New Roman" w:hAnsi="Times New Roman"/>
          <w:sz w:val="17"/>
          <w:szCs w:val="17"/>
          <w:color w:val="auto"/>
        </w:rPr>
        <w:t>In addition, we will comply with the requirements of Section 954 of the Dodd-Frank Wall Street Reform and Consumer Protection Act and will amend our compensation recoupment policy once final regulations implementing this provision have been adopted.</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Equity Award Grant Policy</w:t>
      </w:r>
    </w:p>
    <w:p>
      <w:pPr>
        <w:spacing w:after="0" w:line="218" w:lineRule="exact"/>
        <w:rPr>
          <w:sz w:val="20"/>
          <w:szCs w:val="20"/>
          <w:color w:val="auto"/>
        </w:rPr>
      </w:pPr>
    </w:p>
    <w:p>
      <w:pPr>
        <w:ind w:right="240" w:firstLine="307"/>
        <w:spacing w:after="0" w:line="284" w:lineRule="auto"/>
        <w:rPr>
          <w:sz w:val="20"/>
          <w:szCs w:val="20"/>
          <w:color w:val="auto"/>
        </w:rPr>
      </w:pPr>
      <w:r>
        <w:rPr>
          <w:rFonts w:ascii="Times New Roman" w:cs="Times New Roman" w:eastAsia="Times New Roman" w:hAnsi="Times New Roman"/>
          <w:sz w:val="17"/>
          <w:szCs w:val="17"/>
          <w:color w:val="auto"/>
        </w:rPr>
        <w:t>We grant equity awards to our executive officers under our stockholder-approved 2005 Plan. Pursuant to this plan, all stock option grants must have a per share exercise price at least equal to the fair market value of our common stock on the grant date.</w:t>
      </w:r>
    </w:p>
    <w:p>
      <w:pPr>
        <w:spacing w:after="0" w:line="152" w:lineRule="exact"/>
        <w:rPr>
          <w:sz w:val="20"/>
          <w:szCs w:val="20"/>
          <w:color w:val="auto"/>
        </w:rPr>
      </w:pPr>
    </w:p>
    <w:p>
      <w:pPr>
        <w:ind w:right="140" w:firstLine="307"/>
        <w:spacing w:after="0" w:line="262" w:lineRule="auto"/>
        <w:rPr>
          <w:sz w:val="20"/>
          <w:szCs w:val="20"/>
          <w:color w:val="auto"/>
        </w:rPr>
      </w:pPr>
      <w:r>
        <w:rPr>
          <w:rFonts w:ascii="Times New Roman" w:cs="Times New Roman" w:eastAsia="Times New Roman" w:hAnsi="Times New Roman"/>
          <w:sz w:val="17"/>
          <w:szCs w:val="17"/>
          <w:color w:val="auto"/>
        </w:rPr>
        <w:t>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the NEOs, will be approved on an annual basis at a meeting of the Compensation Committee or our Board of Directors, as applicable, which is typically held in the first quarter of each fiscal year.</w:t>
      </w:r>
    </w:p>
    <w:p>
      <w:pPr>
        <w:spacing w:after="0" w:line="171"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the Company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and Accounting Considerations</w:t>
      </w:r>
    </w:p>
    <w:p>
      <w:pPr>
        <w:spacing w:after="0" w:line="218" w:lineRule="exact"/>
        <w:rPr>
          <w:sz w:val="20"/>
          <w:szCs w:val="20"/>
          <w:color w:val="auto"/>
        </w:rPr>
      </w:pPr>
    </w:p>
    <w:p>
      <w:pPr>
        <w:ind w:right="100" w:firstLine="307"/>
        <w:spacing w:after="0" w:line="258" w:lineRule="auto"/>
        <w:rPr>
          <w:sz w:val="20"/>
          <w:szCs w:val="20"/>
          <w:color w:val="auto"/>
        </w:rPr>
      </w:pPr>
      <w:r>
        <w:rPr>
          <w:rFonts w:ascii="Times New Roman" w:cs="Times New Roman" w:eastAsia="Times New Roman" w:hAnsi="Times New Roman"/>
          <w:sz w:val="17"/>
          <w:szCs w:val="17"/>
          <w:color w:val="auto"/>
        </w:rPr>
        <w:t>In designing our executive compensation program, the Compensation Committee takes into consideration the tax and accounting effects that each element of compensation will or may have on the Company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costs under another plan or arrangement to avoid compensation expense that is above the desired level.</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Deductibility of Executive Compensation</w:t>
      </w:r>
    </w:p>
    <w:p>
      <w:pPr>
        <w:spacing w:after="0" w:line="218" w:lineRule="exact"/>
        <w:rPr>
          <w:sz w:val="20"/>
          <w:szCs w:val="20"/>
          <w:color w:val="auto"/>
        </w:rPr>
      </w:pPr>
    </w:p>
    <w:p>
      <w:pPr>
        <w:ind w:right="80" w:firstLine="307"/>
        <w:spacing w:after="0" w:line="262" w:lineRule="auto"/>
        <w:rPr>
          <w:sz w:val="20"/>
          <w:szCs w:val="20"/>
          <w:color w:val="auto"/>
        </w:rPr>
      </w:pPr>
      <w:r>
        <w:rPr>
          <w:rFonts w:ascii="Times New Roman" w:cs="Times New Roman" w:eastAsia="Times New Roman" w:hAnsi="Times New Roman"/>
          <w:sz w:val="17"/>
          <w:szCs w:val="17"/>
          <w:color w:val="auto"/>
        </w:rPr>
        <w:t>Prior to January 1, 2018, Section 162(m) of the Code generally disallowed a deduction for federal income tax purposes to any publicly-traded corporation for any remuneration in excess of $1 million paid in any taxable year to its chief executive officer and each of the three other most highly-compensated executive officers (other than its chief financial officer). Generally, remuneration in excess of $1 million could be deducted if, among other things, it qualified as “performance-based compensation” within the meaning of the Code.</w:t>
      </w:r>
    </w:p>
    <w:p>
      <w:pPr>
        <w:spacing w:after="0" w:line="171" w:lineRule="exact"/>
        <w:rPr>
          <w:sz w:val="20"/>
          <w:szCs w:val="20"/>
          <w:color w:val="auto"/>
        </w:rPr>
      </w:pPr>
    </w:p>
    <w:p>
      <w:pPr>
        <w:ind w:right="40" w:firstLine="307"/>
        <w:spacing w:after="0" w:line="258" w:lineRule="auto"/>
        <w:rPr>
          <w:sz w:val="20"/>
          <w:szCs w:val="20"/>
          <w:color w:val="auto"/>
        </w:rPr>
      </w:pPr>
      <w:r>
        <w:rPr>
          <w:rFonts w:ascii="Times New Roman" w:cs="Times New Roman" w:eastAsia="Times New Roman" w:hAnsi="Times New Roman"/>
          <w:sz w:val="17"/>
          <w:szCs w:val="17"/>
          <w:color w:val="auto"/>
        </w:rPr>
        <w:t>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Consequently, for fiscal years beginning after December 31, 2017, all remuneration in excess of $1 million paid to a specified executive will not be deductible.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6" w:name="page37"/>
    <w:bookmarkEnd w:id="36"/>
    <w:p>
      <w:pPr>
        <w:ind w:right="40" w:firstLine="307"/>
        <w:spacing w:after="0" w:line="262" w:lineRule="auto"/>
        <w:rPr>
          <w:sz w:val="20"/>
          <w:szCs w:val="20"/>
          <w:color w:val="auto"/>
        </w:rPr>
      </w:pPr>
      <w:r>
        <w:rPr>
          <w:rFonts w:ascii="Times New Roman" w:cs="Times New Roman" w:eastAsia="Times New Roman" w:hAnsi="Times New Roman"/>
          <w:sz w:val="17"/>
          <w:szCs w:val="17"/>
          <w:color w:val="auto"/>
        </w:rPr>
        <w:t>In the case of stock options and performance stock unit awards which were outstanding on November 2, 2017 and which are not subsequently modified in any material respect, the compensation income realized upon the exercise of such stock options or upon the vesting of such performance stock unit awards granted under a stockholder-approved employee stock plan generally are expected to be deductible as long as the options or awards, as applicable, were granted by a committee whose members are outside directors and certain other conditions are satisfied.</w:t>
      </w:r>
    </w:p>
    <w:p>
      <w:pPr>
        <w:spacing w:after="0" w:line="171" w:lineRule="exact"/>
        <w:rPr>
          <w:sz w:val="20"/>
          <w:szCs w:val="20"/>
          <w:color w:val="auto"/>
        </w:rPr>
      </w:pPr>
    </w:p>
    <w:p>
      <w:pPr>
        <w:jc w:val="both"/>
        <w:ind w:right="100" w:firstLine="307"/>
        <w:spacing w:after="0" w:line="267" w:lineRule="auto"/>
        <w:rPr>
          <w:sz w:val="20"/>
          <w:szCs w:val="20"/>
          <w:color w:val="auto"/>
        </w:rPr>
      </w:pPr>
      <w:r>
        <w:rPr>
          <w:rFonts w:ascii="Times New Roman" w:cs="Times New Roman" w:eastAsia="Times New Roman" w:hAnsi="Times New Roman"/>
          <w:sz w:val="17"/>
          <w:szCs w:val="17"/>
          <w:color w:val="auto"/>
        </w:rPr>
        <w:t>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Taxation of Nonqualified Deferred Compensation</w:t>
      </w:r>
    </w:p>
    <w:p>
      <w:pPr>
        <w:spacing w:after="0" w:line="218" w:lineRule="exact"/>
        <w:rPr>
          <w:sz w:val="20"/>
          <w:szCs w:val="20"/>
          <w:color w:val="auto"/>
        </w:rPr>
      </w:pPr>
    </w:p>
    <w:p>
      <w:pPr>
        <w:ind w:right="100" w:firstLine="307"/>
        <w:spacing w:after="0" w:line="259" w:lineRule="auto"/>
        <w:rPr>
          <w:sz w:val="20"/>
          <w:szCs w:val="20"/>
          <w:color w:val="auto"/>
        </w:rPr>
      </w:pPr>
      <w:r>
        <w:rPr>
          <w:rFonts w:ascii="Times New Roman" w:cs="Times New Roman" w:eastAsia="Times New Roman" w:hAnsi="Times New Roman"/>
          <w:sz w:val="17"/>
          <w:szCs w:val="17"/>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the Company. From time to time, we may be required to amend some of our compensation plans and arrangements to ensure that they are either exempt from, or compliant with, Section 409A.</w:t>
      </w:r>
    </w:p>
    <w:p>
      <w:pPr>
        <w:spacing w:after="0" w:line="175" w:lineRule="exact"/>
        <w:rPr>
          <w:sz w:val="20"/>
          <w:szCs w:val="20"/>
          <w:color w:val="auto"/>
        </w:rPr>
      </w:pPr>
    </w:p>
    <w:p>
      <w:pPr>
        <w:ind w:right="200" w:firstLine="307"/>
        <w:spacing w:after="0" w:line="284" w:lineRule="auto"/>
        <w:rPr>
          <w:sz w:val="20"/>
          <w:szCs w:val="20"/>
          <w:color w:val="auto"/>
        </w:rPr>
      </w:pPr>
      <w:r>
        <w:rPr>
          <w:rFonts w:ascii="Times New Roman" w:cs="Times New Roman" w:eastAsia="Times New Roman" w:hAnsi="Times New Roman"/>
          <w:sz w:val="17"/>
          <w:szCs w:val="17"/>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Taxation of “Parachute” Payments</w:t>
      </w:r>
    </w:p>
    <w:p>
      <w:pPr>
        <w:spacing w:after="0" w:line="218" w:lineRule="exact"/>
        <w:rPr>
          <w:sz w:val="20"/>
          <w:szCs w:val="20"/>
          <w:color w:val="auto"/>
        </w:rPr>
      </w:pPr>
    </w:p>
    <w:p>
      <w:pPr>
        <w:ind w:firstLine="307"/>
        <w:spacing w:after="0" w:line="259" w:lineRule="auto"/>
        <w:rPr>
          <w:sz w:val="20"/>
          <w:szCs w:val="20"/>
          <w:color w:val="auto"/>
        </w:rPr>
      </w:pPr>
      <w:r>
        <w:rPr>
          <w:rFonts w:ascii="Times New Roman" w:cs="Times New Roman" w:eastAsia="Times New Roman" w:hAnsi="Times New Roman"/>
          <w:sz w:val="17"/>
          <w:szCs w:val="17"/>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are not obligated to provide any NEO with a “gross-up” or other reimbursement payment for any tax liability that he or she may owe as a result of the application of Sections 280G or 4999 in the event of a change in control of the Company.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Accounting for Stock-Based Compensation</w:t>
      </w:r>
    </w:p>
    <w:p>
      <w:pPr>
        <w:spacing w:after="0" w:line="218" w:lineRule="exact"/>
        <w:rPr>
          <w:sz w:val="20"/>
          <w:szCs w:val="20"/>
          <w:color w:val="auto"/>
        </w:rPr>
      </w:pPr>
    </w:p>
    <w:p>
      <w:pPr>
        <w:ind w:right="80" w:firstLine="307"/>
        <w:spacing w:after="0" w:line="267" w:lineRule="auto"/>
        <w:rPr>
          <w:sz w:val="20"/>
          <w:szCs w:val="20"/>
          <w:color w:val="auto"/>
        </w:rPr>
      </w:pPr>
      <w:r>
        <w:rPr>
          <w:rFonts w:ascii="Times New Roman" w:cs="Times New Roman" w:eastAsia="Times New Roman" w:hAnsi="Times New Roman"/>
          <w:sz w:val="17"/>
          <w:szCs w:val="17"/>
          <w:color w:val="auto"/>
        </w:rPr>
        <w:t xml:space="preserve">The Compensation Committee takes accounting implications into consideration in designing compensation plans and arrangements for our executive officers and other employees. Chief among these is Financial Accounting Standards Board Accounting Standards Codification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Topic 718”), the standard which governs the accounting treatment of stock-based compensation awards.</w:t>
      </w:r>
    </w:p>
    <w:p>
      <w:pPr>
        <w:spacing w:after="0" w:line="167" w:lineRule="exact"/>
        <w:rPr>
          <w:sz w:val="20"/>
          <w:szCs w:val="20"/>
          <w:color w:val="auto"/>
        </w:rPr>
      </w:pPr>
    </w:p>
    <w:p>
      <w:pPr>
        <w:ind w:firstLine="307"/>
        <w:spacing w:after="0" w:line="254" w:lineRule="auto"/>
        <w:rPr>
          <w:sz w:val="20"/>
          <w:szCs w:val="20"/>
          <w:color w:val="auto"/>
        </w:rPr>
      </w:pPr>
      <w:r>
        <w:rPr>
          <w:rFonts w:ascii="Times New Roman" w:cs="Times New Roman" w:eastAsia="Times New Roman" w:hAnsi="Times New Roman"/>
          <w:sz w:val="17"/>
          <w:szCs w:val="17"/>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We estimate the fair value of each share-based payment award on the grant date using either the Black-Scholes or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7" w:name="page38"/>
    <w:bookmarkEnd w:id="37"/>
    <w:p>
      <w:pPr>
        <w:ind w:firstLine="307"/>
        <w:spacing w:after="0" w:line="255" w:lineRule="auto"/>
        <w:rPr>
          <w:sz w:val="20"/>
          <w:szCs w:val="20"/>
          <w:color w:val="auto"/>
        </w:rPr>
      </w:pPr>
      <w:r>
        <w:rPr>
          <w:rFonts w:ascii="Times New Roman" w:cs="Times New Roman" w:eastAsia="Times New Roman" w:hAnsi="Times New Roman"/>
          <w:sz w:val="17"/>
          <w:szCs w:val="17"/>
          <w:color w:val="auto"/>
        </w:rPr>
        <w:t xml:space="preserve">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Through 2015, estimated forfeitures were required to be included as a part of the grant date expense estimate. In 2016, we adopted Financial Accounting Standards Board (“FASB”) Accounting Standards Update (“ASU”) No. 2016-09, Compensation - Stock Compensation (Topic 718): </w:t>
      </w:r>
      <w:r>
        <w:rPr>
          <w:rFonts w:ascii="Times New Roman" w:cs="Times New Roman" w:eastAsia="Times New Roman" w:hAnsi="Times New Roman"/>
          <w:sz w:val="17"/>
          <w:szCs w:val="17"/>
          <w:i w:val="1"/>
          <w:iCs w:val="1"/>
          <w:color w:val="auto"/>
        </w:rPr>
        <w:t>Improvements to Employee Share-Based Payment Accounting</w:t>
      </w:r>
      <w:r>
        <w:rPr>
          <w:rFonts w:ascii="Times New Roman" w:cs="Times New Roman" w:eastAsia="Times New Roman" w:hAnsi="Times New Roman"/>
          <w:sz w:val="17"/>
          <w:szCs w:val="17"/>
          <w:color w:val="auto"/>
        </w:rPr>
        <w:t xml:space="preserve"> and elected to eliminate the use of an estimated forfeiture rate and recognize actual forfeitures as they occur. Prior to 2016, we used historical data to estimate expected employee behaviors related to option exercises and forfeitures.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 Report</w:t>
      </w:r>
    </w:p>
    <w:p>
      <w:pPr>
        <w:spacing w:after="0" w:line="220" w:lineRule="exact"/>
        <w:rPr>
          <w:sz w:val="20"/>
          <w:szCs w:val="20"/>
          <w:color w:val="auto"/>
        </w:rPr>
      </w:pPr>
    </w:p>
    <w:p>
      <w:pPr>
        <w:jc w:val="both"/>
        <w:ind w:right="60" w:firstLine="307"/>
        <w:spacing w:after="0" w:line="267" w:lineRule="auto"/>
        <w:rPr>
          <w:sz w:val="20"/>
          <w:szCs w:val="20"/>
          <w:color w:val="auto"/>
        </w:rPr>
      </w:pPr>
      <w:r>
        <w:rPr>
          <w:rFonts w:ascii="Times New Roman" w:cs="Times New Roman" w:eastAsia="Times New Roman" w:hAnsi="Times New Roman"/>
          <w:sz w:val="17"/>
          <w:szCs w:val="17"/>
          <w:color w:val="auto"/>
        </w:rPr>
        <w:t>The Committee has reviewed and discussed with management the Compensation Discussion and Analysis for fiscal 2017. Based on such review and discussions, the Committee recommended to the Board, and the Board has approved, that the Compensation Discussion and Analysis be included in Cohu’s proxy statement for its 2018 Annual Meeting of Stockholders.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This report is submitted by the Compensation Committee.</w:t>
      </w:r>
    </w:p>
    <w:p>
      <w:pPr>
        <w:spacing w:after="0" w:line="214" w:lineRule="exact"/>
        <w:rPr>
          <w:sz w:val="20"/>
          <w:szCs w:val="20"/>
          <w:color w:val="auto"/>
        </w:rPr>
      </w:pPr>
    </w:p>
    <w:p>
      <w:pPr>
        <w:ind w:left="420"/>
        <w:spacing w:after="0"/>
        <w:tabs>
          <w:tab w:leader="none" w:pos="2760" w:val="left"/>
          <w:tab w:leader="none" w:pos="4440" w:val="left"/>
        </w:tabs>
        <w:rPr>
          <w:sz w:val="20"/>
          <w:szCs w:val="20"/>
          <w:color w:val="auto"/>
        </w:rPr>
      </w:pPr>
      <w:r>
        <w:rPr>
          <w:rFonts w:ascii="Times New Roman" w:cs="Times New Roman" w:eastAsia="Times New Roman" w:hAnsi="Times New Roman"/>
          <w:sz w:val="17"/>
          <w:szCs w:val="17"/>
          <w:color w:val="auto"/>
        </w:rPr>
        <w:t>Steven J. Bilodeau (Chairman)</w:t>
        <w:tab/>
        <w:t>William E. Bendush</w:t>
      </w:r>
      <w:r>
        <w:rPr>
          <w:sz w:val="20"/>
          <w:szCs w:val="20"/>
          <w:color w:val="auto"/>
        </w:rPr>
        <w:tab/>
      </w:r>
      <w:r>
        <w:rPr>
          <w:rFonts w:ascii="Times New Roman" w:cs="Times New Roman" w:eastAsia="Times New Roman" w:hAnsi="Times New Roman"/>
          <w:sz w:val="17"/>
          <w:szCs w:val="17"/>
          <w:color w:val="auto"/>
        </w:rPr>
        <w:t>Robert L. Ciardella</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8"/>
          </w:tcPr>
          <w:p>
            <w:pPr>
              <w:ind w:left="460"/>
              <w:spacing w:after="0"/>
              <w:rPr>
                <w:sz w:val="20"/>
                <w:szCs w:val="20"/>
                <w:color w:val="auto"/>
              </w:rPr>
            </w:pPr>
            <w:r>
              <w:rPr>
                <w:rFonts w:ascii="Times New Roman" w:cs="Times New Roman" w:eastAsia="Times New Roman" w:hAnsi="Times New Roman"/>
                <w:sz w:val="17"/>
                <w:szCs w:val="17"/>
                <w:b w:val="1"/>
                <w:bCs w:val="1"/>
                <w:color w:val="auto"/>
              </w:rPr>
              <w:t>2017 SUMMARY COMPENSATION TABLE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420" w:type="dxa"/>
            <w:vAlign w:val="bottom"/>
            <w:gridSpan w:val="10"/>
          </w:tcPr>
          <w:p>
            <w:pPr>
              <w:jc w:val="right"/>
              <w:ind w:right="520"/>
              <w:spacing w:after="0"/>
              <w:rPr>
                <w:sz w:val="20"/>
                <w:szCs w:val="20"/>
                <w:color w:val="auto"/>
              </w:rPr>
            </w:pPr>
            <w:r>
              <w:rPr>
                <w:rFonts w:ascii="Times New Roman" w:cs="Times New Roman" w:eastAsia="Times New Roman" w:hAnsi="Times New Roman"/>
                <w:sz w:val="17"/>
                <w:szCs w:val="17"/>
                <w:color w:val="auto"/>
              </w:rPr>
              <w:t>The following table shows compensation information for fiscal 2017 for the NEOs.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Nonqualified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Plan</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Comp.</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2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Comp.</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Comp.</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60"/>
        </w:trPr>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Principal Position</w:t>
            </w:r>
          </w:p>
        </w:tc>
        <w:tc>
          <w:tcPr>
            <w:tcW w:w="100" w:type="dxa"/>
            <w:vAlign w:val="bottom"/>
          </w:tcPr>
          <w:p>
            <w:pPr>
              <w:spacing w:after="0"/>
              <w:rPr>
                <w:sz w:val="22"/>
                <w:szCs w:val="22"/>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Year</w:t>
            </w:r>
          </w:p>
        </w:tc>
        <w:tc>
          <w:tcPr>
            <w:tcW w:w="8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gridSpan w:val="2"/>
          </w:tcPr>
          <w:p>
            <w:pPr>
              <w:jc w:val="right"/>
              <w:ind w:right="75"/>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2"/>
                <w:szCs w:val="22"/>
                <w:color w:val="auto"/>
              </w:rPr>
            </w:pPr>
          </w:p>
        </w:tc>
        <w:tc>
          <w:tcPr>
            <w:tcW w:w="92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(2)</w:t>
            </w:r>
          </w:p>
        </w:tc>
        <w:tc>
          <w:tcPr>
            <w:tcW w:w="120" w:type="dxa"/>
            <w:vAlign w:val="bottom"/>
          </w:tcPr>
          <w:p>
            <w:pPr>
              <w:spacing w:after="0"/>
              <w:rPr>
                <w:sz w:val="22"/>
                <w:szCs w:val="22"/>
                <w:color w:val="auto"/>
              </w:rPr>
            </w:pPr>
          </w:p>
        </w:tc>
        <w:tc>
          <w:tcPr>
            <w:tcW w:w="13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(3)</w:t>
            </w:r>
          </w:p>
        </w:tc>
        <w:tc>
          <w:tcPr>
            <w:tcW w:w="100" w:type="dxa"/>
            <w:vAlign w:val="bottom"/>
          </w:tcPr>
          <w:p>
            <w:pPr>
              <w:spacing w:after="0"/>
              <w:rPr>
                <w:sz w:val="22"/>
                <w:szCs w:val="22"/>
                <w:color w:val="auto"/>
              </w:rPr>
            </w:pPr>
          </w:p>
        </w:tc>
        <w:tc>
          <w:tcPr>
            <w:tcW w:w="13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(4)</w:t>
            </w:r>
          </w:p>
        </w:tc>
        <w:tc>
          <w:tcPr>
            <w:tcW w:w="100" w:type="dxa"/>
            <w:vAlign w:val="bottom"/>
          </w:tcPr>
          <w:p>
            <w:pPr>
              <w:spacing w:after="0"/>
              <w:rPr>
                <w:sz w:val="22"/>
                <w:szCs w:val="22"/>
                <w:color w:val="auto"/>
              </w:rPr>
            </w:pPr>
          </w:p>
        </w:tc>
        <w:tc>
          <w:tcPr>
            <w:tcW w:w="92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(5)</w:t>
            </w:r>
          </w:p>
        </w:tc>
        <w:tc>
          <w:tcPr>
            <w:tcW w:w="100" w:type="dxa"/>
            <w:vAlign w:val="bottom"/>
          </w:tcPr>
          <w:p>
            <w:pPr>
              <w:spacing w:after="0"/>
              <w:rPr>
                <w:sz w:val="22"/>
                <w:szCs w:val="22"/>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527,308</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1,386,829</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794,361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17,581</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2,726,079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&amp;</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485,000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1,048,309</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577,485</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17,527</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2,128,321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410,000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879,050</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436,709</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17,036</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1,742,795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328,039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599,090</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292,884</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14,887</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1,234,900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Vice President, Finance &amp;</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534,619</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225,413</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14,737</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1,094,769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441,572</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180,430</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14,250</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921,252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Thomas D. Kampfer </w:t>
            </w:r>
            <w:r>
              <w:rPr>
                <w:rFonts w:ascii="Times New Roman" w:cs="Times New Roman" w:eastAsia="Times New Roman" w:hAnsi="Times New Roman"/>
                <w:sz w:val="28"/>
                <w:szCs w:val="28"/>
                <w:b w:val="1"/>
                <w:bCs w:val="1"/>
                <w:color w:val="auto"/>
                <w:vertAlign w:val="superscript"/>
              </w:rPr>
              <w:t>(6)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208,942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358,533</w:t>
            </w: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114,803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736,484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Vice President, Corp. Development,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General Counsel &amp; Secretary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Christopher G. Bohrson </w:t>
            </w:r>
            <w:r>
              <w:rPr>
                <w:rFonts w:ascii="Times New Roman" w:cs="Times New Roman" w:eastAsia="Times New Roman" w:hAnsi="Times New Roman"/>
                <w:sz w:val="28"/>
                <w:szCs w:val="28"/>
                <w:b w:val="1"/>
                <w:bCs w:val="1"/>
                <w:color w:val="auto"/>
                <w:vertAlign w:val="superscript"/>
              </w:rPr>
              <w:t>(6)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248,077</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332,836</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190,171</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12,952</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784,036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Vice President &amp; General Manager,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Digital Test Handlers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Ian von Fellenberg </w:t>
            </w:r>
            <w:r>
              <w:rPr>
                <w:rFonts w:ascii="Times New Roman" w:cs="Times New Roman" w:eastAsia="Times New Roman" w:hAnsi="Times New Roman"/>
                <w:sz w:val="28"/>
                <w:szCs w:val="28"/>
                <w:b w:val="1"/>
                <w:bCs w:val="1"/>
                <w:color w:val="auto"/>
                <w:vertAlign w:val="superscript"/>
              </w:rPr>
              <w:t>(6) (7)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249,431</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332,836</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4"/>
              </w:rPr>
              <w:t>188,849</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198,049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55,693</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1,024,858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Vice President &amp; General Manager,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Analog Test Handlers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60" w:hanging="306"/>
        <w:spacing w:after="0"/>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for Mr. Kampfer is a new-hire bonus of $50,000.</w:t>
      </w:r>
    </w:p>
    <w:p>
      <w:pPr>
        <w:spacing w:after="0" w:line="214" w:lineRule="exact"/>
        <w:rPr>
          <w:rFonts w:ascii="Times New Roman" w:cs="Times New Roman" w:eastAsia="Times New Roman" w:hAnsi="Times New Roman"/>
          <w:sz w:val="17"/>
          <w:szCs w:val="17"/>
          <w:color w:val="auto"/>
        </w:rPr>
      </w:pPr>
    </w:p>
    <w:p>
      <w:pPr>
        <w:ind w:left="360" w:right="180" w:hanging="306"/>
        <w:spacing w:after="0" w:line="259" w:lineRule="auto"/>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do not reflect compensation actually received by the NEOs. Instead, the amounts shown above are the grant date fair value for stock awards issued in the form of RSUs and PSUs granted in fiscal 2017, 2016 and 2015. The assumptions used to calculate the grant date fair value of the stock awards are set forth in Note 6, “Employee Benefit Plans,” included in Part IV, Item 15(a) of Cohu’s Annual Report on Form 10-K for the year ended December 30, 2017, filed with the SEC. The derived grant date fair value for the stock award is recognized, for financial statement purposes, over the number of days of service required for the award to vest in full. No options were granted to the NEOs during the three -year period ended December 30, 2017.</w:t>
      </w:r>
    </w:p>
    <w:p>
      <w:pPr>
        <w:spacing w:after="0" w:line="174" w:lineRule="exact"/>
        <w:rPr>
          <w:rFonts w:ascii="Times New Roman" w:cs="Times New Roman" w:eastAsia="Times New Roman" w:hAnsi="Times New Roman"/>
          <w:sz w:val="17"/>
          <w:szCs w:val="17"/>
          <w:color w:val="auto"/>
        </w:rPr>
      </w:pPr>
    </w:p>
    <w:p>
      <w:pPr>
        <w:ind w:left="360" w:right="200" w:hanging="306"/>
        <w:spacing w:after="0" w:line="284" w:lineRule="auto"/>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consist of performance-based incentive cash bonuses received by the NEO earned for services rendered in fiscal 2017, 2016 and 2015. Such amounts were paid under the 2005 Plan in February of the following fiscal year.</w:t>
      </w:r>
    </w:p>
    <w:p>
      <w:pPr>
        <w:spacing w:after="0" w:line="152" w:lineRule="exact"/>
        <w:rPr>
          <w:rFonts w:ascii="Times New Roman" w:cs="Times New Roman" w:eastAsia="Times New Roman" w:hAnsi="Times New Roman"/>
          <w:sz w:val="17"/>
          <w:szCs w:val="17"/>
          <w:color w:val="auto"/>
        </w:rPr>
      </w:pPr>
    </w:p>
    <w:p>
      <w:pPr>
        <w:ind w:left="360" w:right="160" w:hanging="306"/>
        <w:spacing w:after="0" w:line="262" w:lineRule="auto"/>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aggregate change in the actuarial present value of each NEO’s accumulated benefits under defined benefit plans, during the fiscal year. The amounts reported in this column vary with a number of factors, including the discount rate applied. The assumptions used to calculate the present value of Mr. von Fellenberg’s accumulated benefit obligation are set forth in Note 6, “Employee Benefit Plans,” included in Part IV, Item 15(a) of Cohu’s Annual Report on Form 10-K for the year ended December 30, 2017, filed with the SEC.</w:t>
      </w:r>
    </w:p>
    <w:p>
      <w:pPr>
        <w:spacing w:after="0" w:line="170" w:lineRule="exact"/>
        <w:rPr>
          <w:rFonts w:ascii="Times New Roman" w:cs="Times New Roman" w:eastAsia="Times New Roman" w:hAnsi="Times New Roman"/>
          <w:sz w:val="17"/>
          <w:szCs w:val="17"/>
          <w:color w:val="auto"/>
        </w:rPr>
      </w:pPr>
    </w:p>
    <w:p>
      <w:pPr>
        <w:ind w:left="360" w:hanging="306"/>
        <w:spacing w:after="0"/>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reflect the following for each NEO:</w:t>
      </w:r>
    </w:p>
    <w:p>
      <w:pPr>
        <w:spacing w:after="0" w:line="214" w:lineRule="exact"/>
        <w:rPr>
          <w:rFonts w:ascii="Times New Roman" w:cs="Times New Roman" w:eastAsia="Times New Roman" w:hAnsi="Times New Roman"/>
          <w:sz w:val="17"/>
          <w:szCs w:val="17"/>
          <w:color w:val="auto"/>
        </w:rPr>
      </w:pPr>
    </w:p>
    <w:p>
      <w:pPr>
        <w:ind w:left="600" w:right="700" w:hanging="226"/>
        <w:spacing w:after="0" w:line="284" w:lineRule="auto"/>
        <w:tabs>
          <w:tab w:leader="none" w:pos="6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U.S. based NEOs, includes amounts of Cohu’s matching contributions in fiscal 2017 under the Cohu 401(k) Plan (which is more fully described elsewhere herein under the heading “Retirement Benefits Under the 401(k) Plan, Executive Perquisites and Generally Available Benefits”).</w:t>
      </w:r>
    </w:p>
    <w:p>
      <w:pPr>
        <w:spacing w:after="0" w:line="152" w:lineRule="exact"/>
        <w:rPr>
          <w:rFonts w:ascii="Times New Roman" w:cs="Times New Roman" w:eastAsia="Times New Roman" w:hAnsi="Times New Roman"/>
          <w:sz w:val="17"/>
          <w:szCs w:val="17"/>
          <w:color w:val="auto"/>
        </w:rPr>
      </w:pPr>
    </w:p>
    <w:p>
      <w:pPr>
        <w:ind w:left="600" w:right="20" w:hanging="226"/>
        <w:spacing w:after="0" w:line="284" w:lineRule="auto"/>
        <w:tabs>
          <w:tab w:leader="none" w:pos="6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von Fellenberg during 2017 Cohu made contributions totaling $30,693 to the Ismeca Europe Semiconductor BVG Pension Plan. The amount reported above also includes an estimate of $25,000 for tax preparation and tax equalization payments he is entitled to.</w:t>
      </w:r>
    </w:p>
    <w:p>
      <w:pPr>
        <w:spacing w:after="0" w:line="152" w:lineRule="exact"/>
        <w:rPr>
          <w:rFonts w:ascii="Times New Roman" w:cs="Times New Roman" w:eastAsia="Times New Roman" w:hAnsi="Times New Roman"/>
          <w:sz w:val="17"/>
          <w:szCs w:val="17"/>
          <w:color w:val="auto"/>
        </w:rPr>
      </w:pPr>
    </w:p>
    <w:p>
      <w:pPr>
        <w:ind w:left="600" w:right="40" w:hanging="226"/>
        <w:spacing w:after="0" w:line="284" w:lineRule="auto"/>
        <w:tabs>
          <w:tab w:leader="none" w:pos="6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attributable to life insurance benefits provided by Cohu (such amount is taxable to the recipient). No life insurance benefits are provided to Mr. von Fellenberg.</w:t>
      </w:r>
    </w:p>
    <w:p>
      <w:pPr>
        <w:spacing w:after="0" w:line="152" w:lineRule="exact"/>
        <w:rPr>
          <w:rFonts w:ascii="Times New Roman" w:cs="Times New Roman" w:eastAsia="Times New Roman" w:hAnsi="Times New Roman"/>
          <w:sz w:val="17"/>
          <w:szCs w:val="17"/>
          <w:color w:val="auto"/>
        </w:rPr>
      </w:pPr>
    </w:p>
    <w:p>
      <w:pPr>
        <w:ind w:left="600" w:right="280" w:hanging="226"/>
        <w:spacing w:after="0" w:line="284" w:lineRule="auto"/>
        <w:tabs>
          <w:tab w:leader="none" w:pos="6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automobile expense allowance paid by Cohu (such amount is taxable to the recipient). Mr. von Fellenberg is not provided an automobile expense allowance.</w:t>
      </w:r>
    </w:p>
    <w:p>
      <w:pPr>
        <w:spacing w:after="0" w:line="152" w:lineRule="exact"/>
        <w:rPr>
          <w:sz w:val="20"/>
          <w:szCs w:val="20"/>
          <w:color w:val="auto"/>
        </w:rPr>
      </w:pPr>
    </w:p>
    <w:p>
      <w:pPr>
        <w:ind w:left="380" w:right="540"/>
        <w:spacing w:after="0" w:line="284" w:lineRule="auto"/>
        <w:rPr>
          <w:sz w:val="20"/>
          <w:szCs w:val="20"/>
          <w:color w:val="auto"/>
        </w:rPr>
      </w:pPr>
      <w:r>
        <w:rPr>
          <w:rFonts w:ascii="Times New Roman" w:cs="Times New Roman" w:eastAsia="Times New Roman" w:hAnsi="Times New Roman"/>
          <w:sz w:val="17"/>
          <w:szCs w:val="17"/>
          <w:color w:val="auto"/>
        </w:rPr>
        <w:t>Except as noted above, the amount attributable to each such perquisite or benefit for each NEO does not exceed the greater of $25,000 or 10% of the total amount of perquisites and personal benefits received by such NEO.</w:t>
      </w:r>
    </w:p>
    <w:p>
      <w:pPr>
        <w:spacing w:after="0" w:line="152" w:lineRule="exact"/>
        <w:rPr>
          <w:sz w:val="20"/>
          <w:szCs w:val="20"/>
          <w:color w:val="auto"/>
        </w:rPr>
      </w:pPr>
    </w:p>
    <w:p>
      <w:pPr>
        <w:ind w:left="360" w:right="320" w:hanging="306"/>
        <w:spacing w:after="0" w:line="284" w:lineRule="auto"/>
        <w:tabs>
          <w:tab w:leader="none" w:pos="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Kampfer joined Cohu on May 30, 2017, and Messrs. Bohrson and von Fellenberg were appointed as executive officers during 2017, as such, information related to their compensation is only presented for 2017.</w:t>
      </w:r>
    </w:p>
    <w:p>
      <w:pPr>
        <w:spacing w:after="0" w:line="152" w:lineRule="exact"/>
        <w:rPr>
          <w:rFonts w:ascii="Times New Roman" w:cs="Times New Roman" w:eastAsia="Times New Roman" w:hAnsi="Times New Roman"/>
          <w:sz w:val="17"/>
          <w:szCs w:val="17"/>
          <w:color w:val="auto"/>
        </w:rPr>
      </w:pPr>
    </w:p>
    <w:p>
      <w:pPr>
        <w:ind w:left="360" w:right="440" w:hanging="306"/>
        <w:spacing w:after="0" w:line="284" w:lineRule="auto"/>
        <w:tabs>
          <w:tab w:leader="none" w:pos="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to Mr. von Fellenberg were made in Swiss Francs. Compensation amounts presented have been converted to U.S. Dollars using the average daily exchange rate for the annual period presented above.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9" w:name="page40"/>
    <w:bookmarkEnd w:id="39"/>
    <w:p>
      <w:pPr>
        <w:ind w:right="40" w:firstLine="307"/>
        <w:spacing w:after="0" w:line="262" w:lineRule="auto"/>
        <w:rPr>
          <w:sz w:val="20"/>
          <w:szCs w:val="20"/>
          <w:color w:val="auto"/>
        </w:rPr>
      </w:pPr>
      <w:r>
        <w:rPr>
          <w:rFonts w:ascii="Times New Roman" w:cs="Times New Roman" w:eastAsia="Times New Roman" w:hAnsi="Times New Roman"/>
          <w:sz w:val="17"/>
          <w:szCs w:val="17"/>
          <w:color w:val="auto"/>
        </w:rPr>
        <w:t>We have not entered into any employment agreement with any of our NEOs, with the exception of Dr. Müller and Mr. von Fellenberg, whose employment agreements are described in more detail in “Employment Agreements” above. Similarly, the material terms of stock awards granted to our NEOs in 2017 and performance-based incentive cash bonuses earned by our NEOs for 2017 are described in more detail in “Long-Term Incentive Compensation” and “Annual Incentive Bonuses,” respectively, above.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2017 CEO PAY RATIO</w:t>
      </w:r>
    </w:p>
    <w:p>
      <w:pPr>
        <w:spacing w:after="0" w:line="218" w:lineRule="exact"/>
        <w:rPr>
          <w:sz w:val="20"/>
          <w:szCs w:val="20"/>
          <w:color w:val="auto"/>
        </w:rPr>
      </w:pPr>
    </w:p>
    <w:p>
      <w:pPr>
        <w:ind w:right="300" w:firstLine="307"/>
        <w:spacing w:after="0" w:line="284" w:lineRule="auto"/>
        <w:rPr>
          <w:sz w:val="20"/>
          <w:szCs w:val="20"/>
          <w:color w:val="auto"/>
        </w:rPr>
      </w:pPr>
      <w:r>
        <w:rPr>
          <w:rFonts w:ascii="Times New Roman" w:cs="Times New Roman" w:eastAsia="Times New Roman" w:hAnsi="Times New Roman"/>
          <w:sz w:val="17"/>
          <w:szCs w:val="17"/>
          <w:color w:val="auto"/>
        </w:rPr>
        <w:t>As required by Section 953(b) of the Dodd-Frank Wall Street Reform and Consumer Protection Act, and Item 401(u) of Regulation S-K, we are providing the following information about the relationship of the annual total compensation of our employees and the annual total compensation of Dr. Luis Müller, our CEO.</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2017, our last completed fiscal year:</w:t>
      </w:r>
    </w:p>
    <w:p>
      <w:pPr>
        <w:spacing w:after="0" w:line="214" w:lineRule="exact"/>
        <w:rPr>
          <w:sz w:val="20"/>
          <w:szCs w:val="20"/>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median of the annual total compensation of all employees of our company (other than our CEO), was $30,904; and</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CEO, as reported in the Summary Compensation Table presented elsewhere in this Proxy Statement, was $2,726,079.</w:t>
      </w:r>
    </w:p>
    <w:p>
      <w:pPr>
        <w:spacing w:after="0" w:line="206" w:lineRule="exact"/>
        <w:rPr>
          <w:sz w:val="20"/>
          <w:szCs w:val="20"/>
          <w:color w:val="auto"/>
        </w:rPr>
      </w:pPr>
    </w:p>
    <w:p>
      <w:pPr>
        <w:ind w:left="20" w:firstLine="307"/>
        <w:spacing w:after="0" w:line="289" w:lineRule="auto"/>
        <w:rPr>
          <w:sz w:val="20"/>
          <w:szCs w:val="20"/>
          <w:color w:val="auto"/>
        </w:rPr>
      </w:pPr>
      <w:r>
        <w:rPr>
          <w:rFonts w:ascii="Times New Roman" w:cs="Times New Roman" w:eastAsia="Times New Roman" w:hAnsi="Times New Roman"/>
          <w:sz w:val="17"/>
          <w:szCs w:val="17"/>
          <w:b w:val="1"/>
          <w:bCs w:val="1"/>
          <w:color w:val="auto"/>
        </w:rPr>
        <w:t>Based on this information, for 2017 the ratio of the annual total compensation of Dr. Müller, our CEO, to the median of the annual total compensation of all our employees was 88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258050" cy="281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81305"/>
                    </a:xfrm>
                    <a:prstGeom prst="rect">
                      <a:avLst/>
                    </a:prstGeom>
                    <a:noFill/>
                  </pic:spPr>
                </pic:pic>
              </a:graphicData>
            </a:graphic>
          </wp:anchor>
        </w:drawing>
      </w:r>
    </w:p>
    <w:p>
      <w:pPr>
        <w:spacing w:after="0" w:line="141" w:lineRule="exact"/>
        <w:rPr>
          <w:sz w:val="20"/>
          <w:szCs w:val="20"/>
          <w:color w:val="auto"/>
        </w:rPr>
      </w:pPr>
    </w:p>
    <w:p>
      <w:pPr>
        <w:ind w:right="100" w:firstLine="307"/>
        <w:spacing w:after="0" w:line="259" w:lineRule="auto"/>
        <w:rPr>
          <w:sz w:val="20"/>
          <w:szCs w:val="20"/>
          <w:color w:val="auto"/>
        </w:rPr>
      </w:pPr>
      <w:r>
        <w:rPr>
          <w:rFonts w:ascii="Times New Roman" w:cs="Times New Roman" w:eastAsia="Times New Roman" w:hAnsi="Times New Roman"/>
          <w:sz w:val="17"/>
          <w:szCs w:val="17"/>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5" w:lineRule="exact"/>
        <w:rPr>
          <w:sz w:val="20"/>
          <w:szCs w:val="20"/>
          <w:color w:val="auto"/>
        </w:rPr>
      </w:pPr>
    </w:p>
    <w:p>
      <w:pPr>
        <w:ind w:right="40" w:firstLine="307"/>
        <w:spacing w:after="0" w:line="256" w:lineRule="auto"/>
        <w:rPr>
          <w:sz w:val="20"/>
          <w:szCs w:val="20"/>
          <w:color w:val="auto"/>
        </w:rPr>
      </w:pPr>
      <w:r>
        <w:rPr>
          <w:rFonts w:ascii="Times New Roman" w:cs="Times New Roman" w:eastAsia="Times New Roman" w:hAnsi="Times New Roman"/>
          <w:sz w:val="17"/>
          <w:szCs w:val="17"/>
          <w:color w:val="auto"/>
        </w:rPr>
        <w:t>We determined that, as of October 1, 2017, our employee population consisted of approximately 1,745 individuals globally, with 17% of these individuals located in the United States, 16% located in Europe (primarily in Germany and Switzerland), and 67% located in Asia (primarily in Malaysia and the Philippines) . We selected October 1, 2017, which is within the last three months of 2017,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2017 compensation (actual compensation paid January through September 2017 plus estimated compensation for October through December 2017)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76" w:lineRule="exact"/>
        <w:rPr>
          <w:sz w:val="20"/>
          <w:szCs w:val="20"/>
          <w:color w:val="auto"/>
        </w:rPr>
      </w:pPr>
    </w:p>
    <w:p>
      <w:pPr>
        <w:ind w:right="200" w:firstLine="307"/>
        <w:spacing w:after="0" w:line="267" w:lineRule="auto"/>
        <w:rPr>
          <w:sz w:val="20"/>
          <w:szCs w:val="20"/>
          <w:color w:val="auto"/>
        </w:rPr>
      </w:pPr>
      <w:r>
        <w:rPr>
          <w:rFonts w:ascii="Times New Roman" w:cs="Times New Roman" w:eastAsia="Times New Roman" w:hAnsi="Times New Roman"/>
          <w:sz w:val="17"/>
          <w:szCs w:val="17"/>
          <w:color w:val="auto"/>
        </w:rPr>
        <w:t>Using this methodology, we determined that the “median employee” was a full-time, salaried employee located in China. The median employee’s actual annual total compensation for the 12-month period ending December 31, 2017, was $30,904. This amount includes all wages, overtime pay, statutory and variable bonus payments, localized personal benefits, and mandatory payments to the government regarding pension, healthcare and housing converted to U.S. Dollars.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40" w:name="page41"/>
    <w:bookmarkEnd w:id="40"/>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2017 GRANTS OF PLAN-BASED AWARDS</w:t>
      </w:r>
    </w:p>
    <w:p>
      <w:pPr>
        <w:spacing w:after="0" w:line="218" w:lineRule="exact"/>
        <w:rPr>
          <w:sz w:val="20"/>
          <w:szCs w:val="20"/>
          <w:color w:val="auto"/>
        </w:rPr>
      </w:pPr>
    </w:p>
    <w:p>
      <w:pPr>
        <w:jc w:val="both"/>
        <w:ind w:right="60" w:firstLine="307"/>
        <w:spacing w:after="0" w:line="267" w:lineRule="auto"/>
        <w:rPr>
          <w:sz w:val="20"/>
          <w:szCs w:val="20"/>
          <w:color w:val="auto"/>
        </w:rPr>
      </w:pPr>
      <w:r>
        <w:rPr>
          <w:rFonts w:ascii="Times New Roman" w:cs="Times New Roman" w:eastAsia="Times New Roman" w:hAnsi="Times New Roman"/>
          <w:sz w:val="17"/>
          <w:szCs w:val="17"/>
          <w:color w:val="auto"/>
        </w:rPr>
        <w:t>The following table shows all plan-based awards granted to the NEOs during fiscal 2017, which ended on December 30, 2017. The stock awards identified in the table below are also reported in the “Outstanding Equity Awards at December 30, 2017” table included herein. The Company did not grant any stock options to NEOs under the 2005 Plan in fiscal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Estimated Future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Estimated Future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Grant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Payouts Under Non-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w w:val="99"/>
              </w:rPr>
              <w:t>Payouts Under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Fair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Equity Incentive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w w:val="99"/>
              </w:rPr>
              <w:t>Equity Incentive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center"/>
              <w:ind w:right="220"/>
              <w:spacing w:after="0" w:line="259" w:lineRule="exact"/>
              <w:rPr>
                <w:sz w:val="20"/>
                <w:szCs w:val="20"/>
                <w:color w:val="auto"/>
              </w:rPr>
            </w:pPr>
            <w:r>
              <w:rPr>
                <w:rFonts w:ascii="Times New Roman" w:cs="Times New Roman" w:eastAsia="Times New Roman" w:hAnsi="Times New Roman"/>
                <w:sz w:val="17"/>
                <w:szCs w:val="17"/>
                <w:b w:val="1"/>
                <w:bCs w:val="1"/>
                <w:color w:val="auto"/>
                <w:w w:val="94"/>
              </w:rPr>
              <w:t xml:space="preserve">Plan Awards </w:t>
            </w:r>
            <w:r>
              <w:rPr>
                <w:rFonts w:ascii="Times New Roman" w:cs="Times New Roman" w:eastAsia="Times New Roman" w:hAnsi="Times New Roman"/>
                <w:sz w:val="28"/>
                <w:szCs w:val="28"/>
                <w:b w:val="1"/>
                <w:bCs w:val="1"/>
                <w:color w:val="auto"/>
                <w:w w:val="94"/>
                <w:vertAlign w:val="superscript"/>
              </w:rPr>
              <w:t>(1)</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bottom w:val="single" w:sz="8" w:color="auto"/>
            </w:tcBorders>
            <w:gridSpan w:val="5"/>
          </w:tcPr>
          <w:p>
            <w:pPr>
              <w:jc w:val="center"/>
              <w:ind w:left="475"/>
              <w:spacing w:after="0" w:line="259" w:lineRule="exact"/>
              <w:rPr>
                <w:sz w:val="20"/>
                <w:szCs w:val="20"/>
                <w:color w:val="auto"/>
              </w:rPr>
            </w:pPr>
            <w:r>
              <w:rPr>
                <w:rFonts w:ascii="Times New Roman" w:cs="Times New Roman" w:eastAsia="Times New Roman" w:hAnsi="Times New Roman"/>
                <w:sz w:val="17"/>
                <w:szCs w:val="17"/>
                <w:b w:val="1"/>
                <w:bCs w:val="1"/>
                <w:color w:val="auto"/>
                <w:w w:val="93"/>
              </w:rPr>
              <w:t xml:space="preserve">Plan Awards </w:t>
            </w:r>
            <w:r>
              <w:rPr>
                <w:rFonts w:ascii="Times New Roman" w:cs="Times New Roman" w:eastAsia="Times New Roman" w:hAnsi="Times New Roman"/>
                <w:sz w:val="28"/>
                <w:szCs w:val="28"/>
                <w:b w:val="1"/>
                <w:bCs w:val="1"/>
                <w:color w:val="auto"/>
                <w:w w:val="93"/>
                <w:vertAlign w:val="superscript"/>
              </w:rPr>
              <w:t>(2)</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Stock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b w:val="1"/>
                <w:bCs w:val="1"/>
                <w:color w:val="auto"/>
                <w:w w:val="99"/>
              </w:rPr>
              <w:t>Thres-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Maxi-</w:t>
            </w:r>
          </w:p>
        </w:tc>
        <w:tc>
          <w:tcPr>
            <w:tcW w:w="100" w:type="dxa"/>
            <w:vAlign w:val="bottom"/>
          </w:tcPr>
          <w:p>
            <w:pPr>
              <w:spacing w:after="0"/>
              <w:rPr>
                <w:sz w:val="15"/>
                <w:szCs w:val="15"/>
                <w:color w:val="auto"/>
              </w:rPr>
            </w:pPr>
          </w:p>
        </w:tc>
        <w:tc>
          <w:tcPr>
            <w:tcW w:w="84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7"/>
                <w:szCs w:val="17"/>
                <w:b w:val="1"/>
                <w:bCs w:val="1"/>
                <w:color w:val="auto"/>
                <w:w w:val="99"/>
              </w:rPr>
              <w:t>Thres-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35"/>
              <w:spacing w:after="0" w:line="177" w:lineRule="exact"/>
              <w:rPr>
                <w:sz w:val="20"/>
                <w:szCs w:val="20"/>
                <w:color w:val="auto"/>
              </w:rPr>
            </w:pPr>
            <w:r>
              <w:rPr>
                <w:rFonts w:ascii="Times New Roman" w:cs="Times New Roman" w:eastAsia="Times New Roman" w:hAnsi="Times New Roman"/>
                <w:sz w:val="17"/>
                <w:szCs w:val="17"/>
                <w:b w:val="1"/>
                <w:bCs w:val="1"/>
                <w:color w:val="auto"/>
              </w:rPr>
              <w:t>Maxi-</w:t>
            </w:r>
          </w:p>
        </w:tc>
        <w:tc>
          <w:tcPr>
            <w:tcW w:w="100" w:type="dxa"/>
            <w:vAlign w:val="bottom"/>
          </w:tcPr>
          <w:p>
            <w:pPr>
              <w:spacing w:after="0"/>
              <w:rPr>
                <w:sz w:val="15"/>
                <w:szCs w:val="15"/>
                <w:color w:val="auto"/>
              </w:rPr>
            </w:pPr>
          </w:p>
        </w:tc>
        <w:tc>
          <w:tcPr>
            <w:tcW w:w="122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rPr>
              <w:t>Stock or</w:t>
            </w:r>
          </w:p>
        </w:tc>
        <w:tc>
          <w:tcPr>
            <w:tcW w:w="11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Option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Grant</w:t>
            </w:r>
          </w:p>
        </w:tc>
        <w:tc>
          <w:tcPr>
            <w:tcW w:w="8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hold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mum</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hold</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mum</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0" w:type="dxa"/>
            <w:vAlign w:val="bottom"/>
          </w:tcPr>
          <w:p>
            <w:pPr>
              <w:spacing w:after="0"/>
              <w:rPr>
                <w:sz w:val="1"/>
                <w:szCs w:val="1"/>
                <w:color w:val="auto"/>
              </w:rPr>
            </w:pPr>
          </w:p>
        </w:tc>
      </w:tr>
      <w:tr>
        <w:trPr>
          <w:trHeight w:val="260"/>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Award Type</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112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(3)</w:t>
            </w:r>
          </w:p>
        </w:tc>
        <w:tc>
          <w:tcPr>
            <w:tcW w:w="100" w:type="dxa"/>
            <w:vAlign w:val="bottom"/>
          </w:tcPr>
          <w:p>
            <w:pPr>
              <w:spacing w:after="0"/>
              <w:rPr>
                <w:sz w:val="22"/>
                <w:szCs w:val="22"/>
                <w:color w:val="auto"/>
              </w:rPr>
            </w:pPr>
          </w:p>
        </w:tc>
        <w:tc>
          <w:tcPr>
            <w:tcW w:w="114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w:t>
            </w:r>
          </w:p>
        </w:tc>
        <w:tc>
          <w:tcPr>
            <w:tcW w:w="2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Incentive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535,000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891,845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Müller</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9,373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37,492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74,984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D.</w:t>
            </w:r>
          </w:p>
        </w:tc>
        <w:tc>
          <w:tcPr>
            <w:tcW w:w="2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Incentive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197,700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329,500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Jones</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16,196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4,049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16,196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344,327</w:t>
            </w:r>
          </w:p>
        </w:tc>
        <w:tc>
          <w:tcPr>
            <w:tcW w:w="0" w:type="dxa"/>
            <w:vAlign w:val="bottom"/>
          </w:tcPr>
          <w:p>
            <w:pPr>
              <w:spacing w:after="0"/>
              <w:rPr>
                <w:sz w:val="1"/>
                <w:szCs w:val="1"/>
                <w:color w:val="auto"/>
              </w:rPr>
            </w:pPr>
          </w:p>
        </w:tc>
      </w:tr>
      <w:tr>
        <w:trPr>
          <w:trHeight w:val="205"/>
        </w:trPr>
        <w:tc>
          <w:tcPr>
            <w:tcW w:w="1140" w:type="dxa"/>
            <w:vAlign w:val="bottom"/>
            <w:gridSpan w:val="2"/>
          </w:tcPr>
          <w:p>
            <w:pPr>
              <w:spacing w:after="0"/>
              <w:rPr>
                <w:sz w:val="17"/>
                <w:szCs w:val="17"/>
                <w:color w:val="auto"/>
              </w:rPr>
            </w:pPr>
          </w:p>
        </w:tc>
        <w:tc>
          <w:tcPr>
            <w:tcW w:w="1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w:t>
            </w:r>
          </w:p>
        </w:tc>
        <w:tc>
          <w:tcPr>
            <w:tcW w:w="20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17"/>
                <w:szCs w:val="17"/>
                <w:color w:val="auto"/>
              </w:rPr>
              <w:t xml:space="preserve">Cash Incentive </w:t>
            </w:r>
            <w:r>
              <w:rPr>
                <w:rFonts w:ascii="Times New Roman" w:cs="Times New Roman" w:eastAsia="Times New Roman" w:hAnsi="Times New Roman"/>
                <w:sz w:val="28"/>
                <w:szCs w:val="28"/>
                <w:b w:val="1"/>
                <w:bCs w:val="1"/>
                <w:color w:val="auto"/>
                <w:vertAlign w:val="superscript"/>
              </w:rPr>
              <w:t>(5)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83,125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124,688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Kampfer</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5/31/2017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5/31/2017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9,274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197,165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Christopher G.</w:t>
            </w:r>
          </w:p>
        </w:tc>
        <w:tc>
          <w:tcPr>
            <w:tcW w:w="2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Incentive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125,000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208,250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Bohrson</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8,998</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191,297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Ian</w:t>
            </w:r>
          </w:p>
        </w:tc>
        <w:tc>
          <w:tcPr>
            <w:tcW w:w="2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Incentive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120,532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200,806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von Fellenberg</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3/22/2017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8,998</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191,297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304"/>
        <w:spacing w:after="0" w:line="259"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are estimated possible payouts for fiscal 2017 under the executive incentive bonus plan. These amounts are based on the individual’s fiscal 2017 base salary amounts, and position. The maximum amount shown is 133% of the target amount for each of the NEOs. Actual bonuses received by the NEOs for fiscal 2017 are reported in the Summary Compensation Table under the column entitled “Non-Equity Incentive Plan Compensation.” Amounts earned by our NEOs for performance in 2017 are based on the attainment of performance goals for both the Company and the individual NEO, as described in more detail in “Annual Incentive Bonuses” above.</w:t>
      </w:r>
    </w:p>
    <w:p>
      <w:pPr>
        <w:spacing w:after="0" w:line="174" w:lineRule="exact"/>
        <w:rPr>
          <w:rFonts w:ascii="Times New Roman" w:cs="Times New Roman" w:eastAsia="Times New Roman" w:hAnsi="Times New Roman"/>
          <w:sz w:val="17"/>
          <w:szCs w:val="17"/>
          <w:color w:val="auto"/>
        </w:rPr>
      </w:pPr>
    </w:p>
    <w:p>
      <w:pPr>
        <w:ind w:left="460" w:right="40" w:hanging="304"/>
        <w:spacing w:after="0" w:line="259"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PSU awards granted to our NEOs in 2017 are subject to certain adjustments resulting from the performance of our total stockholder return (“TSR”) relative to a pre-selected comparator group over the two-year period following the date of grant. The PSU awards granted in 2017 vest 100% on the third anniversary of the date of grant. Assuming the highest level of performance conditions are achieved, the grant date fair values for performance-based stock awards made in fiscal 2017 would be $1,594,160, $688,654, $394,330, $382,595 and $382,595 for Dr. Müller and Messrs. Jones, Kampfer, Bohrson and von Fellenberg, respectively.</w:t>
      </w:r>
    </w:p>
    <w:p>
      <w:pPr>
        <w:spacing w:after="0" w:line="174" w:lineRule="exact"/>
        <w:rPr>
          <w:rFonts w:ascii="Times New Roman" w:cs="Times New Roman" w:eastAsia="Times New Roman" w:hAnsi="Times New Roman"/>
          <w:sz w:val="17"/>
          <w:szCs w:val="17"/>
          <w:color w:val="auto"/>
        </w:rPr>
      </w:pPr>
    </w:p>
    <w:p>
      <w:pPr>
        <w:ind w:left="460" w:right="160" w:hanging="304"/>
        <w:spacing w:after="0" w:line="284"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reflect the number of RSUs awarded to each NEO under the 2005 Plan. The RSU awards granted to our NEOs in 2017 vest at the rate of 25% of the shares of our common stock subject to the awards per year.</w:t>
      </w:r>
    </w:p>
    <w:p>
      <w:pPr>
        <w:spacing w:after="0" w:line="152" w:lineRule="exact"/>
        <w:rPr>
          <w:rFonts w:ascii="Times New Roman" w:cs="Times New Roman" w:eastAsia="Times New Roman" w:hAnsi="Times New Roman"/>
          <w:sz w:val="17"/>
          <w:szCs w:val="17"/>
          <w:color w:val="auto"/>
        </w:rPr>
      </w:pPr>
    </w:p>
    <w:p>
      <w:pPr>
        <w:jc w:val="both"/>
        <w:ind w:left="460" w:right="80" w:hanging="304"/>
        <w:spacing w:after="0" w:line="267"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above are the grant date fair value for stock awards issued in fiscal 2017. The assumptions used to calculate the grant date fair value of the awards are set forth in Note 6, “Employee Benefit Plans,” included in Part IV, Item 15(a) of Cohu’s Annual Report on Form 10-K for the year ended December 30, 2017, filed with the SEC.</w:t>
      </w:r>
    </w:p>
    <w:p>
      <w:pPr>
        <w:spacing w:after="0" w:line="167" w:lineRule="exact"/>
        <w:rPr>
          <w:rFonts w:ascii="Times New Roman" w:cs="Times New Roman" w:eastAsia="Times New Roman" w:hAnsi="Times New Roman"/>
          <w:sz w:val="17"/>
          <w:szCs w:val="17"/>
          <w:color w:val="auto"/>
        </w:rPr>
      </w:pPr>
    </w:p>
    <w:p>
      <w:pPr>
        <w:ind w:left="460" w:right="120" w:hanging="304"/>
        <w:spacing w:after="0" w:line="284"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Kampfer’s target and maximum “Cash Incentive” amounts presented in the table above have been prorated to his start date of May 30, 2017. Non-prorated target and maximum payouts were $142,500 and $213,750, respectively.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9"/>
          </w:tcPr>
          <w:p>
            <w:pPr>
              <w:ind w:left="620"/>
              <w:spacing w:after="0"/>
              <w:rPr>
                <w:sz w:val="20"/>
                <w:szCs w:val="20"/>
                <w:color w:val="auto"/>
              </w:rPr>
            </w:pPr>
            <w:r>
              <w:rPr>
                <w:rFonts w:ascii="Times New Roman" w:cs="Times New Roman" w:eastAsia="Times New Roman" w:hAnsi="Times New Roman"/>
                <w:sz w:val="17"/>
                <w:szCs w:val="17"/>
                <w:b w:val="1"/>
                <w:bCs w:val="1"/>
                <w:color w:val="auto"/>
                <w:w w:val="99"/>
              </w:rPr>
              <w:t>OUTSTANDING EQUITY AWARDS AT DECEMBER 30, 2017</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260" w:type="dxa"/>
            <w:vAlign w:val="bottom"/>
            <w:gridSpan w:val="17"/>
          </w:tcPr>
          <w:p>
            <w:pPr>
              <w:jc w:val="right"/>
              <w:ind w:right="520"/>
              <w:spacing w:after="0"/>
              <w:rPr>
                <w:sz w:val="20"/>
                <w:szCs w:val="20"/>
                <w:color w:val="auto"/>
              </w:rPr>
            </w:pPr>
            <w:r>
              <w:rPr>
                <w:rFonts w:ascii="Times New Roman" w:cs="Times New Roman" w:eastAsia="Times New Roman" w:hAnsi="Times New Roman"/>
                <w:sz w:val="17"/>
                <w:szCs w:val="17"/>
                <w:color w:val="auto"/>
              </w:rPr>
              <w:t>The following table shows all outstanding equity awards held by each NEO at the end of fiscal 2017, which ended on December 30, 2017.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 Payout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Shares or</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Units 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Units 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Units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or Units</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 Stock</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That Have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Unexercisable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Not</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0" w:type="dxa"/>
            <w:vAlign w:val="bottom"/>
          </w:tcPr>
          <w:p>
            <w:pPr>
              <w:spacing w:after="0"/>
              <w:rPr>
                <w:sz w:val="1"/>
                <w:szCs w:val="1"/>
                <w:color w:val="auto"/>
              </w:rPr>
            </w:pPr>
          </w:p>
        </w:tc>
      </w:tr>
      <w:tr>
        <w:trPr>
          <w:trHeight w:val="260"/>
        </w:trPr>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20" w:type="dxa"/>
            <w:vAlign w:val="bottom"/>
            <w:gridSpan w:val="2"/>
          </w:tcPr>
          <w:p>
            <w:pPr>
              <w:jc w:val="center"/>
              <w:ind w:left="15"/>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(1)</w:t>
            </w:r>
          </w:p>
        </w:tc>
        <w:tc>
          <w:tcPr>
            <w:tcW w:w="120" w:type="dxa"/>
            <w:vAlign w:val="bottom"/>
          </w:tcPr>
          <w:p>
            <w:pPr>
              <w:spacing w:after="0"/>
              <w:rPr>
                <w:sz w:val="22"/>
                <w:szCs w:val="22"/>
                <w:color w:val="auto"/>
              </w:rPr>
            </w:pPr>
          </w:p>
        </w:tc>
        <w:tc>
          <w:tcPr>
            <w:tcW w:w="14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(1)</w:t>
            </w:r>
          </w:p>
        </w:tc>
        <w:tc>
          <w:tcPr>
            <w:tcW w:w="1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Price ($)</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Vested (#)</w:t>
            </w:r>
          </w:p>
        </w:tc>
        <w:tc>
          <w:tcPr>
            <w:tcW w:w="940" w:type="dxa"/>
            <w:vAlign w:val="bottom"/>
          </w:tcPr>
          <w:p>
            <w:pPr>
              <w:jc w:val="center"/>
              <w:ind w:right="55"/>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(2)</w:t>
            </w:r>
          </w:p>
        </w:tc>
        <w:tc>
          <w:tcPr>
            <w:tcW w:w="100" w:type="dxa"/>
            <w:vAlign w:val="bottom"/>
          </w:tcPr>
          <w:p>
            <w:pPr>
              <w:spacing w:after="0"/>
              <w:rPr>
                <w:sz w:val="22"/>
                <w:szCs w:val="22"/>
                <w:color w:val="auto"/>
              </w:rPr>
            </w:pPr>
          </w:p>
        </w:tc>
        <w:tc>
          <w:tcPr>
            <w:tcW w:w="104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(3)</w:t>
            </w:r>
          </w:p>
        </w:tc>
        <w:tc>
          <w:tcPr>
            <w:tcW w:w="100" w:type="dxa"/>
            <w:vAlign w:val="bottom"/>
          </w:tcPr>
          <w:p>
            <w:pPr>
              <w:spacing w:after="0"/>
              <w:rPr>
                <w:sz w:val="22"/>
                <w:szCs w:val="22"/>
                <w:color w:val="auto"/>
              </w:rPr>
            </w:pPr>
          </w:p>
        </w:tc>
        <w:tc>
          <w:tcPr>
            <w:tcW w:w="114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45,000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3/26/2023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118,796</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2,607,572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78,542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1,723,997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Müller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D.</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33,780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3/6/2022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63,415</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1,391,959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37,131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815,025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Jones</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38,442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3/26/2023</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203,564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Kampfer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Christopher G.</w:t>
            </w:r>
          </w:p>
        </w:tc>
        <w:tc>
          <w:tcPr>
            <w:tcW w:w="1540" w:type="dxa"/>
            <w:vAlign w:val="bottom"/>
            <w:gridSpan w:val="3"/>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19,030</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417,709</w:t>
            </w:r>
          </w:p>
        </w:tc>
        <w:tc>
          <w:tcPr>
            <w:tcW w:w="11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22,375</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491,131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Bohrson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9/11/2023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30,851</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677,179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413,758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von Fellenberg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304"/>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options vest at a rate of 25% per year over the first four years after the date of grant and have a ten-year term.</w:t>
      </w:r>
    </w:p>
    <w:p>
      <w:pPr>
        <w:spacing w:after="0" w:line="214" w:lineRule="exact"/>
        <w:rPr>
          <w:rFonts w:ascii="Times New Roman" w:cs="Times New Roman" w:eastAsia="Times New Roman" w:hAnsi="Times New Roman"/>
          <w:sz w:val="17"/>
          <w:szCs w:val="17"/>
          <w:color w:val="auto"/>
        </w:rPr>
      </w:pPr>
    </w:p>
    <w:p>
      <w:pPr>
        <w:ind w:left="460" w:right="160" w:hanging="304"/>
        <w:spacing w:after="0" w:line="267" w:lineRule="auto"/>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closing price of Cohu’s common stock of $21.95 as reported on the NASDAQ Global Select Market on December 29, 2017. RSUs vest and shares are issued in four equal annual installments beginning one year after the date of grant. PSUs granted in 2017 and 2016 vest 100% on the third anniversary of their grant and PSUs granted in 2015 and 2014 vest 50% on the second and third anniversary of their grant, respectively.</w:t>
      </w:r>
    </w:p>
    <w:p>
      <w:pPr>
        <w:spacing w:after="0" w:line="167"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PSUs granted under the 2016 and 2017 PSU program at the target award level.</w:t>
      </w:r>
    </w:p>
    <w:p>
      <w:pPr>
        <w:spacing w:after="0" w:line="214" w:lineRule="exact"/>
        <w:rPr>
          <w:rFonts w:ascii="Times New Roman" w:cs="Times New Roman" w:eastAsia="Times New Roman" w:hAnsi="Times New Roman"/>
          <w:sz w:val="17"/>
          <w:szCs w:val="17"/>
          <w:color w:val="auto"/>
        </w:rPr>
      </w:pPr>
    </w:p>
    <w:p>
      <w:pPr>
        <w:ind w:left="460" w:right="40" w:hanging="304"/>
        <w:spacing w:after="0" w:line="262" w:lineRule="auto"/>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closing price of Cohu’s common stock of $21.95 as reported on the NASDAQ Global Select Market on December 29, 2017. RSUs vest and shares are issued in four equal annual installments beginning one year after the date of grant. On March 22, 2016, an additional one-time RSU grant which vests 100% on the second anniversary of their date of grant was made to some our NEOs as follows: Dr. Müller – 10,262, Mr. Jones – 5,233 and Mr. von Fellenberg – 2,463. This additional grant was awarded to adjust for the change of the 2016 PSU performance period from two to three years.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2017 OPTION EXERCISES AND STOCK VESTED</w:t>
      </w:r>
    </w:p>
    <w:p>
      <w:pPr>
        <w:spacing w:after="0" w:line="218" w:lineRule="exact"/>
        <w:rPr>
          <w:sz w:val="20"/>
          <w:szCs w:val="20"/>
          <w:color w:val="auto"/>
        </w:rPr>
      </w:pPr>
    </w:p>
    <w:p>
      <w:pPr>
        <w:ind w:right="100" w:firstLine="307"/>
        <w:spacing w:after="0" w:line="284" w:lineRule="auto"/>
        <w:rPr>
          <w:sz w:val="20"/>
          <w:szCs w:val="20"/>
          <w:color w:val="auto"/>
        </w:rPr>
      </w:pPr>
      <w:r>
        <w:rPr>
          <w:rFonts w:ascii="Times New Roman" w:cs="Times New Roman" w:eastAsia="Times New Roman" w:hAnsi="Times New Roman"/>
          <w:sz w:val="17"/>
          <w:szCs w:val="17"/>
          <w:color w:val="auto"/>
        </w:rPr>
        <w:t>The following table shows all stock options exercised and the value realized upon exercise and all stock awards vested and the value realized upon vesting by the NEOs during fiscal 2017, which ended on December 30, 2017.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4"/>
            <w:vMerge w:val="restart"/>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266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vMerge w:val="continue"/>
          </w:tcPr>
          <w:p>
            <w:pPr>
              <w:spacing w:after="0"/>
              <w:rPr>
                <w:sz w:val="17"/>
                <w:szCs w:val="17"/>
                <w:color w:val="auto"/>
              </w:rPr>
            </w:pPr>
          </w:p>
        </w:tc>
        <w:tc>
          <w:tcPr>
            <w:tcW w:w="13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jc w:val="center"/>
              <w:ind w:right="220"/>
              <w:spacing w:after="0" w:line="177" w:lineRule="exact"/>
              <w:rPr>
                <w:sz w:val="20"/>
                <w:szCs w:val="20"/>
                <w:color w:val="auto"/>
              </w:rPr>
            </w:pPr>
            <w:r>
              <w:rPr>
                <w:rFonts w:ascii="Times New Roman" w:cs="Times New Roman" w:eastAsia="Times New Roman" w:hAnsi="Times New Roman"/>
                <w:sz w:val="17"/>
                <w:szCs w:val="17"/>
                <w:b w:val="1"/>
                <w:bCs w:val="1"/>
                <w:color w:val="auto"/>
              </w:rPr>
              <w:t>Number</w:t>
            </w:r>
          </w:p>
        </w:tc>
        <w:tc>
          <w:tcPr>
            <w:tcW w:w="12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8"/>
              </w:rPr>
              <w:t>Value</w:t>
            </w:r>
          </w:p>
        </w:tc>
        <w:tc>
          <w:tcPr>
            <w:tcW w:w="220" w:type="dxa"/>
            <w:vAlign w:val="bottom"/>
          </w:tcPr>
          <w:p>
            <w:pPr>
              <w:spacing w:after="0"/>
              <w:rPr>
                <w:sz w:val="15"/>
                <w:szCs w:val="15"/>
                <w:color w:val="auto"/>
              </w:rPr>
            </w:pPr>
          </w:p>
        </w:tc>
        <w:tc>
          <w:tcPr>
            <w:tcW w:w="1380" w:type="dxa"/>
            <w:vAlign w:val="bottom"/>
            <w:gridSpan w:val="2"/>
          </w:tcPr>
          <w:p>
            <w:pPr>
              <w:jc w:val="center"/>
              <w:ind w:right="180"/>
              <w:spacing w:after="0" w:line="177" w:lineRule="exact"/>
              <w:rPr>
                <w:sz w:val="20"/>
                <w:szCs w:val="20"/>
                <w:color w:val="auto"/>
              </w:rPr>
            </w:pPr>
            <w:r>
              <w:rPr>
                <w:rFonts w:ascii="Times New Roman" w:cs="Times New Roman" w:eastAsia="Times New Roman" w:hAnsi="Times New Roman"/>
                <w:sz w:val="17"/>
                <w:szCs w:val="17"/>
                <w:b w:val="1"/>
                <w:bCs w:val="1"/>
                <w:color w:val="auto"/>
              </w:rPr>
              <w:t>of Shares</w:t>
            </w:r>
          </w:p>
        </w:tc>
        <w:tc>
          <w:tcPr>
            <w:tcW w:w="128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of Shares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Realized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Acquired</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Realized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Acquired on</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on Exercise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on Vesting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on</w:t>
            </w:r>
          </w:p>
        </w:tc>
        <w:tc>
          <w:tcPr>
            <w:tcW w:w="0" w:type="dxa"/>
            <w:vAlign w:val="bottom"/>
          </w:tcPr>
          <w:p>
            <w:pPr>
              <w:spacing w:after="0"/>
              <w:rPr>
                <w:sz w:val="1"/>
                <w:szCs w:val="1"/>
                <w:color w:val="auto"/>
              </w:rPr>
            </w:pPr>
          </w:p>
        </w:tc>
      </w:tr>
      <w:tr>
        <w:trPr>
          <w:trHeight w:val="260"/>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w:t>
            </w:r>
          </w:p>
        </w:tc>
        <w:tc>
          <w:tcPr>
            <w:tcW w:w="120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(1)</w:t>
            </w:r>
          </w:p>
        </w:tc>
        <w:tc>
          <w:tcPr>
            <w:tcW w:w="220" w:type="dxa"/>
            <w:vAlign w:val="bottom"/>
          </w:tcPr>
          <w:p>
            <w:pPr>
              <w:spacing w:after="0"/>
              <w:rPr>
                <w:sz w:val="22"/>
                <w:szCs w:val="22"/>
                <w:color w:val="auto"/>
              </w:rPr>
            </w:pPr>
          </w:p>
        </w:tc>
        <w:tc>
          <w:tcPr>
            <w:tcW w:w="11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(2)</w:t>
            </w:r>
          </w:p>
        </w:tc>
        <w:tc>
          <w:tcPr>
            <w:tcW w:w="200" w:type="dxa"/>
            <w:vAlign w:val="bottom"/>
          </w:tcPr>
          <w:p>
            <w:pPr>
              <w:spacing w:after="0"/>
              <w:rPr>
                <w:sz w:val="22"/>
                <w:szCs w:val="22"/>
                <w:color w:val="auto"/>
              </w:rPr>
            </w:pPr>
          </w:p>
        </w:tc>
        <w:tc>
          <w:tcPr>
            <w:tcW w:w="1280" w:type="dxa"/>
            <w:vAlign w:val="bottom"/>
            <w:gridSpan w:val="2"/>
          </w:tcPr>
          <w:p>
            <w:pPr>
              <w:jc w:val="center"/>
              <w:ind w:right="100"/>
              <w:spacing w:after="0" w:line="259" w:lineRule="exact"/>
              <w:rPr>
                <w:sz w:val="20"/>
                <w:szCs w:val="20"/>
                <w:color w:val="auto"/>
              </w:rPr>
            </w:pPr>
            <w:r>
              <w:rPr>
                <w:rFonts w:ascii="Times New Roman" w:cs="Times New Roman" w:eastAsia="Times New Roman" w:hAnsi="Times New Roman"/>
                <w:sz w:val="17"/>
                <w:szCs w:val="17"/>
                <w:b w:val="1"/>
                <w:bCs w:val="1"/>
                <w:color w:val="auto"/>
                <w:w w:val="93"/>
              </w:rPr>
              <w:t xml:space="preserve">Vesting ($) </w:t>
            </w:r>
            <w:r>
              <w:rPr>
                <w:rFonts w:ascii="Times New Roman" w:cs="Times New Roman" w:eastAsia="Times New Roman" w:hAnsi="Times New Roman"/>
                <w:sz w:val="28"/>
                <w:szCs w:val="28"/>
                <w:b w:val="1"/>
                <w:bCs w:val="1"/>
                <w:color w:val="auto"/>
                <w:w w:val="93"/>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170,721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1,409,744</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77,133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62,500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568,625</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43,486</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3,345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1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16,187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20" w:right="100" w:hanging="310"/>
        <w:spacing w:after="0" w:line="284"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difference between the market price of Cohu’s common stock on the date of exercise and the exercise price, multiplied by the number of shares for which the option was exercised.</w:t>
      </w:r>
    </w:p>
    <w:p>
      <w:pPr>
        <w:spacing w:after="0" w:line="152" w:lineRule="exact"/>
        <w:rPr>
          <w:rFonts w:ascii="Times New Roman" w:cs="Times New Roman" w:eastAsia="Times New Roman" w:hAnsi="Times New Roman"/>
          <w:sz w:val="17"/>
          <w:szCs w:val="17"/>
          <w:color w:val="auto"/>
        </w:rPr>
      </w:pPr>
    </w:p>
    <w:p>
      <w:pPr>
        <w:ind w:left="620" w:right="60" w:hanging="310"/>
        <w:spacing w:after="0" w:line="284"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acquired on vesting is before reduction for shares withheld to cover tax withholding. Cohu withheld the following number of shares for tax withholding: Dr. Müller, 40,252 shares; Mr. Jones, 22,694 shares; and Mr. Bohrson 1,465 shares. No shares were withheld for taxes for Mr. von Fellenberg.</w:t>
      </w:r>
    </w:p>
    <w:p>
      <w:pPr>
        <w:spacing w:after="0" w:line="152" w:lineRule="exact"/>
        <w:rPr>
          <w:rFonts w:ascii="Times New Roman" w:cs="Times New Roman" w:eastAsia="Times New Roman" w:hAnsi="Times New Roman"/>
          <w:sz w:val="17"/>
          <w:szCs w:val="17"/>
          <w:color w:val="auto"/>
        </w:rPr>
      </w:pPr>
    </w:p>
    <w:p>
      <w:pPr>
        <w:ind w:left="620" w:right="320" w:hanging="310"/>
        <w:spacing w:after="0" w:line="284"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equals the number of units that vested multiplied by the per-share closing price of Cohu’s common stock on the vesting date. Amounts presented are gross amounts before required tax withholding.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FISCAL 2017 PENSION BENEFITS TABLE</w:t>
      </w:r>
    </w:p>
    <w:p>
      <w:pPr>
        <w:spacing w:after="0" w:line="218" w:lineRule="exact"/>
        <w:rPr>
          <w:sz w:val="20"/>
          <w:szCs w:val="20"/>
          <w:color w:val="auto"/>
        </w:rPr>
      </w:pPr>
    </w:p>
    <w:p>
      <w:pPr>
        <w:ind w:firstLine="393"/>
        <w:spacing w:after="0" w:line="256" w:lineRule="auto"/>
        <w:rPr>
          <w:sz w:val="20"/>
          <w:szCs w:val="20"/>
          <w:color w:val="auto"/>
        </w:rPr>
      </w:pPr>
      <w:r>
        <w:rPr>
          <w:rFonts w:ascii="Times New Roman" w:cs="Times New Roman" w:eastAsia="Times New Roman" w:hAnsi="Times New Roman"/>
          <w:sz w:val="17"/>
          <w:szCs w:val="17"/>
          <w:color w:val="auto"/>
        </w:rPr>
        <w:t>As summarized in the Compensation Discussion and Analysis above, the Company maintains defined benefit plans for many of its employees located outside the U.S. including the Ismeca Europe Semiconductor BVG Pension Plan (“the Swiss Plan”) that is provided to all eligible employees in Switzerland. Only one of the Company’s NEOs, Mr. von Fellenberg, participates in any of the defined benefit programs that Cohu maintains. The following table sets forth the present value of the accumulated pension benefits that Mr. von Fellenberg is eligible to receive under the Swiss Plan.</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9"/>
              </w:rPr>
              <w:t>Number</w:t>
            </w:r>
          </w:p>
        </w:tc>
        <w:tc>
          <w:tcPr>
            <w:tcW w:w="200" w:type="dxa"/>
            <w:vAlign w:val="bottom"/>
          </w:tcPr>
          <w:p>
            <w:pPr>
              <w:spacing w:after="0"/>
              <w:rPr>
                <w:sz w:val="16"/>
                <w:szCs w:val="16"/>
                <w:color w:val="auto"/>
              </w:rPr>
            </w:pPr>
          </w:p>
        </w:tc>
        <w:tc>
          <w:tcPr>
            <w:tcW w:w="14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8"/>
              </w:rPr>
              <w:t>Present</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Years</w:t>
            </w: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2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Credited</w:t>
            </w: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Service</w:t>
            </w: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Benefit at</w:t>
            </w:r>
          </w:p>
        </w:tc>
        <w:tc>
          <w:tcPr>
            <w:tcW w:w="2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Last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at Fiscal</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Last Fiscal</w:t>
            </w: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0" w:type="dxa"/>
            <w:vAlign w:val="bottom"/>
          </w:tcPr>
          <w:p>
            <w:pPr>
              <w:spacing w:after="0"/>
              <w:rPr>
                <w:sz w:val="1"/>
                <w:szCs w:val="1"/>
                <w:color w:val="auto"/>
              </w:rPr>
            </w:pPr>
          </w:p>
        </w:tc>
      </w:tr>
      <w:tr>
        <w:trPr>
          <w:trHeight w:val="260"/>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Plan Name</w:t>
            </w: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Year-end</w:t>
            </w:r>
          </w:p>
        </w:tc>
        <w:tc>
          <w:tcPr>
            <w:tcW w:w="200" w:type="dxa"/>
            <w:vAlign w:val="bottom"/>
          </w:tcPr>
          <w:p>
            <w:pPr>
              <w:spacing w:after="0"/>
              <w:rPr>
                <w:sz w:val="22"/>
                <w:szCs w:val="22"/>
                <w:color w:val="auto"/>
              </w:rPr>
            </w:pPr>
          </w:p>
        </w:tc>
        <w:tc>
          <w:tcPr>
            <w:tcW w:w="144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93"/>
              </w:rPr>
              <w:t xml:space="preserve">Year-end ($) </w:t>
            </w:r>
            <w:r>
              <w:rPr>
                <w:rFonts w:ascii="Times New Roman" w:cs="Times New Roman" w:eastAsia="Times New Roman" w:hAnsi="Times New Roman"/>
                <w:sz w:val="28"/>
                <w:szCs w:val="28"/>
                <w:b w:val="1"/>
                <w:bCs w:val="1"/>
                <w:color w:val="auto"/>
                <w:w w:val="93"/>
                <w:vertAlign w:val="superscript"/>
              </w:rPr>
              <w:t>(1)</w:t>
            </w:r>
          </w:p>
        </w:tc>
        <w:tc>
          <w:tcPr>
            <w:tcW w:w="200" w:type="dxa"/>
            <w:vAlign w:val="bottom"/>
          </w:tcPr>
          <w:p>
            <w:pPr>
              <w:spacing w:after="0"/>
              <w:rPr>
                <w:sz w:val="22"/>
                <w:szCs w:val="22"/>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Year ($)</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20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Ismeca Europe Semiconductor BVG Pension Plan</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6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w w:val="99"/>
              </w:rPr>
              <w:t>1,519,676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25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84" w:lineRule="exact"/>
        <w:rPr>
          <w:sz w:val="20"/>
          <w:szCs w:val="20"/>
          <w:color w:val="auto"/>
        </w:rPr>
      </w:pPr>
    </w:p>
    <w:p>
      <w:pPr>
        <w:ind w:left="540" w:right="80" w:hanging="307"/>
        <w:spacing w:after="0" w:line="284" w:lineRule="auto"/>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assumptions used to calculate the present value of Mr. von Fellenberg’s accumulated benefit obligation are set forth in Note 6, “Employee Benefit Plans,” included in Part IV, Item 15(a) of Cohu’s Annual Report on Form 10-K for the year ended December 30, 2017, filed with the SEC.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2017 NONQUALIFIED DEFERRED COMPENSATION</w:t>
      </w:r>
    </w:p>
    <w:p>
      <w:pPr>
        <w:spacing w:after="0" w:line="218" w:lineRule="exact"/>
        <w:rPr>
          <w:sz w:val="20"/>
          <w:szCs w:val="20"/>
          <w:color w:val="auto"/>
        </w:rPr>
      </w:pPr>
    </w:p>
    <w:p>
      <w:pPr>
        <w:ind w:right="160" w:firstLine="307"/>
        <w:spacing w:after="0" w:line="267" w:lineRule="auto"/>
        <w:rPr>
          <w:sz w:val="20"/>
          <w:szCs w:val="20"/>
          <w:color w:val="auto"/>
        </w:rPr>
      </w:pPr>
      <w:r>
        <w:rPr>
          <w:rFonts w:ascii="Times New Roman" w:cs="Times New Roman" w:eastAsia="Times New Roman" w:hAnsi="Times New Roman"/>
          <w:sz w:val="17"/>
          <w:szCs w:val="17"/>
          <w:color w:val="auto"/>
        </w:rPr>
        <w:t>The Deferred Compensation Plan, as summarized in the Compensation Discussion and Analysis above, permits eligible participants to defer compensation from salary and bonuses. The Deferred Compensation Plan limits the amount of participant deferrals to 25% of salary and 100% of bonuses. Cohu also makes matching contributions as summarized in the Compensation Discussion and Analysis.</w:t>
      </w:r>
    </w:p>
    <w:p>
      <w:pPr>
        <w:spacing w:after="0" w:line="167" w:lineRule="exact"/>
        <w:rPr>
          <w:sz w:val="20"/>
          <w:szCs w:val="20"/>
          <w:color w:val="auto"/>
        </w:rPr>
      </w:pPr>
    </w:p>
    <w:p>
      <w:pPr>
        <w:ind w:right="20" w:firstLine="307"/>
        <w:spacing w:after="0" w:line="259" w:lineRule="auto"/>
        <w:rPr>
          <w:sz w:val="20"/>
          <w:szCs w:val="20"/>
          <w:color w:val="auto"/>
        </w:rPr>
      </w:pPr>
      <w:r>
        <w:rPr>
          <w:rFonts w:ascii="Times New Roman" w:cs="Times New Roman" w:eastAsia="Times New Roman" w:hAnsi="Times New Roman"/>
          <w:sz w:val="17"/>
          <w:szCs w:val="17"/>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fifteen annual installments upon retirement and in lump sum or five, ten or fifteen annual installments upon disability, death, termination or change in control, as defined in the Deferred Compensation Plan.</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December 30, 2017, none of our NEOs have any amounts deferred under the Deferred Compensation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4" w:lineRule="exact"/>
        <w:rPr>
          <w:sz w:val="20"/>
          <w:szCs w:val="20"/>
          <w:color w:val="auto"/>
        </w:rPr>
      </w:pPr>
    </w:p>
    <w:p>
      <w:pPr>
        <w:ind w:right="160" w:firstLine="307"/>
        <w:spacing w:after="0" w:line="289" w:lineRule="auto"/>
        <w:rPr>
          <w:sz w:val="20"/>
          <w:szCs w:val="20"/>
          <w:color w:val="auto"/>
        </w:rPr>
      </w:pPr>
      <w:r>
        <w:rPr>
          <w:rFonts w:ascii="Times New Roman" w:cs="Times New Roman" w:eastAsia="Times New Roman" w:hAnsi="Times New Roman"/>
          <w:sz w:val="17"/>
          <w:szCs w:val="17"/>
          <w:color w:val="auto"/>
        </w:rPr>
        <w:t xml:space="preserve">The following table summarizes information with respect to equity awards under Cohu’s equity compensation plans at December 30, 2017 </w:t>
      </w:r>
      <w:r>
        <w:rPr>
          <w:rFonts w:ascii="Times New Roman" w:cs="Times New Roman" w:eastAsia="Times New Roman" w:hAnsi="Times New Roman"/>
          <w:sz w:val="17"/>
          <w:szCs w:val="17"/>
          <w:i w:val="1"/>
          <w:iCs w:val="1"/>
          <w:color w:val="auto"/>
        </w:rPr>
        <w:t>(in thousands, except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 share amounts)</w:t>
      </w:r>
      <w:r>
        <w:rPr>
          <w:rFonts w:ascii="Times New Roman" w:cs="Times New Roman" w:eastAsia="Times New Roman" w:hAnsi="Times New Roman"/>
          <w:sz w:val="17"/>
          <w:szCs w:val="17"/>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520" w:type="dxa"/>
            <w:vAlign w:val="bottom"/>
          </w:tcPr>
          <w:p>
            <w:pPr>
              <w:spacing w:after="0"/>
              <w:rPr>
                <w:sz w:val="17"/>
                <w:szCs w:val="17"/>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Number of securities</w:t>
            </w: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to be issued upon</w:t>
            </w:r>
          </w:p>
        </w:tc>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exercise price of</w:t>
            </w:r>
          </w:p>
        </w:tc>
        <w:tc>
          <w:tcPr>
            <w:tcW w:w="520" w:type="dxa"/>
            <w:vAlign w:val="bottom"/>
          </w:tcPr>
          <w:p>
            <w:pPr>
              <w:spacing w:after="0"/>
              <w:rPr>
                <w:sz w:val="17"/>
                <w:szCs w:val="17"/>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available for future issuance</w:t>
            </w: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exercise of outstanding</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outstanding options,</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under equity compensation</w:t>
            </w: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options, warrants and</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plans (excluding securities</w:t>
            </w:r>
          </w:p>
        </w:tc>
      </w:tr>
      <w:tr>
        <w:trPr>
          <w:trHeight w:val="260"/>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280" w:type="dxa"/>
            <w:vAlign w:val="bottom"/>
            <w:gridSpan w:val="2"/>
          </w:tcPr>
          <w:p>
            <w:pPr>
              <w:ind w:left="460"/>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rights (a) </w:t>
            </w:r>
            <w:r>
              <w:rPr>
                <w:rFonts w:ascii="Times New Roman" w:cs="Times New Roman" w:eastAsia="Times New Roman" w:hAnsi="Times New Roman"/>
                <w:sz w:val="28"/>
                <w:szCs w:val="28"/>
                <w:b w:val="1"/>
                <w:bCs w:val="1"/>
                <w:color w:val="auto"/>
                <w:vertAlign w:val="superscript"/>
              </w:rPr>
              <w:t>(1)</w:t>
            </w:r>
          </w:p>
        </w:tc>
        <w:tc>
          <w:tcPr>
            <w:tcW w:w="1440" w:type="dxa"/>
            <w:vAlign w:val="bottom"/>
          </w:tcPr>
          <w:p>
            <w:pPr>
              <w:ind w:left="120"/>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28"/>
                <w:szCs w:val="28"/>
                <w:b w:val="1"/>
                <w:bCs w:val="1"/>
                <w:color w:val="auto"/>
                <w:vertAlign w:val="superscript"/>
              </w:rPr>
              <w:t>(2)</w:t>
            </w:r>
          </w:p>
        </w:tc>
        <w:tc>
          <w:tcPr>
            <w:tcW w:w="520" w:type="dxa"/>
            <w:vAlign w:val="bottom"/>
          </w:tcPr>
          <w:p>
            <w:pPr>
              <w:spacing w:after="0"/>
              <w:rPr>
                <w:sz w:val="22"/>
                <w:szCs w:val="22"/>
                <w:color w:val="auto"/>
              </w:rPr>
            </w:pPr>
          </w:p>
        </w:tc>
        <w:tc>
          <w:tcPr>
            <w:tcW w:w="2600" w:type="dxa"/>
            <w:vAlign w:val="bottom"/>
            <w:gridSpan w:val="2"/>
          </w:tcPr>
          <w:p>
            <w:pPr>
              <w:ind w:left="100"/>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reflected in column (a))(c) </w:t>
            </w:r>
            <w:r>
              <w:rPr>
                <w:rFonts w:ascii="Times New Roman" w:cs="Times New Roman" w:eastAsia="Times New Roman" w:hAnsi="Times New Roman"/>
                <w:sz w:val="28"/>
                <w:szCs w:val="28"/>
                <w:b w:val="1"/>
                <w:bCs w:val="1"/>
                <w:color w:val="auto"/>
                <w:vertAlign w:val="superscript"/>
              </w:rPr>
              <w:t>(3)</w:t>
            </w:r>
          </w:p>
        </w:tc>
      </w:tr>
      <w:tr>
        <w:trPr>
          <w:trHeight w:val="198"/>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28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1,787</w:t>
            </w:r>
          </w:p>
        </w:tc>
        <w:tc>
          <w:tcPr>
            <w:tcW w:w="1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10.20</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100" w:type="dxa"/>
            <w:vAlign w:val="bottom"/>
            <w:shd w:val="clear" w:color="auto" w:fill="CCEEFF"/>
          </w:tcPr>
          <w:p>
            <w:pPr>
              <w:spacing w:after="0"/>
              <w:rPr>
                <w:sz w:val="17"/>
                <w:szCs w:val="17"/>
                <w:color w:val="auto"/>
              </w:rPr>
            </w:pPr>
          </w:p>
        </w:tc>
      </w:tr>
      <w:tr>
        <w:trPr>
          <w:trHeight w:val="205"/>
        </w:trPr>
        <w:tc>
          <w:tcPr>
            <w:tcW w:w="45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4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1,787</w:t>
            </w:r>
          </w:p>
        </w:tc>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9"/>
              </w:rPr>
              <w:t>10.20</w:t>
            </w: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35" w:lineRule="exact"/>
        <w:rPr>
          <w:sz w:val="20"/>
          <w:szCs w:val="20"/>
          <w:color w:val="auto"/>
        </w:rPr>
      </w:pPr>
    </w:p>
    <w:p>
      <w:pPr>
        <w:ind w:left="460" w:right="280" w:hanging="240"/>
        <w:spacing w:after="0" w:line="284" w:lineRule="auto"/>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restricted stock units (RSUs) and performance stock units (PSUs) outstanding under Cohu’s equity incentive plans, as no stock warrants or other rights were outstanding as of December 30, 2017.</w:t>
      </w:r>
    </w:p>
    <w:p>
      <w:pPr>
        <w:spacing w:after="0" w:line="152" w:lineRule="exact"/>
        <w:rPr>
          <w:rFonts w:ascii="Times New Roman" w:cs="Times New Roman" w:eastAsia="Times New Roman" w:hAnsi="Times New Roman"/>
          <w:sz w:val="17"/>
          <w:szCs w:val="17"/>
          <w:color w:val="auto"/>
        </w:rPr>
      </w:pPr>
    </w:p>
    <w:p>
      <w:pPr>
        <w:ind w:left="460" w:right="20" w:hanging="240"/>
        <w:spacing w:after="0" w:line="284" w:lineRule="auto"/>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exercise price of outstanding options, warrants and rights does not take RSUs and PSUs into account as RSUs and PSUs have no exercise price.</w:t>
      </w:r>
    </w:p>
    <w:p>
      <w:pPr>
        <w:spacing w:after="0" w:line="152" w:lineRule="exact"/>
        <w:rPr>
          <w:rFonts w:ascii="Times New Roman" w:cs="Times New Roman" w:eastAsia="Times New Roman" w:hAnsi="Times New Roman"/>
          <w:sz w:val="17"/>
          <w:szCs w:val="17"/>
          <w:color w:val="auto"/>
        </w:rPr>
      </w:pPr>
    </w:p>
    <w:p>
      <w:pPr>
        <w:ind w:left="460" w:hanging="240"/>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601,340 shares of common stock reserved for future issuance under the Cohu 1997 Employee Stock Purchase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8" w:lineRule="exact"/>
        <w:rPr>
          <w:sz w:val="20"/>
          <w:szCs w:val="20"/>
          <w:color w:val="auto"/>
        </w:rPr>
      </w:pPr>
    </w:p>
    <w:p>
      <w:pPr>
        <w:ind w:right="200" w:firstLine="307"/>
        <w:spacing w:after="0" w:line="262" w:lineRule="auto"/>
        <w:rPr>
          <w:sz w:val="20"/>
          <w:szCs w:val="20"/>
          <w:color w:val="auto"/>
        </w:rPr>
      </w:pPr>
      <w:r>
        <w:rPr>
          <w:rFonts w:ascii="Times New Roman" w:cs="Times New Roman" w:eastAsia="Times New Roman" w:hAnsi="Times New Roman"/>
          <w:sz w:val="17"/>
          <w:szCs w:val="17"/>
          <w:color w:val="auto"/>
        </w:rPr>
        <w:t>None of the Compensation Committee’s members have, at any time, been an officer or employee of Cohu. During fiscal 2017, no member of the Compensation Committee had any relationship with Cohu requiring disclosure under Item 404 of Regulation S-K. None of Cohu’s executive officers serves, or in fiscal 2017 has served, as a member of the board of directors or compensation committee of any entity that has one or more of its executive officers serving on Cohu’s Board or Compensation Committee.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18" w:lineRule="exact"/>
        <w:rPr>
          <w:sz w:val="20"/>
          <w:szCs w:val="20"/>
          <w:color w:val="auto"/>
        </w:rPr>
      </w:pPr>
    </w:p>
    <w:p>
      <w:pPr>
        <w:ind w:right="20" w:firstLine="154"/>
        <w:spacing w:after="0" w:line="267" w:lineRule="auto"/>
        <w:rPr>
          <w:sz w:val="20"/>
          <w:szCs w:val="20"/>
          <w:color w:val="auto"/>
        </w:rPr>
      </w:pPr>
      <w:r>
        <w:rPr>
          <w:rFonts w:ascii="Times New Roman" w:cs="Times New Roman" w:eastAsia="Times New Roman" w:hAnsi="Times New Roman"/>
          <w:sz w:val="17"/>
          <w:szCs w:val="17"/>
          <w:color w:val="auto"/>
        </w:rPr>
        <w:t>Cohu has entered into Change in Control Agreements with Dr. Müller and Messrs. Jones and Kampfer pursuant to which those executives would be entitled to a payment in the event of a termination of employment for specified reasons following a change in control of Cohu. For this purpose, a change in control of Cohu means the occurrence of any of the following, in one or a series of related transactions:</w:t>
      </w:r>
    </w:p>
    <w:p>
      <w:pPr>
        <w:spacing w:after="0" w:line="167" w:lineRule="exact"/>
        <w:rPr>
          <w:sz w:val="20"/>
          <w:szCs w:val="20"/>
          <w:color w:val="auto"/>
        </w:rPr>
      </w:pPr>
    </w:p>
    <w:p>
      <w:pPr>
        <w:ind w:right="40" w:firstLine="236"/>
        <w:spacing w:after="0" w:line="284" w:lineRule="auto"/>
        <w:tabs>
          <w:tab w:leader="none" w:pos="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person, or more than one person acting as a group (“Person”) acquires ownership of the Company’s securities that, together with the stock held by such Person, constitutes more than fifty percent (50%) of the total voting power of the Company’s then outstanding stock.</w:t>
      </w:r>
    </w:p>
    <w:p>
      <w:pPr>
        <w:spacing w:after="0" w:line="152" w:lineRule="exact"/>
        <w:rPr>
          <w:rFonts w:ascii="Times New Roman" w:cs="Times New Roman" w:eastAsia="Times New Roman" w:hAnsi="Times New Roman"/>
          <w:sz w:val="17"/>
          <w:szCs w:val="17"/>
          <w:color w:val="auto"/>
        </w:rPr>
      </w:pPr>
    </w:p>
    <w:p>
      <w:pPr>
        <w:jc w:val="both"/>
        <w:ind w:right="180" w:firstLine="233"/>
        <w:spacing w:after="0" w:line="267" w:lineRule="auto"/>
        <w:tabs>
          <w:tab w:leader="none" w:pos="47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effective control of the Company which occurs on the date that a majority of members of the Board is replaced during any twelve (12) month period (six (6) month period in the case of Dr. Müller) by members of the Board whose appointment or election is not endorsed by a majority of the members of the Board prior to the date of the appointment or election; or</w:t>
      </w:r>
    </w:p>
    <w:p>
      <w:pPr>
        <w:spacing w:after="0" w:line="167" w:lineRule="exact"/>
        <w:rPr>
          <w:rFonts w:ascii="Times New Roman" w:cs="Times New Roman" w:eastAsia="Times New Roman" w:hAnsi="Times New Roman"/>
          <w:sz w:val="17"/>
          <w:szCs w:val="17"/>
          <w:color w:val="auto"/>
        </w:rPr>
      </w:pPr>
    </w:p>
    <w:p>
      <w:pPr>
        <w:ind w:right="120" w:firstLine="233"/>
        <w:spacing w:after="0" w:line="262" w:lineRule="auto"/>
        <w:tabs>
          <w:tab w:leader="none" w:pos="52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any transaction involving a change in ownership of a substantial portion of the Company’s assets which occurs on the date that any Person acquires (or has acquired during any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w:t>
      </w:r>
    </w:p>
    <w:p>
      <w:pPr>
        <w:spacing w:after="0" w:line="171" w:lineRule="exact"/>
        <w:rPr>
          <w:sz w:val="20"/>
          <w:szCs w:val="20"/>
          <w:color w:val="auto"/>
        </w:rPr>
      </w:pPr>
    </w:p>
    <w:p>
      <w:pPr>
        <w:ind w:right="260" w:firstLine="307"/>
        <w:spacing w:after="0" w:line="267" w:lineRule="auto"/>
        <w:rPr>
          <w:sz w:val="20"/>
          <w:szCs w:val="20"/>
          <w:color w:val="auto"/>
        </w:rPr>
      </w:pPr>
      <w:r>
        <w:rPr>
          <w:rFonts w:ascii="Times New Roman" w:cs="Times New Roman" w:eastAsia="Times New Roman" w:hAnsi="Times New Roman"/>
          <w:sz w:val="17"/>
          <w:szCs w:val="17"/>
          <w:color w:val="auto"/>
        </w:rPr>
        <w:t>The term “change in control” shall not include a consolidation, merger, or other reorganization if upon consummation of such transaction all of the outstanding voting stock of the Company is owned, directly or indirectly, by a holding company, and the holders of the Company’s common stock immediately prior to the transaction have substantially the same proportionate ownership and voting control of such holding company after such transaction.</w:t>
      </w:r>
    </w:p>
    <w:p>
      <w:pPr>
        <w:spacing w:after="0" w:line="167" w:lineRule="exact"/>
        <w:rPr>
          <w:sz w:val="20"/>
          <w:szCs w:val="20"/>
          <w:color w:val="auto"/>
        </w:rPr>
      </w:pPr>
    </w:p>
    <w:p>
      <w:pPr>
        <w:ind w:right="100" w:firstLine="307"/>
        <w:spacing w:after="0" w:line="284" w:lineRule="auto"/>
        <w:rPr>
          <w:sz w:val="20"/>
          <w:szCs w:val="20"/>
          <w:color w:val="auto"/>
        </w:rPr>
      </w:pPr>
      <w:r>
        <w:rPr>
          <w:rFonts w:ascii="Times New Roman" w:cs="Times New Roman" w:eastAsia="Times New Roman" w:hAnsi="Times New Roman"/>
          <w:sz w:val="17"/>
          <w:szCs w:val="17"/>
          <w:color w:val="auto"/>
        </w:rPr>
        <w:t>A transaction will not be deemed a change in control unless the transaction qualifies as a change in control event for the purposes of Section 409A of the Internal Revenue Code.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4" w:name="page45"/>
    <w:bookmarkEnd w:id="44"/>
    <w:p>
      <w:pPr>
        <w:ind w:right="160" w:firstLine="307"/>
        <w:spacing w:after="0" w:line="256" w:lineRule="auto"/>
        <w:rPr>
          <w:sz w:val="20"/>
          <w:szCs w:val="20"/>
          <w:color w:val="auto"/>
        </w:rPr>
      </w:pPr>
      <w:r>
        <w:rPr>
          <w:rFonts w:ascii="Times New Roman" w:cs="Times New Roman" w:eastAsia="Times New Roman" w:hAnsi="Times New Roman"/>
          <w:sz w:val="17"/>
          <w:szCs w:val="17"/>
          <w:color w:val="auto"/>
        </w:rPr>
        <w:t>Termination of employment for purposes of these agreements means a discharge of the executive within twenty-four (24) months of the change in control event,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 of the payment upon termination is an amount equal to twenty-four (24) months of the executive’s base salary rate (as in effect immediately prior to (1) the change in control, or</w:t>
      </w:r>
    </w:p>
    <w:p>
      <w:pPr>
        <w:spacing w:after="0" w:line="3" w:lineRule="exact"/>
        <w:rPr>
          <w:sz w:val="20"/>
          <w:szCs w:val="20"/>
          <w:color w:val="auto"/>
        </w:rPr>
      </w:pPr>
    </w:p>
    <w:p>
      <w:pPr>
        <w:ind w:right="80" w:firstLine="2"/>
        <w:spacing w:after="0" w:line="253" w:lineRule="auto"/>
        <w:tabs>
          <w:tab w:leader="none" w:pos="24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termination, whichever is greater), an amount equal to two times the executive’s target annual incentive established for the year prior to the year of executive’s termination of employment, plus an amount equal to a pro-rated portion of the executive’s annual incentive for the year of the executive’s termination of employment. The executive would also be entitled to receive reimbursement of payments made for the continuation of the executive’s health coverage pursuant to COBRA, for a period of up to twenty-four (24) months. The payment of such severance benefits, including the reimbursement of payments for COBRA continuation coverage, is limited to that amount which would not result in an “excess parachute payment” under Section 280G of the Internal Revenue Code. The amounts payable under their Change in Control Agreements may change from year to year based on the executive’s compensation at the time of termination.</w:t>
      </w:r>
    </w:p>
    <w:p>
      <w:pPr>
        <w:spacing w:after="0" w:line="181" w:lineRule="exact"/>
        <w:rPr>
          <w:sz w:val="20"/>
          <w:szCs w:val="20"/>
          <w:color w:val="auto"/>
        </w:rPr>
      </w:pPr>
    </w:p>
    <w:p>
      <w:pPr>
        <w:ind w:right="120" w:firstLine="307"/>
        <w:spacing w:after="0" w:line="267" w:lineRule="auto"/>
        <w:rPr>
          <w:sz w:val="20"/>
          <w:szCs w:val="20"/>
          <w:color w:val="auto"/>
        </w:rPr>
      </w:pPr>
      <w:r>
        <w:rPr>
          <w:rFonts w:ascii="Times New Roman" w:cs="Times New Roman" w:eastAsia="Times New Roman" w:hAnsi="Times New Roman"/>
          <w:sz w:val="17"/>
          <w:szCs w:val="17"/>
          <w:color w:val="auto"/>
        </w:rPr>
        <w:t>In addition, all outstanding and unvested equity awards relating to Cohu common stock as of the executive’s date of termination of employment (“Equity Awards”) will vest and be exercisable and remain subject to the terms and conditions of the applicable Equity Award and the post-termination exercise period for any outstanding stock options will be extended so as to terminate on the first to occur of twelve (12) months or the stock option’s original term expiration.</w:t>
      </w:r>
    </w:p>
    <w:p>
      <w:pPr>
        <w:spacing w:after="0" w:line="167" w:lineRule="exact"/>
        <w:rPr>
          <w:sz w:val="20"/>
          <w:szCs w:val="20"/>
          <w:color w:val="auto"/>
        </w:rPr>
      </w:pPr>
    </w:p>
    <w:p>
      <w:pPr>
        <w:ind w:firstLine="307"/>
        <w:spacing w:after="0" w:line="267" w:lineRule="auto"/>
        <w:rPr>
          <w:sz w:val="20"/>
          <w:szCs w:val="20"/>
          <w:color w:val="auto"/>
        </w:rPr>
      </w:pPr>
      <w:r>
        <w:rPr>
          <w:rFonts w:ascii="Times New Roman" w:cs="Times New Roman" w:eastAsia="Times New Roman" w:hAnsi="Times New Roman"/>
          <w:sz w:val="17"/>
          <w:szCs w:val="17"/>
          <w:color w:val="auto"/>
        </w:rPr>
        <w:t>Additionally, 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67" w:lineRule="exact"/>
        <w:rPr>
          <w:sz w:val="20"/>
          <w:szCs w:val="20"/>
          <w:color w:val="auto"/>
        </w:rPr>
      </w:pPr>
    </w:p>
    <w:p>
      <w:pPr>
        <w:jc w:val="both"/>
        <w:ind w:right="40" w:firstLine="307"/>
        <w:spacing w:after="0" w:line="267" w:lineRule="auto"/>
        <w:rPr>
          <w:sz w:val="20"/>
          <w:szCs w:val="20"/>
          <w:color w:val="auto"/>
        </w:rPr>
      </w:pPr>
      <w:r>
        <w:rPr>
          <w:rFonts w:ascii="Times New Roman" w:cs="Times New Roman" w:eastAsia="Times New Roman" w:hAnsi="Times New Roman"/>
          <w:sz w:val="17"/>
          <w:szCs w:val="17"/>
          <w:color w:val="auto"/>
        </w:rPr>
        <w:t>Further, the Deferred Compensation Plan provides that payment of the participant’s account balance will commence within thirty (30) days of a change in control, as defined in the Deferred Compensation Plan. The payment of the deferred compensation account balance would be in accordance with the payment method selected by the participant (i.e. lump sum, or five, ten or fifteen annual installments).</w:t>
      </w:r>
    </w:p>
    <w:p>
      <w:pPr>
        <w:spacing w:after="0" w:line="167" w:lineRule="exact"/>
        <w:rPr>
          <w:sz w:val="20"/>
          <w:szCs w:val="20"/>
          <w:color w:val="auto"/>
        </w:rPr>
      </w:pPr>
    </w:p>
    <w:p>
      <w:pPr>
        <w:ind w:right="280" w:firstLine="307"/>
        <w:spacing w:after="0" w:line="284" w:lineRule="auto"/>
        <w:rPr>
          <w:sz w:val="20"/>
          <w:szCs w:val="20"/>
          <w:color w:val="auto"/>
        </w:rPr>
      </w:pPr>
      <w:r>
        <w:rPr>
          <w:rFonts w:ascii="Times New Roman" w:cs="Times New Roman" w:eastAsia="Times New Roman" w:hAnsi="Times New Roman"/>
          <w:sz w:val="17"/>
          <w:szCs w:val="17"/>
          <w:color w:val="auto"/>
        </w:rPr>
        <w:t>In the event of the occurrence of both a change in control and the subsequent termination of employment (as applicable) as of December 30, 2017 the amounts payable to certain executive officers would have been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Annual</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Medical</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Sock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Severance</w:t>
            </w: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0" w:type="dxa"/>
            <w:vAlign w:val="bottom"/>
          </w:tcPr>
          <w:p>
            <w:pPr>
              <w:spacing w:after="0"/>
              <w:rPr>
                <w:sz w:val="1"/>
                <w:szCs w:val="1"/>
                <w:color w:val="auto"/>
              </w:rPr>
            </w:pPr>
          </w:p>
        </w:tc>
      </w:tr>
      <w:tr>
        <w:trPr>
          <w:trHeight w:val="260"/>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20" w:type="dxa"/>
            <w:vAlign w:val="bottom"/>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2"/>
                <w:szCs w:val="22"/>
                <w:color w:val="auto"/>
              </w:rPr>
            </w:pPr>
          </w:p>
        </w:tc>
        <w:tc>
          <w:tcPr>
            <w:tcW w:w="1200" w:type="dxa"/>
            <w:vAlign w:val="bottom"/>
          </w:tcPr>
          <w:p>
            <w:pPr>
              <w:jc w:val="right"/>
              <w:ind w:right="315"/>
              <w:spacing w:after="0" w:line="259"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8"/>
                <w:szCs w:val="28"/>
                <w:b w:val="1"/>
                <w:bCs w:val="1"/>
                <w:color w:val="auto"/>
                <w:vertAlign w:val="superscript"/>
              </w:rPr>
              <w:t>(1)</w:t>
            </w:r>
          </w:p>
        </w:tc>
        <w:tc>
          <w:tcPr>
            <w:tcW w:w="1420" w:type="dxa"/>
            <w:vAlign w:val="bottom"/>
            <w:gridSpan w:val="2"/>
          </w:tcPr>
          <w:p>
            <w:pPr>
              <w:jc w:val="center"/>
              <w:ind w:left="135"/>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(1)</w:t>
            </w:r>
          </w:p>
        </w:tc>
        <w:tc>
          <w:tcPr>
            <w:tcW w:w="200" w:type="dxa"/>
            <w:vAlign w:val="bottom"/>
          </w:tcPr>
          <w:p>
            <w:pPr>
              <w:spacing w:after="0"/>
              <w:rPr>
                <w:sz w:val="22"/>
                <w:szCs w:val="22"/>
                <w:color w:val="auto"/>
              </w:rPr>
            </w:pPr>
          </w:p>
        </w:tc>
        <w:tc>
          <w:tcPr>
            <w:tcW w:w="11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(2)</w:t>
            </w:r>
          </w:p>
        </w:tc>
        <w:tc>
          <w:tcPr>
            <w:tcW w:w="200" w:type="dxa"/>
            <w:vAlign w:val="bottom"/>
          </w:tcPr>
          <w:p>
            <w:pPr>
              <w:spacing w:after="0"/>
              <w:rPr>
                <w:sz w:val="22"/>
                <w:szCs w:val="22"/>
                <w:color w:val="auto"/>
              </w:rPr>
            </w:pPr>
          </w:p>
        </w:tc>
        <w:tc>
          <w:tcPr>
            <w:tcW w:w="118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7"/>
              </w:rPr>
              <w:t xml:space="preserve">($) </w:t>
            </w:r>
            <w:r>
              <w:rPr>
                <w:rFonts w:ascii="Times New Roman" w:cs="Times New Roman" w:eastAsia="Times New Roman" w:hAnsi="Times New Roman"/>
                <w:sz w:val="28"/>
                <w:szCs w:val="28"/>
                <w:b w:val="1"/>
                <w:bCs w:val="1"/>
                <w:color w:val="auto"/>
                <w:w w:val="87"/>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A. Müller</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6,491,005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1,070,000</w:t>
            </w:r>
          </w:p>
        </w:tc>
        <w:tc>
          <w:tcPr>
            <w:tcW w:w="1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1,070,000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19,436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4,331,569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Jeffrey D. Jones</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3,297,753</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659,000</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395,400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36,368</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Kampfer</w:t>
            </w:r>
          </w:p>
        </w:tc>
        <w:tc>
          <w:tcPr>
            <w:tcW w:w="1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1,298,497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570,000</w:t>
            </w:r>
          </w:p>
        </w:tc>
        <w:tc>
          <w:tcPr>
            <w:tcW w:w="1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285,000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36,368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Christopher G. Bohrson</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908,840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von Fellenberg</w:t>
            </w:r>
          </w:p>
        </w:tc>
        <w:tc>
          <w:tcPr>
            <w:tcW w:w="156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1,090,937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1,090,937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80" w:hanging="304"/>
        <w:spacing w:after="0" w:line="284" w:lineRule="auto"/>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cash severance benefits payable in the event of a qualifying termination under the Change in Control Agreements for Dr. Müller and Messrs. Jones and Kampfer. These amounts are based on the individual’s fiscal 2017 base salary.</w:t>
      </w:r>
    </w:p>
    <w:p>
      <w:pPr>
        <w:spacing w:after="0" w:line="152" w:lineRule="exact"/>
        <w:rPr>
          <w:rFonts w:ascii="Times New Roman" w:cs="Times New Roman" w:eastAsia="Times New Roman" w:hAnsi="Times New Roman"/>
          <w:sz w:val="17"/>
          <w:szCs w:val="17"/>
          <w:color w:val="auto"/>
        </w:rPr>
      </w:pPr>
    </w:p>
    <w:p>
      <w:pPr>
        <w:ind w:left="460" w:right="20" w:hanging="304"/>
        <w:spacing w:after="0" w:line="284" w:lineRule="auto"/>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as of December 30, 2017, Dr. Müller and Messrs. Jones and Kampfer would have been entitled to receive reimbursement for continued health care benefits pursuant to COBRA for a period of twenty-four (24) months.</w:t>
      </w:r>
    </w:p>
    <w:p>
      <w:pPr>
        <w:spacing w:after="0" w:line="152" w:lineRule="exact"/>
        <w:rPr>
          <w:rFonts w:ascii="Times New Roman" w:cs="Times New Roman" w:eastAsia="Times New Roman" w:hAnsi="Times New Roman"/>
          <w:sz w:val="17"/>
          <w:szCs w:val="17"/>
          <w:color w:val="auto"/>
        </w:rPr>
      </w:pPr>
    </w:p>
    <w:p>
      <w:pPr>
        <w:ind w:left="460" w:right="20" w:hanging="304"/>
        <w:spacing w:after="0" w:line="259" w:lineRule="auto"/>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have been calculated based on the total unvested RSUs and the closing price of Cohu’s common stock on $21.95 of December 29, 2017, prior to the payment of associated taxes, held by Dr. Müller and Messrs. Jones, Kampfer, Bohrson and von Fellenberg as of December 30, 2017.</w:t>
      </w:r>
    </w:p>
    <w:p>
      <w:pPr>
        <w:spacing w:after="0" w:line="175" w:lineRule="exact"/>
        <w:rPr>
          <w:sz w:val="20"/>
          <w:szCs w:val="20"/>
          <w:color w:val="auto"/>
        </w:rPr>
      </w:pPr>
    </w:p>
    <w:p>
      <w:pPr>
        <w:ind w:right="580" w:firstLine="307"/>
        <w:spacing w:after="0" w:line="284" w:lineRule="auto"/>
        <w:rPr>
          <w:sz w:val="20"/>
          <w:szCs w:val="20"/>
          <w:color w:val="auto"/>
        </w:rPr>
      </w:pPr>
      <w:r>
        <w:rPr>
          <w:rFonts w:ascii="Times New Roman" w:cs="Times New Roman" w:eastAsia="Times New Roman" w:hAnsi="Times New Roman"/>
          <w:sz w:val="17"/>
          <w:szCs w:val="17"/>
          <w:color w:val="auto"/>
        </w:rPr>
        <w:t>Other than as described above, and in the “Employment Agreements” section of the Compensation Discussion and Analysis, there are no other benefits or payments that would be paid to the NEOs upon resignation, severance, retirement, termination or a change in control.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8" w:lineRule="exact"/>
        <w:rPr>
          <w:sz w:val="20"/>
          <w:szCs w:val="20"/>
          <w:color w:val="auto"/>
        </w:rPr>
      </w:pPr>
    </w:p>
    <w:p>
      <w:pPr>
        <w:ind w:right="420" w:firstLine="307"/>
        <w:spacing w:after="0" w:line="284" w:lineRule="auto"/>
        <w:rPr>
          <w:sz w:val="20"/>
          <w:szCs w:val="20"/>
          <w:color w:val="auto"/>
        </w:rPr>
      </w:pPr>
      <w:r>
        <w:rPr>
          <w:rFonts w:ascii="Times New Roman" w:cs="Times New Roman" w:eastAsia="Times New Roman" w:hAnsi="Times New Roman"/>
          <w:sz w:val="17"/>
          <w:szCs w:val="17"/>
          <w:color w:val="auto"/>
        </w:rPr>
        <w:t>The Board is committed to upholding the highest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52" w:lineRule="exact"/>
        <w:rPr>
          <w:sz w:val="20"/>
          <w:szCs w:val="20"/>
          <w:color w:val="auto"/>
        </w:rPr>
      </w:pPr>
    </w:p>
    <w:p>
      <w:pPr>
        <w:ind w:right="20" w:firstLine="307"/>
        <w:spacing w:after="0" w:line="267" w:lineRule="auto"/>
        <w:rPr>
          <w:sz w:val="20"/>
          <w:szCs w:val="20"/>
          <w:color w:val="auto"/>
        </w:rPr>
      </w:pPr>
      <w:r>
        <w:rPr>
          <w:rFonts w:ascii="Times New Roman" w:cs="Times New Roman" w:eastAsia="Times New Roman" w:hAnsi="Times New Roman"/>
          <w:sz w:val="17"/>
          <w:szCs w:val="17"/>
          <w:color w:val="auto"/>
        </w:rPr>
        <w:t>In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67" w:lineRule="exact"/>
        <w:rPr>
          <w:sz w:val="20"/>
          <w:szCs w:val="20"/>
          <w:color w:val="auto"/>
        </w:rPr>
      </w:pPr>
    </w:p>
    <w:p>
      <w:pPr>
        <w:jc w:val="both"/>
        <w:ind w:right="280" w:firstLine="307"/>
        <w:spacing w:after="0" w:line="262" w:lineRule="auto"/>
        <w:rPr>
          <w:sz w:val="20"/>
          <w:szCs w:val="20"/>
          <w:color w:val="auto"/>
        </w:rPr>
      </w:pPr>
      <w:r>
        <w:rPr>
          <w:rFonts w:ascii="Times New Roman" w:cs="Times New Roman" w:eastAsia="Times New Roman" w:hAnsi="Times New Roman"/>
          <w:sz w:val="17"/>
          <w:szCs w:val="17"/>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71" w:lineRule="exact"/>
        <w:rPr>
          <w:sz w:val="20"/>
          <w:szCs w:val="20"/>
          <w:color w:val="auto"/>
        </w:rPr>
      </w:pPr>
    </w:p>
    <w:p>
      <w:pPr>
        <w:ind w:left="820" w:hanging="308"/>
        <w:spacing w:after="0"/>
        <w:tabs>
          <w:tab w:leader="none" w:pos="8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executive officer, director or director nominee of Cohu;</w:t>
      </w:r>
    </w:p>
    <w:p>
      <w:pPr>
        <w:spacing w:after="0" w:line="214" w:lineRule="exact"/>
        <w:rPr>
          <w:rFonts w:ascii="Times New Roman" w:cs="Times New Roman" w:eastAsia="Times New Roman" w:hAnsi="Times New Roman"/>
          <w:sz w:val="17"/>
          <w:szCs w:val="17"/>
          <w:color w:val="auto"/>
        </w:rPr>
      </w:pPr>
    </w:p>
    <w:p>
      <w:pPr>
        <w:ind w:left="780" w:hanging="317"/>
        <w:spacing w:after="0"/>
        <w:tabs>
          <w:tab w:leader="none" w:pos="7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to be the beneficial owner of more than 5% of Cohu’s common stock;</w:t>
      </w:r>
    </w:p>
    <w:p>
      <w:pPr>
        <w:spacing w:after="0" w:line="214" w:lineRule="exact"/>
        <w:rPr>
          <w:rFonts w:ascii="Times New Roman" w:cs="Times New Roman" w:eastAsia="Times New Roman" w:hAnsi="Times New Roman"/>
          <w:sz w:val="17"/>
          <w:szCs w:val="17"/>
          <w:color w:val="auto"/>
        </w:rPr>
      </w:pPr>
    </w:p>
    <w:p>
      <w:pPr>
        <w:ind w:left="780" w:right="260" w:hanging="317"/>
        <w:spacing w:after="0" w:line="284" w:lineRule="auto"/>
        <w:tabs>
          <w:tab w:leader="none" w:pos="7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an immediate family member (as defined under Item 404 of Regulation S-K) of an executive officer, director or director nominee or beneficial owner of more than 5% of Cohu’s common stock; and</w:t>
      </w:r>
    </w:p>
    <w:p>
      <w:pPr>
        <w:spacing w:after="0" w:line="152" w:lineRule="exact"/>
        <w:rPr>
          <w:rFonts w:ascii="Times New Roman" w:cs="Times New Roman" w:eastAsia="Times New Roman" w:hAnsi="Times New Roman"/>
          <w:sz w:val="17"/>
          <w:szCs w:val="17"/>
          <w:color w:val="auto"/>
        </w:rPr>
      </w:pPr>
    </w:p>
    <w:p>
      <w:pPr>
        <w:ind w:left="780" w:hanging="317"/>
        <w:spacing w:after="0" w:line="284" w:lineRule="auto"/>
        <w:tabs>
          <w:tab w:leader="none" w:pos="7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52" w:lineRule="exact"/>
        <w:rPr>
          <w:sz w:val="20"/>
          <w:szCs w:val="20"/>
          <w:color w:val="auto"/>
        </w:rPr>
      </w:pPr>
    </w:p>
    <w:p>
      <w:pPr>
        <w:ind w:right="160" w:firstLine="467"/>
        <w:spacing w:after="0" w:line="259" w:lineRule="auto"/>
        <w:rPr>
          <w:sz w:val="20"/>
          <w:szCs w:val="20"/>
          <w:color w:val="auto"/>
        </w:rPr>
      </w:pPr>
      <w:r>
        <w:rPr>
          <w:rFonts w:ascii="Times New Roman" w:cs="Times New Roman" w:eastAsia="Times New Roman" w:hAnsi="Times New Roman"/>
          <w:sz w:val="17"/>
          <w:szCs w:val="17"/>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 related party transactions will be disclosed in Cohu’s applicable filings with the SEC as required under SEC rules.</w:t>
      </w: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8" w:lineRule="exact"/>
        <w:rPr>
          <w:sz w:val="20"/>
          <w:szCs w:val="20"/>
          <w:color w:val="auto"/>
        </w:rPr>
      </w:pPr>
    </w:p>
    <w:p>
      <w:pPr>
        <w:ind w:firstLine="307"/>
        <w:spacing w:after="0" w:line="267" w:lineRule="auto"/>
        <w:rPr>
          <w:sz w:val="20"/>
          <w:szCs w:val="20"/>
          <w:color w:val="auto"/>
        </w:rPr>
      </w:pPr>
      <w:r>
        <w:rPr>
          <w:rFonts w:ascii="Times New Roman" w:cs="Times New Roman" w:eastAsia="Times New Roman" w:hAnsi="Times New Roman"/>
          <w:sz w:val="17"/>
          <w:szCs w:val="17"/>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20"/>
          </w:cols>
          <w:pgMar w:left="240" w:top="555" w:right="33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STOCKHOLDER PROPOSALS – 2019 ANNUAL MEETING</w:t>
      </w:r>
    </w:p>
    <w:p>
      <w:pPr>
        <w:spacing w:after="0" w:line="218" w:lineRule="exact"/>
        <w:rPr>
          <w:sz w:val="20"/>
          <w:szCs w:val="20"/>
          <w:color w:val="auto"/>
        </w:rPr>
      </w:pPr>
    </w:p>
    <w:p>
      <w:pPr>
        <w:ind w:right="220" w:firstLine="307"/>
        <w:spacing w:after="0" w:line="262" w:lineRule="auto"/>
        <w:rPr>
          <w:sz w:val="20"/>
          <w:szCs w:val="20"/>
          <w:color w:val="auto"/>
        </w:rPr>
      </w:pPr>
      <w:r>
        <w:rPr>
          <w:rFonts w:ascii="Times New Roman" w:cs="Times New Roman" w:eastAsia="Times New Roman" w:hAnsi="Times New Roman"/>
          <w:sz w:val="17"/>
          <w:szCs w:val="17"/>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2019 Annual Meeting of Stockholders of Cohu must be received at Cohu’s offices on or before December 14, 2018 in order to be considered for inclusion in Cohu’s proxy statement and form of proxy relating to such meeting.</w:t>
      </w:r>
    </w:p>
    <w:p>
      <w:pPr>
        <w:spacing w:after="0" w:line="171" w:lineRule="exact"/>
        <w:rPr>
          <w:sz w:val="20"/>
          <w:szCs w:val="20"/>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If a stockholder intends to submit a proposal at the 2019 Annual Meeting of Stockholders of Cohu, which proposal is not intended to be included in Cohu’s proxy statement and form of proxy relating to such Meeting, the stockholder should provide Cohu with appropriate notice no later than December 14, 2018. If Cohu fails to receive notice of the proposal by such date, any such proposal will be considered untimely, Cohu will not be required to provide any information about the nature of the proposal in its proxy statement, and the proposal will not be submitted to the stockholders for approval at the 2019 Annual Meeting of Stockholders of Cohu.</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18" w:lineRule="exact"/>
        <w:rPr>
          <w:sz w:val="20"/>
          <w:szCs w:val="20"/>
          <w:color w:val="auto"/>
        </w:rPr>
      </w:pPr>
    </w:p>
    <w:p>
      <w:pPr>
        <w:ind w:right="160" w:firstLine="307"/>
        <w:spacing w:after="0" w:line="267" w:lineRule="auto"/>
        <w:rPr>
          <w:sz w:val="20"/>
          <w:szCs w:val="20"/>
          <w:color w:val="auto"/>
        </w:rPr>
      </w:pPr>
      <w:r>
        <w:rPr>
          <w:rFonts w:ascii="Times New Roman" w:cs="Times New Roman" w:eastAsia="Times New Roman" w:hAnsi="Times New Roman"/>
          <w:sz w:val="17"/>
          <w:szCs w:val="17"/>
          <w:color w:val="auto"/>
        </w:rPr>
        <w:t xml:space="preserve">Copies of Cohu’s Annual Report on Form 10-K for the year ended December 30, 2017, as filed with the SEC are available to stockholders without charge upon written request addressed to Investor Relations, Cohu, Inc., 12367 Crosthwaite Circle, Poway, California 92064-6817. The Annual Report on Form 10-K is also available at </w:t>
      </w:r>
      <w:r>
        <w:rPr>
          <w:rFonts w:ascii="Times New Roman" w:cs="Times New Roman" w:eastAsia="Times New Roman" w:hAnsi="Times New Roman"/>
          <w:sz w:val="17"/>
          <w:szCs w:val="17"/>
          <w:u w:val="single" w:color="auto"/>
          <w:color w:val="auto"/>
        </w:rPr>
        <w:t>www.cohu.com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3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146685</wp:posOffset>
            </wp:positionV>
            <wp:extent cx="2000250" cy="528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00250" cy="52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Thomas D. Kampfer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Poway,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2018</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Markup of Cohu’s Amended and Restated Certificate of Incorporation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 COHU, INC.</w:t>
      </w:r>
    </w:p>
    <w:p>
      <w:pPr>
        <w:spacing w:after="0" w:line="1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strike w:val="1"/>
        </w:rPr>
        <w:t>We, the undersigned, CHARLES A. SCHWAN, the President, and JOHN H. ALLEN, the Secretary, of COHU, INC., a corporation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Delaware (hereinafter called the "Corporation"), do hereby certify as follows:</w:t>
      </w:r>
    </w:p>
    <w:p>
      <w:pPr>
        <w:spacing w:after="0" w:line="197" w:lineRule="exact"/>
        <w:rPr>
          <w:sz w:val="20"/>
          <w:szCs w:val="20"/>
          <w:color w:val="auto"/>
        </w:rPr>
      </w:pPr>
    </w:p>
    <w:p>
      <w:pPr>
        <w:ind w:firstLine="782"/>
        <w:spacing w:after="0" w:line="284" w:lineRule="auto"/>
        <w:rPr>
          <w:sz w:val="20"/>
          <w:szCs w:val="20"/>
          <w:color w:val="auto"/>
        </w:rPr>
      </w:pPr>
      <w:r>
        <w:rPr>
          <w:rFonts w:ascii="Times New Roman" w:cs="Times New Roman" w:eastAsia="Times New Roman" w:hAnsi="Times New Roman"/>
          <w:sz w:val="17"/>
          <w:szCs w:val="17"/>
          <w:color w:val="auto"/>
          <w:strike w:val="1"/>
        </w:rPr>
        <w:t>FIRST: COHU, INC., a corporation of the State of Delaware, was originally incorporated under the name Cohu Electronics, Inc., and its original certificate of incorporation was filed with the Secretary of State on January 2, 1957.</w:t>
      </w:r>
    </w:p>
    <w:p>
      <w:pPr>
        <w:spacing w:after="0" w:line="152" w:lineRule="exact"/>
        <w:rPr>
          <w:sz w:val="20"/>
          <w:szCs w:val="20"/>
          <w:color w:val="auto"/>
        </w:rPr>
      </w:pPr>
    </w:p>
    <w:p>
      <w:pPr>
        <w:ind w:right="180" w:firstLine="782"/>
        <w:spacing w:after="0" w:line="259" w:lineRule="auto"/>
        <w:rPr>
          <w:sz w:val="20"/>
          <w:szCs w:val="20"/>
          <w:color w:val="auto"/>
        </w:rPr>
      </w:pPr>
      <w:r>
        <w:rPr>
          <w:rFonts w:ascii="Times New Roman" w:cs="Times New Roman" w:eastAsia="Times New Roman" w:hAnsi="Times New Roman"/>
          <w:sz w:val="17"/>
          <w:szCs w:val="17"/>
          <w:color w:val="auto"/>
          <w:strike w:val="1"/>
        </w:rPr>
        <w:t>SECOND: That at a meeting of the Board of Directors, duly held and convened, the following Restated Certificate of Incorporation of COHU, INC. ("Restated Certificate") was duly adopted by the directors in accordance with Section 245 and 242 of the General Corporation Law of the State of Delaware. Said Restated Certificate only restates and integrates and does not further amend the provisions of the Corporation's certificate of incorporation as heretofore amended or supplemented, and there is no discrepancy between those provisions and the provisions of the Restated Certificate. The duly adopted Restated Certificate is as follows:</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FIRST: The name of the corporation is COHU, INC.</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SECOND: The name and address of its registered agent is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Trust Company, 1209 Orange Street, Wilmington, Delaware, 19801, located in New Castle County.</w:t>
      </w:r>
    </w:p>
    <w:p>
      <w:pPr>
        <w:spacing w:after="0" w:line="197" w:lineRule="exact"/>
        <w:rPr>
          <w:sz w:val="20"/>
          <w:szCs w:val="20"/>
          <w:color w:val="auto"/>
        </w:rPr>
      </w:pPr>
    </w:p>
    <w:p>
      <w:pPr>
        <w:jc w:val="both"/>
        <w:ind w:right="60" w:firstLine="782"/>
        <w:spacing w:after="0" w:line="284" w:lineRule="auto"/>
        <w:rPr>
          <w:sz w:val="20"/>
          <w:szCs w:val="20"/>
          <w:color w:val="auto"/>
        </w:rPr>
      </w:pPr>
      <w:r>
        <w:rPr>
          <w:rFonts w:ascii="Times New Roman" w:cs="Times New Roman" w:eastAsia="Times New Roman" w:hAnsi="Times New Roman"/>
          <w:sz w:val="17"/>
          <w:szCs w:val="17"/>
          <w:color w:val="auto"/>
        </w:rPr>
        <w:t xml:space="preserve">THIRD: </w:t>
      </w:r>
      <w:r>
        <w:rPr>
          <w:rFonts w:ascii="Times New Roman" w:cs="Times New Roman" w:eastAsia="Times New Roman" w:hAnsi="Times New Roman"/>
          <w:sz w:val="17"/>
          <w:szCs w:val="17"/>
          <w:u w:val="single" w:color="auto"/>
          <w:color w:val="auto"/>
        </w:rPr>
        <w:t>The purpose of the Corporation is to engage in any lawful act or activity for which corporations may be organized under the General 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xml:space="preserve">Law of the State of Delaware, as from time to time amended. </w:t>
      </w:r>
      <w:r>
        <w:rPr>
          <w:rFonts w:ascii="Times New Roman" w:cs="Times New Roman" w:eastAsia="Times New Roman" w:hAnsi="Times New Roman"/>
          <w:sz w:val="17"/>
          <w:szCs w:val="17"/>
          <w:color w:val="auto"/>
          <w:strike w:val="1"/>
        </w:rPr>
        <w:t>The nature of the business, or objects or purposes to be transacted, promoted or carried on 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To manufacture, sell and deal in electronic instruments and devices.</w:t>
      </w:r>
    </w:p>
    <w:p>
      <w:pPr>
        <w:spacing w:after="0" w:line="21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strike w:val="1"/>
        </w:rPr>
        <w:t>To manufacture, purchase or otherwise acquire, invest in, own, mortgage, pledge, sell, assign and transfer or otherwise dispose of, trade, deal in and deal with goods, wares and merchandise and personal property of every class and description.</w:t>
      </w:r>
    </w:p>
    <w:p>
      <w:pPr>
        <w:spacing w:after="0" w:line="1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strike w:val="1"/>
        </w:rPr>
        <w:t>To acquire, and pay for in cash, stock or bonds of this corporation or otherwise, the good will, rights, assets and property, and to undertake or assume the whole or any part of the obligations or liabilities of any person, firm, association or corporation.</w:t>
      </w:r>
    </w:p>
    <w:p>
      <w:pPr>
        <w:spacing w:after="0" w:line="152"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strike w:val="1"/>
        </w:rPr>
        <w:t>To acquire, hold, use, sell, assign, lease, grant licenses in respect of mortgage or otherwise dispose of letters patent of the United States or any foreign country, patent rights, licenses and privileges, inventions, improvements and processes, copyrights, trademarks and trade names, relating to or useful in connection with any business of this corporation.</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5" w:right="279" w:bottom="1440" w:gutter="0" w:footer="0" w:header="0"/>
        </w:sectPr>
      </w:pPr>
    </w:p>
    <w:bookmarkStart w:id="48" w:name="page49"/>
    <w:bookmarkEnd w:id="48"/>
    <w:p>
      <w:pPr>
        <w:spacing w:after="0" w:line="257" w:lineRule="auto"/>
        <w:rPr>
          <w:sz w:val="20"/>
          <w:szCs w:val="20"/>
          <w:color w:val="auto"/>
        </w:rPr>
      </w:pPr>
      <w:r>
        <w:rPr>
          <w:rFonts w:ascii="Times New Roman" w:cs="Times New Roman" w:eastAsia="Times New Roman" w:hAnsi="Times New Roman"/>
          <w:sz w:val="17"/>
          <w:szCs w:val="17"/>
          <w:color w:val="auto"/>
          <w:strike w:val="1"/>
        </w:rPr>
        <w:t>To acquire by purchase, subscription or otherwise, and to receive, hold, own guarantee, sell, assign, exchange, transfer, mortgage, pledge or otherwise dispose of or deal in and with any of the shares of the capital stock, or any voting trust certificates in respect of the shares of capital stock, scrip, warrants, rights, bonds, debentures, notes, trust receipts, and other securities, obligations, chooses in action and evidences of indebtedness or interest issued or created by any corporations, joint stock companies, syndicates, associations, firms, trusts or persons, public or private, or by the government of the United States of America, or by any foreign government, or by any state, territory, province, municipality or other political subdivision or by any governmental agency, and as owner thereof to possess and exercise all the rights, powers and privileges of ownership, including the right to execute consents and vote thereon, and to do any and all acts and things necessary or advisable for the preservation, protection, improvement and enhancement in value thereof.</w:t>
      </w:r>
    </w:p>
    <w:p>
      <w:pPr>
        <w:spacing w:after="0" w:line="174"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color w:val="auto"/>
          <w:strike w:val="1"/>
        </w:rPr>
        <w:t>To enter into, make and perform contracts of every kind an description with any person, firm, association, corporation, municipality, county, state, body politic or government or colony or dependency thereof.</w:t>
      </w:r>
    </w:p>
    <w:p>
      <w:pPr>
        <w:spacing w:after="0" w:line="1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strike w:val="1"/>
        </w:rPr>
        <w:t>To borrow or raise moneys for any of the purposes of the corporation and, from time to time without limit as to amount, to draw, make, accept, endorse, execute and issue promissory notes, drafts, exchange, warrants, bonds, debentures and other negotiable or non-negotiable instruments and evidences of indebtedness, and to secure the payment of any thereof and of the interest thereon by mortgage upon or pledge, conveyance or assignment in trust of the whole or any part of the property of the corporation, whether at the time owned or thereafter acquired, and to sell, pledge or otherwise dispose of such bonds or other obligations of the corporation for its corporate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To loan to any person, firm or corporation any of its surplus funds, either with or without security.</w:t>
      </w:r>
    </w:p>
    <w:p>
      <w:pPr>
        <w:spacing w:after="0" w:line="214"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strike w:val="1"/>
        </w:rPr>
        <w:t>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spacing w:after="0" w:line="16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strike w:val="1"/>
        </w:rPr>
        <w:t>To have one or more offices, to carry on all or any of its operations and business and without restriction or limit as to amount, to purchase or otherwise acquire, hold, own, mortgage, sell, convey or otherwise dispose of, real and personal property of every class and description in any of the states, districts, territories or colonies of the United States, and in any and all foreign countries, subject to the laws of such state, district, territory, colony or country.</w:t>
      </w:r>
    </w:p>
    <w:p>
      <w:pPr>
        <w:spacing w:after="0" w:line="16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strike w:val="1"/>
        </w:rPr>
        <w:t>In general, to carry on any other business in connection with the foregoing, and to have and exercise all the powers conferred by the laws of Delaware upon corporations formed under the General Corporation Law of the State of Delaware, and to do any or all of the things hereinbefore set forth to the same extent as natural person might or could do.</w:t>
      </w:r>
    </w:p>
    <w:p>
      <w:pPr>
        <w:spacing w:after="0" w:line="167"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color w:val="auto"/>
          <w:strike w:val="1"/>
        </w:rPr>
        <w:t>The objects and purposes specified in the foregoing clauses shall, except where otherwise expressed, be in no way limited or restricted by reference to, or inference from the terms of any other clause in this certificate of incorporation, but the objects and purposes specified in each of the foregoing clauses of this article shall be regarded as independent objects and purposes.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9" w:name="page50"/>
    <w:bookmarkEnd w:id="49"/>
    <w:p>
      <w:pPr>
        <w:ind w:right="140" w:firstLine="782"/>
        <w:spacing w:after="0" w:line="267" w:lineRule="auto"/>
        <w:rPr>
          <w:sz w:val="20"/>
          <w:szCs w:val="20"/>
          <w:color w:val="auto"/>
        </w:rPr>
      </w:pPr>
      <w:r>
        <w:rPr>
          <w:rFonts w:ascii="Times New Roman" w:cs="Times New Roman" w:eastAsia="Times New Roman" w:hAnsi="Times New Roman"/>
          <w:sz w:val="17"/>
          <w:szCs w:val="17"/>
          <w:color w:val="auto"/>
        </w:rPr>
        <w:t>FOURTH: The total number of shares of all classes of stock which the Corporation shall have authority to issue is 61,000,000 shares, of which 1,000,000 shares shall constitute Preferred Stock having a par value of $1.00 per share and 60,000,000 shares shall constitute Common Stock having a par value of $1.00 per share.</w:t>
      </w:r>
    </w:p>
    <w:p>
      <w:pPr>
        <w:spacing w:after="0" w:line="167" w:lineRule="exact"/>
        <w:rPr>
          <w:sz w:val="20"/>
          <w:szCs w:val="20"/>
          <w:color w:val="auto"/>
        </w:rPr>
      </w:pPr>
    </w:p>
    <w:p>
      <w:pPr>
        <w:ind w:right="20" w:firstLine="784"/>
        <w:spacing w:after="0" w:line="256" w:lineRule="auto"/>
        <w:tabs>
          <w:tab w:leader="none" w:pos="95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w:t>
      </w:r>
      <w:r>
        <w:rPr>
          <w:rFonts w:ascii="Times New Roman" w:cs="Times New Roman" w:eastAsia="Times New Roman" w:hAnsi="Times New Roman"/>
          <w:sz w:val="17"/>
          <w:szCs w:val="17"/>
          <w:u w:val="single" w:color="auto"/>
          <w:color w:val="auto"/>
        </w:rPr>
        <w:t>liquidation or</w:t>
      </w:r>
      <w:r>
        <w:rPr>
          <w:rFonts w:ascii="Times New Roman" w:cs="Times New Roman" w:eastAsia="Times New Roman" w:hAnsi="Times New Roman"/>
          <w:sz w:val="17"/>
          <w:szCs w:val="17"/>
          <w:color w:val="auto"/>
        </w:rPr>
        <w:t xml:space="preserv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75" w:lineRule="exact"/>
        <w:rPr>
          <w:rFonts w:ascii="Times New Roman" w:cs="Times New Roman" w:eastAsia="Times New Roman" w:hAnsi="Times New Roman"/>
          <w:sz w:val="17"/>
          <w:szCs w:val="17"/>
          <w:color w:val="auto"/>
        </w:rPr>
      </w:pPr>
    </w:p>
    <w:p>
      <w:pPr>
        <w:ind w:right="20" w:firstLine="784"/>
        <w:spacing w:after="0" w:line="284" w:lineRule="auto"/>
        <w:tabs>
          <w:tab w:leader="none" w:pos="95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all of the rights of the Preferred Stock, dividends may be paid upon the Common Stock as and when declared by the Board of Directors out of funds legally available for payment of dividends.</w:t>
      </w:r>
    </w:p>
    <w:p>
      <w:pPr>
        <w:spacing w:after="0" w:line="152" w:lineRule="exact"/>
        <w:rPr>
          <w:rFonts w:ascii="Times New Roman" w:cs="Times New Roman" w:eastAsia="Times New Roman" w:hAnsi="Times New Roman"/>
          <w:sz w:val="17"/>
          <w:szCs w:val="17"/>
          <w:color w:val="auto"/>
        </w:rPr>
      </w:pPr>
    </w:p>
    <w:p>
      <w:pPr>
        <w:ind w:firstLine="784"/>
        <w:spacing w:after="0" w:line="259" w:lineRule="auto"/>
        <w:tabs>
          <w:tab w:leader="none" w:pos="953" w:val="left"/>
        </w:tabs>
        <w:numPr>
          <w:ilvl w:val="0"/>
          <w:numId w:val="44"/>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In the event of any liquidation, dissolution or winding up of the Corporation, whether voluntary or involuntary, and after the holders of the Preferred Stock shall have been paid in full amounts to which they respectively shall be entitled, or an amount sufficient to pay the aggregate amount to which such holders shall be entitled shall have been deposited in trust with a bank or trust company having its principal office in the Borough of Manhattan, City, County and State of New York, or the City of Los Angeles, State of California, having a capital, undivided profits and surplus aggregating at least $5,000,000 for the benefit of the holders of the Preferred Stock, the remaining net assets of the Corporation shall be distributed pro rata to the holders of the Common Stock.</w:t>
      </w:r>
    </w:p>
    <w:p>
      <w:pPr>
        <w:spacing w:after="0" w:line="175" w:lineRule="exact"/>
        <w:rPr>
          <w:sz w:val="20"/>
          <w:szCs w:val="20"/>
          <w:color w:val="auto"/>
        </w:rPr>
      </w:pPr>
    </w:p>
    <w:p>
      <w:pPr>
        <w:jc w:val="both"/>
        <w:ind w:right="140" w:firstLine="782"/>
        <w:spacing w:after="0" w:line="262" w:lineRule="auto"/>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color w:val="auto"/>
          <w:strike w:val="1"/>
        </w:rPr>
        <w:t>4</w:t>
      </w:r>
      <w:r>
        <w:rPr>
          <w:rFonts w:ascii="Times New Roman" w:cs="Times New Roman" w:eastAsia="Times New Roman" w:hAnsi="Times New Roman"/>
          <w:sz w:val="17"/>
          <w:szCs w:val="17"/>
          <w:color w:val="auto"/>
        </w:rPr>
        <w:t>. 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xml:space="preserve">FIFTH: </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 shareholders of this corporation shall have no pre-emptive rights.</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xml:space="preserve">SIXTH: </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 minimum amount of capital with which the corporation will commence business is ONE THOUSAND DOLLARS ($1,000).</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xml:space="preserve">SEVENTH: </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 names and places of residence of the incorporators are as follows: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NAMES RESIDENCES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14693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974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H. K. Webb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19373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H. C. Broadt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19761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A. D. Atwell Wilmington,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19761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50" w:name="page51"/>
    <w:bookmarkEnd w:id="50"/>
    <w:p>
      <w:pPr>
        <w:ind w:left="780"/>
        <w:spacing w:after="0"/>
        <w:rPr>
          <w:sz w:val="20"/>
          <w:szCs w:val="20"/>
          <w:color w:val="auto"/>
        </w:rPr>
      </w:pPr>
      <w:r>
        <w:rPr>
          <w:rFonts w:ascii="Times New Roman" w:cs="Times New Roman" w:eastAsia="Times New Roman" w:hAnsi="Times New Roman"/>
          <w:sz w:val="17"/>
          <w:szCs w:val="17"/>
          <w:color w:val="auto"/>
        </w:rPr>
        <w:t>EIGHTH: The corporation is to have perpetual existence.</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xml:space="preserve">NINTH: </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 private property of the stockholders shall not be subject to the payment of corporate debts to any extent whatever.</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TENTH: In furtherance and not in limitation of the powers conferred by statute, the board of directors is expressly authorized: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make, alter or repeal the by-laws of the corporation.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To authorize and cause to be executed mortgages and liens upon the real and personal property of the corporation.</w:t>
      </w:r>
    </w:p>
    <w:p>
      <w:pPr>
        <w:spacing w:after="0" w:line="21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7"/>
          <w:szCs w:val="17"/>
          <w:color w:val="auto"/>
          <w:strike w:val="1"/>
        </w:rPr>
        <w:t>To set apart out of any of the funds of the corporation available for dividends a reserve or reserves for any proper purpose and to abolish any such reserve in the manner in which it was created.</w:t>
      </w:r>
    </w:p>
    <w:p>
      <w:pPr>
        <w:spacing w:after="0" w:line="1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strike w:val="1"/>
        </w:rPr>
        <w:t>By resolution passed by a majority of the whole board, to designate one or more committees, each committee to consist of two or more of the directors of the corporation, which, to the extent provided in the resolution or in the by-laws of the corporation,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stated in the by-laws of the corporation or as may be determined from time to time by resolution adopted by the board of directors.</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strike w:val="1"/>
        </w:rPr>
        <w:t>When and as authorized by the affirmative vote of the holders of a majority of the stock issued and outstanding having voting power given at a stockholders' meeting duly called for that purpose, or when authorized by the written consent of the holders of a majority of the voting stock issued and outstanding, to sell, lease or exchange all of the property and assets of the corporation, including its good will and its corporate franchises, upon such terms and conditions and for such consideration, which may be in whole or in part shares of stock in, and/or other securities of any other corporation or corporations, as its board of directors shall deem expedient and for the best interests of the corporation.</w:t>
      </w:r>
    </w:p>
    <w:p>
      <w:pPr>
        <w:spacing w:after="0" w:line="175" w:lineRule="exact"/>
        <w:rPr>
          <w:sz w:val="20"/>
          <w:szCs w:val="20"/>
          <w:color w:val="auto"/>
        </w:rPr>
      </w:pPr>
    </w:p>
    <w:p>
      <w:pPr>
        <w:ind w:right="240" w:firstLine="782"/>
        <w:spacing w:after="0" w:line="267" w:lineRule="auto"/>
        <w:rPr>
          <w:sz w:val="20"/>
          <w:szCs w:val="20"/>
          <w:color w:val="auto"/>
        </w:rPr>
      </w:pPr>
      <w:r>
        <w:rPr>
          <w:rFonts w:ascii="Times New Roman" w:cs="Times New Roman" w:eastAsia="Times New Roman" w:hAnsi="Times New Roman"/>
          <w:sz w:val="17"/>
          <w:szCs w:val="17"/>
          <w:color w:val="auto"/>
        </w:rPr>
        <w:t>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ballot unless the by-laws of the corporation shall so provide.</w:t>
      </w:r>
    </w:p>
    <w:p>
      <w:pPr>
        <w:spacing w:after="0" w:line="167" w:lineRule="exact"/>
        <w:rPr>
          <w:sz w:val="20"/>
          <w:szCs w:val="20"/>
          <w:color w:val="auto"/>
        </w:rPr>
      </w:pPr>
    </w:p>
    <w:p>
      <w:pPr>
        <w:ind w:right="80" w:firstLine="782"/>
        <w:spacing w:after="0" w:line="284" w:lineRule="auto"/>
        <w:rPr>
          <w:sz w:val="20"/>
          <w:szCs w:val="20"/>
          <w:color w:val="auto"/>
        </w:rPr>
      </w:pPr>
      <w:r>
        <w:rPr>
          <w:rFonts w:ascii="Times New Roman" w:cs="Times New Roman" w:eastAsia="Times New Roman" w:hAnsi="Times New Roman"/>
          <w:sz w:val="17"/>
          <w:szCs w:val="17"/>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52" w:lineRule="exact"/>
        <w:rPr>
          <w:sz w:val="20"/>
          <w:szCs w:val="20"/>
          <w:color w:val="auto"/>
        </w:rPr>
      </w:pPr>
    </w:p>
    <w:p>
      <w:pPr>
        <w:ind w:firstLine="782"/>
        <w:spacing w:after="0" w:line="267" w:lineRule="auto"/>
        <w:rPr>
          <w:sz w:val="20"/>
          <w:szCs w:val="20"/>
          <w:color w:val="auto"/>
        </w:rPr>
      </w:pPr>
      <w:r>
        <w:rPr>
          <w:rFonts w:ascii="Times New Roman" w:cs="Times New Roman" w:eastAsia="Times New Roman" w:hAnsi="Times New Roman"/>
          <w:sz w:val="17"/>
          <w:szCs w:val="17"/>
          <w:color w:val="auto"/>
        </w:rPr>
        <w:t>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 The candidates receiving the highest number of votes up to the number of directors to be elected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-78105</wp:posOffset>
            </wp:positionV>
            <wp:extent cx="4725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25035" cy="8255"/>
                    </a:xfrm>
                    <a:prstGeom prst="rect">
                      <a:avLst/>
                    </a:prstGeom>
                    <a:noFill/>
                  </pic:spPr>
                </pic:pic>
              </a:graphicData>
            </a:graphic>
          </wp:anchor>
        </w:drawing>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51" w:name="page52"/>
    <w:bookmarkEnd w:id="51"/>
    <w:p>
      <w:pPr>
        <w:ind w:right="20" w:firstLine="782"/>
        <w:spacing w:after="0" w:line="254" w:lineRule="auto"/>
        <w:rPr>
          <w:sz w:val="20"/>
          <w:szCs w:val="20"/>
          <w:color w:val="auto"/>
        </w:rPr>
      </w:pPr>
      <w:r>
        <w:rPr>
          <w:rFonts w:ascii="Times New Roman" w:cs="Times New Roman" w:eastAsia="Times New Roman" w:hAnsi="Times New Roman"/>
          <w:sz w:val="17"/>
          <w:szCs w:val="17"/>
          <w:color w:val="auto"/>
        </w:rPr>
        <w:t>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183" w:lineRule="exact"/>
        <w:rPr>
          <w:sz w:val="20"/>
          <w:szCs w:val="20"/>
          <w:color w:val="auto"/>
        </w:rPr>
      </w:pPr>
    </w:p>
    <w:p>
      <w:pPr>
        <w:ind w:right="160" w:firstLine="782"/>
        <w:spacing w:after="0" w:line="262" w:lineRule="auto"/>
        <w:rPr>
          <w:sz w:val="20"/>
          <w:szCs w:val="20"/>
          <w:color w:val="auto"/>
        </w:rPr>
      </w:pPr>
      <w:r>
        <w:rPr>
          <w:rFonts w:ascii="Times New Roman" w:cs="Times New Roman" w:eastAsia="Times New Roman" w:hAnsi="Times New Roman"/>
          <w:sz w:val="17"/>
          <w:szCs w:val="17"/>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171" w:lineRule="exact"/>
        <w:rPr>
          <w:sz w:val="20"/>
          <w:szCs w:val="20"/>
          <w:color w:val="auto"/>
        </w:rPr>
      </w:pPr>
    </w:p>
    <w:p>
      <w:pPr>
        <w:ind w:firstLine="782"/>
        <w:spacing w:after="0" w:line="254" w:lineRule="auto"/>
        <w:rPr>
          <w:sz w:val="20"/>
          <w:szCs w:val="20"/>
          <w:color w:val="auto"/>
        </w:rPr>
      </w:pPr>
      <w:r>
        <w:rPr>
          <w:rFonts w:ascii="Times New Roman" w:cs="Times New Roman" w:eastAsia="Times New Roman" w:hAnsi="Times New Roman"/>
          <w:sz w:val="17"/>
          <w:szCs w:val="17"/>
          <w:color w:val="auto"/>
        </w:rPr>
        <w:t>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2" w:name="page53"/>
    <w:bookmarkEnd w:id="52"/>
    <w:p>
      <w:pPr>
        <w:spacing w:after="0" w:line="259" w:lineRule="auto"/>
        <w:rPr>
          <w:sz w:val="20"/>
          <w:szCs w:val="20"/>
          <w:color w:val="auto"/>
        </w:rPr>
      </w:pPr>
      <w:r>
        <w:rPr>
          <w:rFonts w:ascii="Times New Roman" w:cs="Times New Roman" w:eastAsia="Times New Roman" w:hAnsi="Times New Roman"/>
          <w:sz w:val="17"/>
          <w:szCs w:val="17"/>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SIXTEENTH: Action shall be taken by stockholders only at an annual or special meeting of stockholders, and stockholders may not act by written consent.</w:t>
      </w:r>
    </w:p>
    <w:p>
      <w:pPr>
        <w:spacing w:after="0" w:line="214" w:lineRule="exact"/>
        <w:rPr>
          <w:sz w:val="20"/>
          <w:szCs w:val="20"/>
          <w:color w:val="auto"/>
        </w:rPr>
      </w:pPr>
    </w:p>
    <w:p>
      <w:pPr>
        <w:ind w:right="300" w:firstLine="782"/>
        <w:spacing w:after="0" w:line="262" w:lineRule="auto"/>
        <w:rPr>
          <w:sz w:val="20"/>
          <w:szCs w:val="20"/>
          <w:color w:val="auto"/>
        </w:rPr>
      </w:pPr>
      <w:r>
        <w:rPr>
          <w:rFonts w:ascii="Times New Roman" w:cs="Times New Roman" w:eastAsia="Times New Roman" w:hAnsi="Times New Roman"/>
          <w:sz w:val="17"/>
          <w:szCs w:val="17"/>
          <w:color w:val="auto"/>
        </w:rPr>
        <w:t>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171" w:lineRule="exact"/>
        <w:rPr>
          <w:sz w:val="20"/>
          <w:szCs w:val="20"/>
          <w:color w:val="auto"/>
        </w:rPr>
      </w:pPr>
    </w:p>
    <w:p>
      <w:pPr>
        <w:ind w:firstLine="782"/>
        <w:spacing w:after="0" w:line="267" w:lineRule="auto"/>
        <w:rPr>
          <w:sz w:val="20"/>
          <w:szCs w:val="20"/>
          <w:color w:val="auto"/>
        </w:rPr>
      </w:pPr>
      <w:r>
        <w:rPr>
          <w:rFonts w:ascii="Times New Roman" w:cs="Times New Roman" w:eastAsia="Times New Roman" w:hAnsi="Times New Roman"/>
          <w:sz w:val="17"/>
          <w:szCs w:val="17"/>
          <w:color w:val="auto"/>
        </w:rPr>
        <w:t>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167" w:lineRule="exact"/>
        <w:rPr>
          <w:sz w:val="20"/>
          <w:szCs w:val="20"/>
          <w:color w:val="auto"/>
        </w:rPr>
      </w:pPr>
    </w:p>
    <w:p>
      <w:pPr>
        <w:ind w:right="20" w:firstLine="782"/>
        <w:spacing w:after="0" w:line="258" w:lineRule="auto"/>
        <w:rPr>
          <w:sz w:val="20"/>
          <w:szCs w:val="20"/>
          <w:color w:val="auto"/>
        </w:rPr>
      </w:pPr>
      <w:r>
        <w:rPr>
          <w:rFonts w:ascii="Times New Roman" w:cs="Times New Roman" w:eastAsia="Times New Roman" w:hAnsi="Times New Roman"/>
          <w:sz w:val="17"/>
          <w:szCs w:val="17"/>
          <w:color w:val="auto"/>
        </w:rPr>
        <w:t>NINETEENTH: A director of the Corporation shall not be personally liable to the Corporation or its stockholders for monetary damages for breach of fiduciary duty as a director, except for liability (i) for any breach of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No amendment to or repeal of this Article NINETEEN</w:t>
      </w:r>
      <w:r>
        <w:rPr>
          <w:rFonts w:ascii="Times New Roman" w:cs="Times New Roman" w:eastAsia="Times New Roman" w:hAnsi="Times New Roman"/>
          <w:sz w:val="17"/>
          <w:szCs w:val="17"/>
          <w:u w:val="single" w:color="auto"/>
          <w:color w:val="auto"/>
        </w:rPr>
        <w:t>TH</w:t>
      </w:r>
      <w:r>
        <w:rPr>
          <w:rFonts w:ascii="Times New Roman" w:cs="Times New Roman" w:eastAsia="Times New Roman" w:hAnsi="Times New Roman"/>
          <w:sz w:val="17"/>
          <w:szCs w:val="17"/>
          <w:color w:val="auto"/>
        </w:rPr>
        <w:t xml:space="preserve"> shall apply to or have any effect on the liability or alleged liability of any director of the Corporation for or with respect to any acts or omissions of such director occurring prior to such amendment or repeal.</w:t>
      </w:r>
    </w:p>
    <w:p>
      <w:pPr>
        <w:spacing w:after="0" w:line="173" w:lineRule="exact"/>
        <w:rPr>
          <w:sz w:val="20"/>
          <w:szCs w:val="20"/>
          <w:color w:val="auto"/>
        </w:rPr>
      </w:pPr>
    </w:p>
    <w:p>
      <w:pPr>
        <w:ind w:right="60" w:firstLine="782"/>
        <w:spacing w:after="0" w:line="257" w:lineRule="auto"/>
        <w:rPr>
          <w:sz w:val="20"/>
          <w:szCs w:val="20"/>
          <w:color w:val="auto"/>
        </w:rPr>
      </w:pPr>
      <w:r>
        <w:rPr>
          <w:rFonts w:ascii="Times New Roman" w:cs="Times New Roman" w:eastAsia="Times New Roman" w:hAnsi="Times New Roman"/>
          <w:sz w:val="17"/>
          <w:szCs w:val="17"/>
          <w:u w:val="single" w:color="auto"/>
          <w:color w:val="auto"/>
        </w:rPr>
        <w:t>TWENTIETH: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or for the benefit of the Company to the fullest extent permitted by law.</w:t>
      </w:r>
    </w:p>
    <w:p>
      <w:pPr>
        <w:spacing w:after="0" w:line="174" w:lineRule="exact"/>
        <w:rPr>
          <w:sz w:val="20"/>
          <w:szCs w:val="20"/>
          <w:color w:val="auto"/>
        </w:rPr>
      </w:pPr>
    </w:p>
    <w:p>
      <w:pPr>
        <w:ind w:right="880" w:firstLine="782"/>
        <w:spacing w:after="0" w:line="284" w:lineRule="auto"/>
        <w:rPr>
          <w:sz w:val="20"/>
          <w:szCs w:val="20"/>
          <w:color w:val="auto"/>
        </w:rPr>
      </w:pPr>
      <w:r>
        <w:rPr>
          <w:rFonts w:ascii="Times New Roman" w:cs="Times New Roman" w:eastAsia="Times New Roman" w:hAnsi="Times New Roman"/>
          <w:sz w:val="17"/>
          <w:szCs w:val="17"/>
          <w:color w:val="auto"/>
          <w:strike w:val="1"/>
        </w:rPr>
        <w:t>IN WITNESS WHEREOF, we, said CHARLES A. SCHWAN and JOHN H. ALLEN, have executed this Amended and Restated Certificate of Incorporation on this 12 day of May, 1999.</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/s/ Charles A. Schwan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CHARLES A. SCHWAN, President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/s/ John H. Allen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trike w:val="1"/>
        </w:rPr>
        <w:t>JOHN H. ALLEN, Secretary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8" w:lineRule="exact"/>
        <w:rPr>
          <w:sz w:val="20"/>
          <w:szCs w:val="20"/>
          <w:color w:val="auto"/>
        </w:rPr>
      </w:pPr>
    </w:p>
    <w:p>
      <w:pPr>
        <w:ind w:firstLine="307"/>
        <w:spacing w:after="0" w:line="257" w:lineRule="auto"/>
        <w:rPr>
          <w:sz w:val="20"/>
          <w:szCs w:val="20"/>
          <w:color w:val="auto"/>
        </w:rPr>
      </w:pPr>
      <w:r>
        <w:rPr>
          <w:rFonts w:ascii="Times New Roman" w:cs="Times New Roman" w:eastAsia="Times New Roman" w:hAnsi="Times New Roman"/>
          <w:sz w:val="17"/>
          <w:szCs w:val="17"/>
          <w:color w:val="auto"/>
        </w:rPr>
        <w:t>The CD&amp;A of this Proxy Statement includes references to non-GAAP operating income used for the calculation of the 2017 MIP. This financial measure differs from the Company’s operating income prepared under generally accepted accounting principles (GAAP) by adjusting the Company’s actual results prepared under GAAP to exclude charges for share-based compensation, the amortization of acquired intangible assets, manufacturing transition costs, employee severance costs, other acquisition related costs, fair value adjustment to contingent consideration, purchase accounting inventory step-up included in cost of sales and the reduction of an uncertain tax position liability and related indemnification receivable. Human Resources and the Compensation Committee utilized this non-GAAP measure in evaluating compensation decisions in 2017 to benchmark compensation decisions based on measures utilized by management and the Board in evaluating the Company's performance.</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this non-GAAP measure to GAAP is as follows: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9"/>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Twelve</w:t>
            </w:r>
          </w:p>
        </w:tc>
      </w:tr>
      <w:tr>
        <w:trPr>
          <w:trHeight w:val="205"/>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Months Ended</w:t>
            </w:r>
          </w:p>
        </w:tc>
      </w:tr>
      <w:tr>
        <w:trPr>
          <w:trHeight w:val="205"/>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December 30,</w:t>
            </w:r>
          </w:p>
        </w:tc>
      </w:tr>
      <w:tr>
        <w:trPr>
          <w:trHeight w:val="225"/>
        </w:trPr>
        <w:tc>
          <w:tcPr>
            <w:tcW w:w="7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Income from Operations Reconciliation </w:t>
            </w:r>
            <w:r>
              <w:rPr>
                <w:rFonts w:ascii="Times New Roman" w:cs="Times New Roman" w:eastAsia="Times New Roman" w:hAnsi="Times New Roman"/>
                <w:sz w:val="17"/>
                <w:szCs w:val="17"/>
                <w:b w:val="1"/>
                <w:bCs w:val="1"/>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2017</w:t>
            </w:r>
          </w:p>
        </w:tc>
        <w:tc>
          <w:tcPr>
            <w:tcW w:w="100" w:type="dxa"/>
            <w:vAlign w:val="bottom"/>
          </w:tcPr>
          <w:p>
            <w:pPr>
              <w:spacing w:after="0"/>
              <w:rPr>
                <w:sz w:val="19"/>
                <w:szCs w:val="19"/>
                <w:color w:val="auto"/>
              </w:rPr>
            </w:pPr>
          </w:p>
        </w:tc>
      </w:tr>
      <w:tr>
        <w:trPr>
          <w:trHeight w:val="198"/>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from operations - GAAP basis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34,748</w:t>
            </w:r>
          </w:p>
        </w:tc>
      </w:tr>
      <w:tr>
        <w:trPr>
          <w:trHeight w:val="205"/>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Share Based Compensation</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7,007</w:t>
            </w:r>
          </w:p>
        </w:tc>
        <w:tc>
          <w:tcPr>
            <w:tcW w:w="100" w:type="dxa"/>
            <w:vAlign w:val="bottom"/>
          </w:tcPr>
          <w:p>
            <w:pPr>
              <w:spacing w:after="0"/>
              <w:rPr>
                <w:sz w:val="17"/>
                <w:szCs w:val="17"/>
                <w:color w:val="auto"/>
              </w:rPr>
            </w:pPr>
          </w:p>
        </w:tc>
      </w:tr>
      <w:tr>
        <w:trPr>
          <w:trHeight w:val="205"/>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Amortization of Purchased Intangible 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w:t>
            </w:r>
          </w:p>
        </w:tc>
        <w:tc>
          <w:tcPr>
            <w:tcW w:w="100" w:type="dxa"/>
            <w:vAlign w:val="bottom"/>
            <w:shd w:val="clear" w:color="auto" w:fill="CCEEFF"/>
          </w:tcPr>
          <w:p>
            <w:pPr>
              <w:spacing w:after="0"/>
              <w:rPr>
                <w:sz w:val="17"/>
                <w:szCs w:val="17"/>
                <w:color w:val="auto"/>
              </w:rPr>
            </w:pPr>
          </w:p>
        </w:tc>
      </w:tr>
      <w:tr>
        <w:trPr>
          <w:trHeight w:val="205"/>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Manufacturing Transition and Severance Costs</w:t>
            </w:r>
          </w:p>
        </w:tc>
        <w:tc>
          <w:tcPr>
            <w:tcW w:w="2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w:t>
            </w:r>
          </w:p>
        </w:tc>
      </w:tr>
      <w:tr>
        <w:trPr>
          <w:trHeight w:val="205"/>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Adjustment to contingent consideration</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shd w:val="clear" w:color="auto" w:fill="CCEEFF"/>
          </w:tcPr>
          <w:p>
            <w:pPr>
              <w:spacing w:after="0"/>
              <w:rPr>
                <w:sz w:val="17"/>
                <w:szCs w:val="17"/>
                <w:color w:val="auto"/>
              </w:rPr>
            </w:pPr>
          </w:p>
        </w:tc>
      </w:tr>
      <w:tr>
        <w:trPr>
          <w:trHeight w:val="205"/>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Acquisition Costs</w:t>
            </w:r>
          </w:p>
        </w:tc>
        <w:tc>
          <w:tcPr>
            <w:tcW w:w="2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370</w:t>
            </w:r>
          </w:p>
        </w:tc>
      </w:tr>
      <w:tr>
        <w:trPr>
          <w:trHeight w:val="205"/>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Inventory step-up</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shd w:val="clear" w:color="auto" w:fill="CCEEFF"/>
          </w:tcPr>
          <w:p>
            <w:pPr>
              <w:spacing w:after="0"/>
              <w:rPr>
                <w:sz w:val="17"/>
                <w:szCs w:val="17"/>
                <w:color w:val="auto"/>
              </w:rPr>
            </w:pPr>
          </w:p>
        </w:tc>
      </w:tr>
      <w:tr>
        <w:trPr>
          <w:trHeight w:val="205"/>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Reduction of indemnification receivable</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tcPr>
          <w:p>
            <w:pPr>
              <w:spacing w:after="0"/>
              <w:rPr>
                <w:sz w:val="17"/>
                <w:szCs w:val="17"/>
                <w:color w:val="auto"/>
              </w:rPr>
            </w:pPr>
          </w:p>
        </w:tc>
      </w:tr>
      <w:tr>
        <w:trPr>
          <w:trHeight w:val="238"/>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from continuing operations - non-GAAP basis</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80"/>
          </w:cols>
          <w:pgMar w:left="240" w:top="554" w:right="37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960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3930" cy="496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960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3930" cy="496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960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3930" cy="496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381635</wp:posOffset>
            </wp:positionV>
            <wp:extent cx="7313930" cy="9701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3930" cy="970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94735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313930" cy="9473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lvl w:ilvl="1">
      <w:lvlJc w:val="left"/>
      <w:lvlText w:val="(%2)"/>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lvl w:ilvl="1">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lvl w:ilvl="1">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decimal"/>
      <w:start w:val="6"/>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lvl w:ilvl="1">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2019-12-05T04:00:00Z</dcterms:created>
  <dcterms:modified xsi:type="dcterms:W3CDTF">2019-12-05T04:00:00Z</dcterms:modified>
</cp:coreProperties>
</file>