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SCHEDULE 14A INFORMATION</w:t>
      </w:r>
    </w:p>
    <w:p>
      <w:pPr>
        <w:spacing w:after="0" w:line="21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5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ind w:left="40"/>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COHU, INC.</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20" w:hanging="561"/>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right="300" w:hanging="352"/>
        <w:spacing w:after="0" w:line="308" w:lineRule="auto"/>
        <w:tabs>
          <w:tab w:leader="none" w:pos="3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288" w:right="479" w:bottom="1440" w:gutter="0" w:footer="0" w:header="0"/>
        </w:sectPr>
      </w:pPr>
    </w:p>
    <w:bookmarkStart w:id="1" w:name="page2"/>
    <w:bookmarkEnd w:id="1"/>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2764790</wp:posOffset>
            </wp:positionH>
            <wp:positionV relativeFrom="page">
              <wp:posOffset>380365</wp:posOffset>
            </wp:positionV>
            <wp:extent cx="2032635"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32635" cy="54864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May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Annual Meeting of Stockholders (the “Meeting”) of Cohu, Inc. (“Cohu”) will be held at Cohu’s corporate offices, located at 12367 Crosthwaite Circle, Poway, California 92064-6817 on Wednesday, May 16, 2018, at 2:00 p.m. Pacific Time, for the following purposes:</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for a term of three years each.</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vote to approve Named Executive Officer (“NEO”) compensation.</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amendments to Cohu’s Certificate of Incorporation to enable implementation of majority voting for uncontested director elections, and to make certain other administrative or immaterial revisions.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Cohu’s independent registered public accounting firm for 2018.</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or any adjournment or postponement thereof.</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stockholders of record of Cohu as of the close of business on March 19, 2018, will be entitled to vote at the Meeting.</w:t>
      </w:r>
    </w:p>
    <w:p>
      <w:pPr>
        <w:spacing w:after="0" w:line="225" w:lineRule="exact"/>
        <w:rPr>
          <w:sz w:val="20"/>
          <w:szCs w:val="20"/>
          <w:color w:val="auto"/>
        </w:rPr>
      </w:pPr>
    </w:p>
    <w:p>
      <w:pPr>
        <w:ind w:right="60" w:firstLine="312"/>
        <w:spacing w:after="0" w:line="277" w:lineRule="auto"/>
        <w:rPr>
          <w:sz w:val="20"/>
          <w:szCs w:val="20"/>
          <w:color w:val="auto"/>
        </w:rPr>
      </w:pPr>
      <w:r>
        <w:rPr>
          <w:rFonts w:ascii="Arial" w:cs="Arial" w:eastAsia="Arial" w:hAnsi="Arial"/>
          <w:sz w:val="18"/>
          <w:szCs w:val="18"/>
          <w:color w:val="auto"/>
        </w:rPr>
        <w:t>The holders of a majority of the outstanding shares of voting stock of Cohu entitled to vote at the Meeting must be represented in person or by proxy to constitute a quorum for the Meeting. All stockholders are urged either to attend the meeting in person or to vote by proxy.</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 complete list of the stockholders of record entitled to vote at the Meeting, arranged in alphabetical order and showing the address of each stockholder and the number of shares registered in the name of each stockholder, will be available at Cohu’s corporate offices, for the examination of any stockholder during normal business hours for a period of ten days immediately prior to the meeting.</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Your vote is very important to us, and voting your proxy will ensure your representation at the Meeting. Whether or not you plan to attend the Annual Meeting, we urge you to vote as soon as possible and submit your proxy via the Internet, or if you requested to receive printed proxy materials, by telephone or by signing, dating and returning your proxy card. If you attend the meeting you may revoke your proxy and vote in person. You may also revoke your proxy by delivering a written notice to the Secretary of Cohu, or by submitting another duly signed proxy bearing a later date.</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2075180"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518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D. Kampfer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May 16, 2018: The Proxy Statement and Annual Report to Shareholders are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2" w:name="page3"/>
    <w:bookmarkEnd w:id="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2953385</wp:posOffset>
            </wp:positionH>
            <wp:positionV relativeFrom="page">
              <wp:posOffset>380365</wp:posOffset>
            </wp:positionV>
            <wp:extent cx="165544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55445" cy="4546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Cohu, Inc., a Delaware corporation ("Cohu" or the “Company”), of your proxy for use at the Annual Meeting of Stockholders to be held on Wednesday, May 16, 2018, at 2:00 p.m. Pacific Time at Cohu’s corporate offices, located at 12367 Crosthwaite Circle, Poway, California 92064-6817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year we are furnishing our proxy materials to our stockholders over the internet using “Notice and Access” delivery. We elected to use this method as it reduces the environmental impact of our annual meeting and our print and distribution costs. This proxy statement, the accompanying proxy card and the Cohu 2017 Annual Report are being made available to stockholders on or about March 23,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March 19, 2018, the record date fixed by our Board of Directors (the “Board”), Cohu had outstanding 28,551,897 shares of common stock. Only stockholders of record as of the close of business on March 19, 2018, will be entitled to vote at the Meeting and any adjournment thereof. We encourage you to read the entire Proxy Statement for more information prior to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As a stockholder of Cohu, you have a right to vote on certain business matters affecting Cohu. This proxy statement relates only to the solicitation of proxies from the stockholders with respect to the election of the Class 2 directors recommended by the Board of Directors, an advisory vote on executive compensation, to approve amendments to Cohu’s Certificate of Incorporation, and ratification of the appointment of the Company’s independent registered public accounting firm. Each share of Cohu’s common stock you own entitles you to one vote for each proposal. For the election of directors, stockholders may cumulate their votes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Voting</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18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 xml:space="preserve">If you are a stockholder of record and return a signed proxy card but do not specify how you want to vote your shares,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named nominees for director,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advisory vote to approve executive compensation,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amendments to Cohu’s Certificate of Incorporation,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Ernst &amp; Young LLP as Cohu’s independent registered public accounting firm for 2018, and in the discretion of the proxies (as defined below) as to other matters that may properly come before the Meeting.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Voting over the Internet</w:t>
      </w:r>
      <w:r>
        <w:rPr>
          <w:rFonts w:ascii="Arial" w:cs="Arial" w:eastAsia="Arial" w:hAnsi="Arial"/>
          <w:sz w:val="16"/>
          <w:szCs w:val="16"/>
          <w:color w:val="auto"/>
        </w:rPr>
        <w:t>. To vote over the Internet, please follow the instructions included on your Notice of Internet Availability of Proxy Materials.</w:t>
      </w:r>
    </w:p>
    <w:p>
      <w:pPr>
        <w:spacing w:after="0" w:line="248"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b w:val="1"/>
          <w:bCs w:val="1"/>
          <w:color w:val="auto"/>
        </w:rPr>
        <w:t>Voting by Mail</w:t>
      </w:r>
      <w:r>
        <w:rPr>
          <w:rFonts w:ascii="Arial" w:cs="Arial" w:eastAsia="Arial" w:hAnsi="Arial"/>
          <w:sz w:val="16"/>
          <w:szCs w:val="16"/>
          <w:color w:val="auto"/>
        </w:rPr>
        <w:t>. If you have requested a paper copy of the proxy materials you may vote by mail by signing and returning the proxy card in the prepaid</w:t>
      </w:r>
      <w:r>
        <w:rPr>
          <w:rFonts w:ascii="Arial" w:cs="Arial" w:eastAsia="Arial" w:hAnsi="Arial"/>
          <w:sz w:val="16"/>
          <w:szCs w:val="16"/>
          <w:b w:val="1"/>
          <w:bCs w:val="1"/>
          <w:color w:val="auto"/>
        </w:rPr>
        <w:t xml:space="preserve"> </w:t>
      </w:r>
      <w:r>
        <w:rPr>
          <w:rFonts w:ascii="Arial" w:cs="Arial" w:eastAsia="Arial" w:hAnsi="Arial"/>
          <w:sz w:val="16"/>
          <w:szCs w:val="16"/>
          <w:color w:val="auto"/>
        </w:rPr>
        <w:t>and 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all proxy cards to ensure that all of your shares are voted.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 w:name="page4"/>
    <w:bookmarkEnd w:id="3"/>
    <w:p>
      <w:pPr>
        <w:ind w:right="200" w:firstLine="324"/>
        <w:spacing w:after="0" w:line="282" w:lineRule="auto"/>
        <w:rPr>
          <w:sz w:val="20"/>
          <w:szCs w:val="20"/>
          <w:color w:val="auto"/>
        </w:rPr>
      </w:pPr>
      <w:r>
        <w:rPr>
          <w:rFonts w:ascii="Arial" w:cs="Arial" w:eastAsia="Arial" w:hAnsi="Arial"/>
          <w:sz w:val="18"/>
          <w:szCs w:val="18"/>
          <w:b w:val="1"/>
          <w:bCs w:val="1"/>
          <w:color w:val="auto"/>
        </w:rPr>
        <w:t>Voting by Telephone</w:t>
      </w:r>
      <w:r>
        <w:rPr>
          <w:rFonts w:ascii="Arial" w:cs="Arial" w:eastAsia="Arial" w:hAnsi="Arial"/>
          <w:sz w:val="18"/>
          <w:szCs w:val="18"/>
          <w:color w:val="auto"/>
        </w:rPr>
        <w:t>. If you have requested a paper copy of the proxy materials you may vote by telephone, please follow the instructions included on</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card. If you vote by telephone, you do not need to complete and mail your proxy card.</w:t>
      </w:r>
    </w:p>
    <w:p>
      <w:pPr>
        <w:spacing w:after="0" w:line="162" w:lineRule="exact"/>
        <w:rPr>
          <w:sz w:val="20"/>
          <w:szCs w:val="20"/>
          <w:color w:val="auto"/>
        </w:rPr>
      </w:pPr>
    </w:p>
    <w:p>
      <w:pPr>
        <w:ind w:right="40" w:firstLine="324"/>
        <w:spacing w:after="0" w:line="303" w:lineRule="auto"/>
        <w:rPr>
          <w:sz w:val="20"/>
          <w:szCs w:val="20"/>
          <w:color w:val="auto"/>
        </w:rPr>
      </w:pPr>
      <w:r>
        <w:rPr>
          <w:rFonts w:ascii="Arial" w:cs="Arial" w:eastAsia="Arial" w:hAnsi="Arial"/>
          <w:sz w:val="16"/>
          <w:szCs w:val="16"/>
          <w:b w:val="1"/>
          <w:bCs w:val="1"/>
          <w:color w:val="auto"/>
        </w:rPr>
        <w:t>Voting in Person at the Meeting</w:t>
      </w:r>
      <w:r>
        <w:rPr>
          <w:rFonts w:ascii="Arial" w:cs="Arial" w:eastAsia="Arial" w:hAnsi="Arial"/>
          <w:sz w:val="16"/>
          <w:szCs w:val="16"/>
          <w:color w:val="auto"/>
        </w:rPr>
        <w:t>. If you plan to attend the Meeting and vote in person, we will provide you with a ballot at the Meeting. If your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are registered directly in your name, you are considered the stockholder of record and you have the right to vote in person at the Meeting. If your shares are held in the name of your broker or other nominee, you are considered the beneficial owner of shares held in street name. If you wish to vote such shares at the Meeting, you will need to bring with you to the Meeting a legal proxy from your broker or other nominee authorizing you to vote such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revoke your proxy at any time before it is voted at the Meeting. In order to do this, you must: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a new vote over the Internet, by telephone or by signing and returning another proxy card bearing a later 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written notice of the revocation to Cohu’s Secretary;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 quorum, which is a majority of the outstanding shares entitled to vote as of the record date, March 19, 2018, must be present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non-votes (as described below) will be counted as present for the purpose of determining a quorum.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the Proposals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For Proposal No. 1, the nominees receiving the highest number of votes, in person or by proxy, will be elected as directors. You may vote “for” the nominee for election as a director or you may “withhold” your vote. In the election of directors, stockholders may, as provided for in the Company’s Amended and Restated Certificate of Incorporation,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 A stockholder may not cumulate his or her votes for a candidate unless a stockholder has given notice at the Meeting (whether by proxy or in person) prior to the voting, of his or her intention to cumulate his or her votes. If any stockholder gives such notice, all stockholders may then cumulate their votes. Management of Cohu is hereby soliciting discretionary authority to cumulate votes represented by proxies if cumulative voting is invoked.</w:t>
      </w:r>
    </w:p>
    <w:p>
      <w:pPr>
        <w:spacing w:after="0" w:line="19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affirmative vote of a majority of the shares of Cohu common stock cast at the Meeting, in person or by proxy, is required for approval of the advisory vote on executive compensation (Proposal No. 2), and the ratification of the appointment of the Company’s independent registered public accounting firm (Proposal No. 4), as described herein.</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affirmative vote of the holders of a majority of the issued and outstanding shares of common stock entitled to vote at the Meeting is required for the approval of amendments to Cohu’s Certificate of Incorporation to enable implementation of majority voting for uncontested director elections, and to make certain other administrative or immaterial revisions (Proposal No.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our sole “routine” matter — the ratification of the appointment of the Company’s independent registered public accounting firm (Proposal No. 4). Your broker will not have discretion to vote on any of the other matters, which are “non-routine” matters, absent direction from you. Accordingly, shares subject to a broker “non-vote” will not be considered entitled to vote with respect to proposals No. 1 and No. 2 and will not affect the outcome of these proposals; however, a broker “non-vote” with respect to approval of amendments to Cohu’s Certificate of Incorporation to enable implementation of majority voting for uncontested director elections (Proposal 3) will have the same effect as a vote against the proposal We strongly encourage you to provide instructions to your broker regarding the voting of your shares.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Abstentions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Abstentions will have no effect on the election of directors (Proposal No.1). Abstentions will be treated as being present and entitled to vote for the purpose of determining a quorum, on the approval of the advisory vote on executive compensation (Proposal No. 2), and the ratification of the appointment of the Company’s independent registered public accounting firm (Proposal No. 4); however, an abstention with respect to approval of amendments to Cohu’s Certificate of Incorporation to enable implementation of majority voting for uncontested director elections and to make certain other administrative or immaterial revisions (Proposal 3) will have the same effect as a vote against the proposal.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Confidentiality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Such information will not be disclosed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Results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 xml:space="preserve">Final voting results will be announced at the Meeting and will be posted shortly after the Meeting on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Voting results will also be published in a Current Report on Form 8-K to be filed with the Securities and Exchange Commission (“SEC”) within four business days of the Meeting. After the reports are filed, you may obtain a copy by:</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visiting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contacting our Investor Relations department at 858-848-8100;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viewing our Form 8-K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MEETING TO BE HELD ON MAY 16,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and Cohu’s Fiscal Year 2017 Annual Report are both available at www.proxyvote.com.</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three Class 2 directors are to be elected for a term expiring in 2021. The shares represented by proxies in the accompanying form will be voted by the proxy holders for the election of the nominees named below. In the event the election of directors is to be by cumulative voting, the proxy holders will vote the shares represented by proxies in such proportions as the proxy holders see fit. Should the nominee decline or become unable to accept nomination or election, which is not anticipated, the proxies will be voted for such substitute nominee as may be designated by a majority of the Board of Directors. There is no family relationship between the nominees, other directors or any of Cohu’s NEOs.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following paragraphs provide information as of the date of this proxy statement about each member of our Board. The information presented includes information the director has given us about his age, all positions he holds, his principal occupation and business experience for the past five years, and the names of other publicly-held companies on which he currently serves as a director or has served as a director during the past five years. In addition to the information presented below regarding the nominee’s specific experience, qualifications, attributes and skills that led our Board to the conclusion that each nominee should serve as a director, we also believe that our director nominees have a reputation for integrity, honesty and adherence to high ethical standards. Each nominee has demonstrated business acumen and an ability to exercise sound judgment, as well as a commitment of service to Cohu and our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 xml:space="preserve">The nominees receiving the highest number of votes cast will be elected as Directors. </w:t>
      </w:r>
      <w:r>
        <w:rPr>
          <w:rFonts w:ascii="Arial" w:cs="Arial" w:eastAsia="Arial" w:hAnsi="Arial"/>
          <w:sz w:val="17"/>
          <w:szCs w:val="17"/>
          <w:i w:val="1"/>
          <w:iCs w:val="1"/>
          <w:color w:val="auto"/>
        </w:rPr>
        <w:t>Brokers do not have discretion to vote on this proposal without</w:t>
      </w:r>
      <w:r>
        <w:rPr>
          <w:rFonts w:ascii="Arial" w:cs="Arial" w:eastAsia="Arial" w:hAnsi="Arial"/>
          <w:sz w:val="17"/>
          <w:szCs w:val="17"/>
          <w:color w:val="auto"/>
        </w:rPr>
        <w:t xml:space="preserve"> </w:t>
      </w:r>
      <w:r>
        <w:rPr>
          <w:rFonts w:ascii="Arial" w:cs="Arial" w:eastAsia="Arial" w:hAnsi="Arial"/>
          <w:sz w:val="17"/>
          <w:szCs w:val="17"/>
          <w:i w:val="1"/>
          <w:iCs w:val="1"/>
          <w:color w:val="auto"/>
        </w:rPr>
        <w:t>your instruction. If you do not instruct your broker how to vote on this proposal, your broker will deliver a non-vote on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a vote “FOR” the nominees named below.</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Directors Whose Term Expires in 2021 (if elected) - Class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6830695" cy="1142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0695" cy="114236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Andrew M. Caggia, Director since 2014, age 69</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Business Experience and Other Directorships</w:t>
            </w:r>
          </w:p>
        </w:tc>
        <w:tc>
          <w:tcPr>
            <w:tcW w:w="5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Experience, Qualifications and Attributes</w:t>
            </w:r>
          </w:p>
        </w:tc>
        <w:tc>
          <w:tcPr>
            <w:tcW w:w="640" w:type="dxa"/>
            <w:vAlign w:val="bottom"/>
          </w:tcPr>
          <w:p>
            <w:pPr>
              <w:spacing w:after="0"/>
              <w:rPr>
                <w:sz w:val="18"/>
                <w:szCs w:val="18"/>
                <w:color w:val="auto"/>
              </w:rPr>
            </w:pPr>
          </w:p>
        </w:tc>
      </w:tr>
      <w:tr>
        <w:trPr>
          <w:trHeight w:val="195"/>
        </w:trPr>
        <w:tc>
          <w:tcPr>
            <w:tcW w:w="54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1"/>
              </w:rPr>
              <w:t>Mr. Caggia is the retired Senior Vice President and Chief Financial Officer</w:t>
            </w:r>
          </w:p>
        </w:tc>
        <w:tc>
          <w:tcPr>
            <w:tcW w:w="5320" w:type="dxa"/>
            <w:vAlign w:val="bottom"/>
          </w:tcPr>
          <w:p>
            <w:pPr>
              <w:spacing w:after="0" w:line="195" w:lineRule="exact"/>
              <w:rPr>
                <w:sz w:val="20"/>
                <w:szCs w:val="20"/>
                <w:color w:val="auto"/>
              </w:rPr>
            </w:pPr>
            <w:r>
              <w:rPr>
                <w:rFonts w:ascii="Arial" w:cs="Arial" w:eastAsia="Arial" w:hAnsi="Arial"/>
                <w:sz w:val="18"/>
                <w:szCs w:val="18"/>
                <w:color w:val="auto"/>
                <w:w w:val="96"/>
              </w:rPr>
              <w:t>We believe Mr. Caggia’s qualifications to sit on our Board include his</w:t>
            </w:r>
          </w:p>
        </w:tc>
        <w:tc>
          <w:tcPr>
            <w:tcW w:w="640" w:type="dxa"/>
            <w:vAlign w:val="bottom"/>
          </w:tcPr>
          <w:p>
            <w:pPr>
              <w:spacing w:after="0"/>
              <w:rPr>
                <w:sz w:val="16"/>
                <w:szCs w:val="16"/>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of Standard Microsystems Corporation (SMSC) where he worked from</w:t>
            </w:r>
          </w:p>
        </w:tc>
        <w:tc>
          <w:tcPr>
            <w:tcW w:w="5320" w:type="dxa"/>
            <w:vAlign w:val="bottom"/>
          </w:tcPr>
          <w:p>
            <w:pPr>
              <w:spacing w:after="0"/>
              <w:rPr>
                <w:sz w:val="20"/>
                <w:szCs w:val="20"/>
                <w:color w:val="auto"/>
              </w:rPr>
            </w:pPr>
            <w:r>
              <w:rPr>
                <w:rFonts w:ascii="Arial" w:cs="Arial" w:eastAsia="Arial" w:hAnsi="Arial"/>
                <w:sz w:val="18"/>
                <w:szCs w:val="18"/>
                <w:color w:val="auto"/>
                <w:w w:val="93"/>
              </w:rPr>
              <w:t>executive experience in the semiconductor industry and his experience</w:t>
            </w:r>
          </w:p>
        </w:tc>
        <w:tc>
          <w:tcPr>
            <w:tcW w:w="64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2000 until his retirement in 2006. Mr. Caggia also served as a director of</w:t>
            </w:r>
          </w:p>
        </w:tc>
        <w:tc>
          <w:tcPr>
            <w:tcW w:w="5320" w:type="dxa"/>
            <w:vAlign w:val="bottom"/>
          </w:tcPr>
          <w:p>
            <w:pPr>
              <w:spacing w:after="0"/>
              <w:rPr>
                <w:sz w:val="20"/>
                <w:szCs w:val="20"/>
                <w:color w:val="auto"/>
              </w:rPr>
            </w:pPr>
            <w:r>
              <w:rPr>
                <w:rFonts w:ascii="Arial" w:cs="Arial" w:eastAsia="Arial" w:hAnsi="Arial"/>
                <w:sz w:val="18"/>
                <w:szCs w:val="18"/>
                <w:color w:val="auto"/>
                <w:w w:val="96"/>
              </w:rPr>
              <w:t>with financial accounting matters for complex global organizations as</w:t>
            </w:r>
          </w:p>
        </w:tc>
        <w:tc>
          <w:tcPr>
            <w:tcW w:w="64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SMSC from 2001 until its purchase by Microchip Technology</w:t>
            </w:r>
          </w:p>
        </w:tc>
        <w:tc>
          <w:tcPr>
            <w:tcW w:w="5320" w:type="dxa"/>
            <w:vAlign w:val="bottom"/>
          </w:tcPr>
          <w:p>
            <w:pPr>
              <w:spacing w:after="0"/>
              <w:rPr>
                <w:sz w:val="20"/>
                <w:szCs w:val="20"/>
                <w:color w:val="auto"/>
              </w:rPr>
            </w:pPr>
            <w:r>
              <w:rPr>
                <w:rFonts w:ascii="Arial" w:cs="Arial" w:eastAsia="Arial" w:hAnsi="Arial"/>
                <w:sz w:val="18"/>
                <w:szCs w:val="18"/>
                <w:color w:val="auto"/>
                <w:w w:val="94"/>
              </w:rPr>
              <w:t>well as his knowledge of business strategy. Mr. Caggia qualifies as an</w:t>
            </w:r>
          </w:p>
        </w:tc>
        <w:tc>
          <w:tcPr>
            <w:tcW w:w="640" w:type="dxa"/>
            <w:vAlign w:val="bottom"/>
          </w:tcPr>
          <w:p>
            <w:pPr>
              <w:spacing w:after="0"/>
              <w:rPr>
                <w:sz w:val="18"/>
                <w:szCs w:val="18"/>
                <w:color w:val="auto"/>
              </w:rPr>
            </w:pPr>
          </w:p>
        </w:tc>
      </w:tr>
      <w:tr>
        <w:trPr>
          <w:trHeight w:val="230"/>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Incorporated in 2012.</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“audit committee financial expert” under SEC guidelines.</w:t>
            </w:r>
          </w:p>
        </w:tc>
        <w:tc>
          <w:tcPr>
            <w:tcW w:w="640" w:type="dxa"/>
            <w:vAlign w:val="bottom"/>
          </w:tcPr>
          <w:p>
            <w:pPr>
              <w:spacing w:after="0"/>
              <w:rPr>
                <w:sz w:val="20"/>
                <w:szCs w:val="20"/>
                <w:color w:val="auto"/>
              </w:rPr>
            </w:pPr>
          </w:p>
        </w:tc>
      </w:tr>
      <w:tr>
        <w:trPr>
          <w:trHeight w:val="206"/>
        </w:trPr>
        <w:tc>
          <w:tcPr>
            <w:tcW w:w="546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r>
        <w:trPr>
          <w:trHeight w:val="210"/>
        </w:trPr>
        <w:tc>
          <w:tcPr>
            <w:tcW w:w="5460" w:type="dxa"/>
            <w:vAlign w:val="bottom"/>
            <w:tcBorders>
              <w:left w:val="single" w:sz="8" w:color="auto"/>
              <w:bottom w:val="single" w:sz="8" w:color="auto"/>
              <w:right w:val="single" w:sz="8" w:color="E6E6E6"/>
            </w:tcBorders>
            <w:shd w:val="clear" w:color="auto" w:fill="E6E6E6"/>
          </w:tcPr>
          <w:p>
            <w:pPr>
              <w:ind w:left="20"/>
              <w:spacing w:after="0"/>
              <w:rPr>
                <w:sz w:val="20"/>
                <w:szCs w:val="20"/>
                <w:color w:val="auto"/>
              </w:rPr>
            </w:pPr>
            <w:r>
              <w:rPr>
                <w:rFonts w:ascii="Arial" w:cs="Arial" w:eastAsia="Arial" w:hAnsi="Arial"/>
                <w:sz w:val="18"/>
                <w:szCs w:val="18"/>
                <w:b w:val="1"/>
                <w:bCs w:val="1"/>
                <w:color w:val="auto"/>
              </w:rPr>
              <w:t>Karl H. Funke, Director since 2015, age 57</w:t>
            </w:r>
          </w:p>
        </w:tc>
        <w:tc>
          <w:tcPr>
            <w:tcW w:w="5320" w:type="dxa"/>
            <w:vAlign w:val="bottom"/>
            <w:tcBorders>
              <w:bottom w:val="single" w:sz="8" w:color="auto"/>
              <w:right w:val="single" w:sz="8" w:color="auto"/>
            </w:tcBorders>
            <w:shd w:val="clear" w:color="auto" w:fill="E6E6E6"/>
          </w:tcPr>
          <w:p>
            <w:pPr>
              <w:spacing w:after="0"/>
              <w:rPr>
                <w:sz w:val="18"/>
                <w:szCs w:val="18"/>
                <w:color w:val="auto"/>
              </w:rPr>
            </w:pPr>
          </w:p>
        </w:tc>
        <w:tc>
          <w:tcPr>
            <w:tcW w:w="640" w:type="dxa"/>
            <w:vAlign w:val="bottom"/>
          </w:tcPr>
          <w:p>
            <w:pPr>
              <w:spacing w:after="0"/>
              <w:rPr>
                <w:sz w:val="18"/>
                <w:szCs w:val="18"/>
                <w:color w:val="auto"/>
              </w:rPr>
            </w:pPr>
          </w:p>
        </w:tc>
      </w:tr>
      <w:tr>
        <w:trPr>
          <w:trHeight w:val="213"/>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Business Experience and Other Directorships</w:t>
            </w: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i w:val="1"/>
                <w:iCs w:val="1"/>
                <w:color w:val="auto"/>
              </w:rPr>
              <w:t>Experience, Qualifications and Attributes</w:t>
            </w:r>
          </w:p>
        </w:tc>
        <w:tc>
          <w:tcPr>
            <w:tcW w:w="640" w:type="dxa"/>
            <w:vAlign w:val="bottom"/>
          </w:tcPr>
          <w:p>
            <w:pPr>
              <w:spacing w:after="0"/>
              <w:rPr>
                <w:sz w:val="18"/>
                <w:szCs w:val="18"/>
                <w:color w:val="auto"/>
              </w:rPr>
            </w:pPr>
          </w:p>
        </w:tc>
      </w:tr>
      <w:tr>
        <w:trPr>
          <w:trHeight w:val="195"/>
        </w:trPr>
        <w:tc>
          <w:tcPr>
            <w:tcW w:w="54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Mr. Funke is a retired senior executive of global IC test handler company,</w:t>
            </w:r>
          </w:p>
        </w:tc>
        <w:tc>
          <w:tcPr>
            <w:tcW w:w="53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We believe Mr. Funke’s qualifications to sit on our Board include his</w:t>
            </w:r>
          </w:p>
        </w:tc>
        <w:tc>
          <w:tcPr>
            <w:tcW w:w="640" w:type="dxa"/>
            <w:vAlign w:val="bottom"/>
          </w:tcPr>
          <w:p>
            <w:pPr>
              <w:spacing w:after="0"/>
              <w:rPr>
                <w:sz w:val="16"/>
                <w:szCs w:val="16"/>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Multitest GmbH and served as Chief Executive Officer from 2001 until his</w:t>
            </w:r>
          </w:p>
        </w:tc>
        <w:tc>
          <w:tcPr>
            <w:tcW w:w="5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executive experience in the semiconductor equipment industry and his</w:t>
            </w:r>
          </w:p>
        </w:tc>
        <w:tc>
          <w:tcPr>
            <w:tcW w:w="64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retirement in 2009. Previously Mr. Funke held positions in private equity</w:t>
            </w:r>
          </w:p>
        </w:tc>
        <w:tc>
          <w:tcPr>
            <w:tcW w:w="5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experience with financial accounting matters for complex global</w:t>
            </w:r>
          </w:p>
        </w:tc>
        <w:tc>
          <w:tcPr>
            <w:tcW w:w="64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and venture capital and Mr. Funke is currently a private investor and</w:t>
            </w:r>
          </w:p>
        </w:tc>
        <w:tc>
          <w:tcPr>
            <w:tcW w:w="5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organizations as well as his knowledge of business strategy.</w:t>
            </w:r>
          </w:p>
        </w:tc>
        <w:tc>
          <w:tcPr>
            <w:tcW w:w="640" w:type="dxa"/>
            <w:vAlign w:val="bottom"/>
          </w:tcPr>
          <w:p>
            <w:pPr>
              <w:spacing w:after="0"/>
              <w:rPr>
                <w:sz w:val="18"/>
                <w:szCs w:val="18"/>
                <w:color w:val="auto"/>
              </w:rPr>
            </w:pPr>
          </w:p>
        </w:tc>
      </w:tr>
      <w:tr>
        <w:trPr>
          <w:trHeight w:val="230"/>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serves on the boards of two privately held companies.</w:t>
            </w:r>
          </w:p>
        </w:tc>
        <w:tc>
          <w:tcPr>
            <w:tcW w:w="5320" w:type="dxa"/>
            <w:vAlign w:val="bottom"/>
            <w:tcBorders>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426"/>
        </w:trPr>
        <w:tc>
          <w:tcPr>
            <w:tcW w:w="546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24"/>
                <w:szCs w:val="24"/>
                <w:color w:val="auto"/>
              </w:rPr>
            </w:pPr>
          </w:p>
        </w:tc>
      </w:tr>
      <w:tr>
        <w:trPr>
          <w:trHeight w:val="115"/>
        </w:trPr>
        <w:tc>
          <w:tcPr>
            <w:tcW w:w="546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Directors Whose Term Expires in 2021 (if elected) - Class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6830695" cy="1554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0695" cy="155448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Luis A. Müller, Director since 2014, age 48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Business Experience and Other Directorships</w:t>
            </w:r>
          </w:p>
        </w:tc>
        <w:tc>
          <w:tcPr>
            <w:tcW w:w="5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Experience, Qualifications and Attributes</w:t>
            </w:r>
          </w:p>
        </w:tc>
      </w:tr>
      <w:tr>
        <w:trPr>
          <w:trHeight w:val="195"/>
        </w:trPr>
        <w:tc>
          <w:tcPr>
            <w:tcW w:w="54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Dr. Müller has been the President and Chief Executive Officer of Cohu</w:t>
            </w:r>
          </w:p>
        </w:tc>
        <w:tc>
          <w:tcPr>
            <w:tcW w:w="5300" w:type="dxa"/>
            <w:vAlign w:val="bottom"/>
          </w:tcPr>
          <w:p>
            <w:pPr>
              <w:spacing w:after="0" w:line="195" w:lineRule="exact"/>
              <w:rPr>
                <w:sz w:val="20"/>
                <w:szCs w:val="20"/>
                <w:color w:val="auto"/>
              </w:rPr>
            </w:pPr>
            <w:r>
              <w:rPr>
                <w:rFonts w:ascii="Arial" w:cs="Arial" w:eastAsia="Arial" w:hAnsi="Arial"/>
                <w:sz w:val="18"/>
                <w:szCs w:val="18"/>
                <w:color w:val="auto"/>
                <w:w w:val="98"/>
              </w:rPr>
              <w:t>We believe Dr. Müller’s qualifications to sit on our Board include his</w:t>
            </w: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since December 28, 2014. His previous roles at Cohu include serving as</w:t>
            </w:r>
          </w:p>
        </w:tc>
        <w:tc>
          <w:tcPr>
            <w:tcW w:w="5300" w:type="dxa"/>
            <w:vAlign w:val="bottom"/>
          </w:tcPr>
          <w:p>
            <w:pPr>
              <w:spacing w:after="0"/>
              <w:rPr>
                <w:sz w:val="20"/>
                <w:szCs w:val="20"/>
                <w:color w:val="auto"/>
              </w:rPr>
            </w:pPr>
            <w:r>
              <w:rPr>
                <w:rFonts w:ascii="Arial" w:cs="Arial" w:eastAsia="Arial" w:hAnsi="Arial"/>
                <w:sz w:val="18"/>
                <w:szCs w:val="18"/>
                <w:color w:val="auto"/>
                <w:w w:val="94"/>
              </w:rPr>
              <w:t>more than twenty years of experience in the semiconductor equipment</w:t>
            </w: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President of Cohu’s Semiconductor Equipment Group (“SEG”) from 2011</w:t>
            </w:r>
          </w:p>
        </w:tc>
        <w:tc>
          <w:tcPr>
            <w:tcW w:w="5300" w:type="dxa"/>
            <w:vAlign w:val="bottom"/>
          </w:tcPr>
          <w:p>
            <w:pPr>
              <w:spacing w:after="0"/>
              <w:rPr>
                <w:sz w:val="20"/>
                <w:szCs w:val="20"/>
                <w:color w:val="auto"/>
              </w:rPr>
            </w:pPr>
            <w:r>
              <w:rPr>
                <w:rFonts w:ascii="Arial" w:cs="Arial" w:eastAsia="Arial" w:hAnsi="Arial"/>
                <w:sz w:val="18"/>
                <w:szCs w:val="18"/>
                <w:color w:val="auto"/>
              </w:rPr>
              <w:t>industry, broad knowledge of business development and strategy,</w:t>
            </w: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to 2014; Managing Director of Rasco GmbH from 2009 to 2011; Vice</w:t>
            </w:r>
          </w:p>
        </w:tc>
        <w:tc>
          <w:tcPr>
            <w:tcW w:w="5300" w:type="dxa"/>
            <w:vAlign w:val="bottom"/>
          </w:tcPr>
          <w:p>
            <w:pPr>
              <w:spacing w:after="0"/>
              <w:rPr>
                <w:sz w:val="20"/>
                <w:szCs w:val="20"/>
                <w:color w:val="auto"/>
              </w:rPr>
            </w:pPr>
            <w:r>
              <w:rPr>
                <w:rFonts w:ascii="Arial" w:cs="Arial" w:eastAsia="Arial" w:hAnsi="Arial"/>
                <w:sz w:val="18"/>
                <w:szCs w:val="18"/>
                <w:color w:val="auto"/>
                <w:w w:val="96"/>
              </w:rPr>
              <w:t>semiconductor technologies, corporate governance and international</w:t>
            </w: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President of Delta Design’s High Speed Handling Group from 2008 to</w:t>
            </w:r>
          </w:p>
        </w:tc>
        <w:tc>
          <w:tcPr>
            <w:tcW w:w="5300" w:type="dxa"/>
            <w:vAlign w:val="bottom"/>
          </w:tcPr>
          <w:p>
            <w:pPr>
              <w:spacing w:after="0"/>
              <w:rPr>
                <w:sz w:val="20"/>
                <w:szCs w:val="20"/>
                <w:color w:val="auto"/>
              </w:rPr>
            </w:pPr>
            <w:r>
              <w:rPr>
                <w:rFonts w:ascii="Arial" w:cs="Arial" w:eastAsia="Arial" w:hAnsi="Arial"/>
                <w:sz w:val="18"/>
                <w:szCs w:val="18"/>
                <w:color w:val="auto"/>
              </w:rPr>
              <w:t>operations.</w:t>
            </w: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2009; and Director of Engineering at Delta Design from 2005 to 2008.</w:t>
            </w:r>
          </w:p>
        </w:tc>
        <w:tc>
          <w:tcPr>
            <w:tcW w:w="530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Prior to joining Cohu Dr. Müller spent nine years at Teradyne Inc., where</w:t>
            </w:r>
          </w:p>
        </w:tc>
        <w:tc>
          <w:tcPr>
            <w:tcW w:w="5300" w:type="dxa"/>
            <w:vAlign w:val="bottom"/>
          </w:tcPr>
          <w:p>
            <w:pPr>
              <w:spacing w:after="0"/>
              <w:rPr>
                <w:sz w:val="18"/>
                <w:szCs w:val="18"/>
                <w:color w:val="auto"/>
              </w:rPr>
            </w:pPr>
          </w:p>
        </w:tc>
      </w:tr>
      <w:tr>
        <w:trPr>
          <w:trHeight w:val="230"/>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he held management positions in engineering and business development.</w:t>
            </w:r>
          </w:p>
        </w:tc>
        <w:tc>
          <w:tcPr>
            <w:tcW w:w="5300" w:type="dxa"/>
            <w:vAlign w:val="bottom"/>
            <w:tcBorders>
              <w:bottom w:val="single" w:sz="8" w:color="auto"/>
            </w:tcBorders>
          </w:tcPr>
          <w:p>
            <w:pPr>
              <w:spacing w:after="0"/>
              <w:rPr>
                <w:sz w:val="20"/>
                <w:szCs w:val="20"/>
                <w:color w:val="auto"/>
              </w:rPr>
            </w:pPr>
          </w:p>
        </w:tc>
      </w:tr>
      <w:tr>
        <w:trPr>
          <w:trHeight w:val="426"/>
        </w:trPr>
        <w:tc>
          <w:tcPr>
            <w:tcW w:w="10760" w:type="dxa"/>
            <w:vAlign w:val="bottom"/>
            <w:gridSpan w:val="2"/>
          </w:tcPr>
          <w:p>
            <w:pPr>
              <w:ind w:left="2080"/>
              <w:spacing w:after="0"/>
              <w:rPr>
                <w:sz w:val="20"/>
                <w:szCs w:val="20"/>
                <w:color w:val="auto"/>
              </w:rPr>
            </w:pPr>
            <w:r>
              <w:rPr>
                <w:rFonts w:ascii="Arial" w:cs="Arial" w:eastAsia="Arial" w:hAnsi="Arial"/>
                <w:sz w:val="18"/>
                <w:szCs w:val="18"/>
                <w:b w:val="1"/>
                <w:bCs w:val="1"/>
                <w:color w:val="auto"/>
              </w:rPr>
              <w:t>INFORMATION CONCERNING OTHER DIRECTORS NOT STANDING FOR ELECTION</w:t>
            </w: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Directors Whose Term Expires in 2019 – Class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6838950" cy="1691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8950" cy="169164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James A. Donahue, Director since 1999 (non-executive Director since 2015), age 69</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Business Experience and Other Directorships</w:t>
            </w:r>
          </w:p>
        </w:tc>
        <w:tc>
          <w:tcPr>
            <w:tcW w:w="5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Experience, Qualifications and Attributes</w:t>
            </w:r>
          </w:p>
        </w:tc>
        <w:tc>
          <w:tcPr>
            <w:tcW w:w="620" w:type="dxa"/>
            <w:vAlign w:val="bottom"/>
          </w:tcPr>
          <w:p>
            <w:pPr>
              <w:spacing w:after="0"/>
              <w:rPr>
                <w:sz w:val="18"/>
                <w:szCs w:val="18"/>
                <w:color w:val="auto"/>
              </w:rPr>
            </w:pPr>
          </w:p>
        </w:tc>
      </w:tr>
      <w:tr>
        <w:trPr>
          <w:trHeight w:val="195"/>
        </w:trPr>
        <w:tc>
          <w:tcPr>
            <w:tcW w:w="54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Mr. Donahue has been the non-executive Chairman of Cohu since</w:t>
            </w:r>
          </w:p>
        </w:tc>
        <w:tc>
          <w:tcPr>
            <w:tcW w:w="5340" w:type="dxa"/>
            <w:vAlign w:val="bottom"/>
          </w:tcPr>
          <w:p>
            <w:pPr>
              <w:spacing w:after="0" w:line="195" w:lineRule="exact"/>
              <w:rPr>
                <w:sz w:val="20"/>
                <w:szCs w:val="20"/>
                <w:color w:val="auto"/>
              </w:rPr>
            </w:pPr>
            <w:r>
              <w:rPr>
                <w:rFonts w:ascii="Arial" w:cs="Arial" w:eastAsia="Arial" w:hAnsi="Arial"/>
                <w:sz w:val="18"/>
                <w:szCs w:val="18"/>
                <w:color w:val="auto"/>
                <w:w w:val="94"/>
              </w:rPr>
              <w:t>We believe Mr. Donahue’s qualifications to sit on our Board include his</w:t>
            </w:r>
          </w:p>
        </w:tc>
        <w:tc>
          <w:tcPr>
            <w:tcW w:w="620" w:type="dxa"/>
            <w:vAlign w:val="bottom"/>
          </w:tcPr>
          <w:p>
            <w:pPr>
              <w:spacing w:after="0"/>
              <w:rPr>
                <w:sz w:val="16"/>
                <w:szCs w:val="16"/>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December 24, 2015. Prior to this he served as Executive Chairman of</w:t>
            </w:r>
          </w:p>
        </w:tc>
        <w:tc>
          <w:tcPr>
            <w:tcW w:w="5340" w:type="dxa"/>
            <w:vAlign w:val="bottom"/>
          </w:tcPr>
          <w:p>
            <w:pPr>
              <w:spacing w:after="0"/>
              <w:rPr>
                <w:sz w:val="20"/>
                <w:szCs w:val="20"/>
                <w:color w:val="auto"/>
              </w:rPr>
            </w:pPr>
            <w:r>
              <w:rPr>
                <w:rFonts w:ascii="Arial" w:cs="Arial" w:eastAsia="Arial" w:hAnsi="Arial"/>
                <w:sz w:val="18"/>
                <w:szCs w:val="18"/>
                <w:color w:val="auto"/>
                <w:w w:val="98"/>
              </w:rPr>
              <w:t>more than thirty years of executive experience in the semiconductor</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Cohu from December 28, 2014 to December 24, 2015 and as Chairman of</w:t>
            </w:r>
          </w:p>
        </w:tc>
        <w:tc>
          <w:tcPr>
            <w:tcW w:w="5340" w:type="dxa"/>
            <w:vAlign w:val="bottom"/>
          </w:tcPr>
          <w:p>
            <w:pPr>
              <w:spacing w:after="0"/>
              <w:rPr>
                <w:sz w:val="20"/>
                <w:szCs w:val="20"/>
                <w:color w:val="auto"/>
              </w:rPr>
            </w:pPr>
            <w:r>
              <w:rPr>
                <w:rFonts w:ascii="Arial" w:cs="Arial" w:eastAsia="Arial" w:hAnsi="Arial"/>
                <w:sz w:val="18"/>
                <w:szCs w:val="18"/>
                <w:color w:val="auto"/>
                <w:w w:val="93"/>
              </w:rPr>
              <w:t>equipment industry and broad knowledge of business development and</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the Board from 2010 until 2014. Mr. Donahue was President and Chief</w:t>
            </w:r>
          </w:p>
        </w:tc>
        <w:tc>
          <w:tcPr>
            <w:tcW w:w="5340" w:type="dxa"/>
            <w:vAlign w:val="bottom"/>
          </w:tcPr>
          <w:p>
            <w:pPr>
              <w:spacing w:after="0"/>
              <w:rPr>
                <w:sz w:val="20"/>
                <w:szCs w:val="20"/>
                <w:color w:val="auto"/>
              </w:rPr>
            </w:pPr>
            <w:r>
              <w:rPr>
                <w:rFonts w:ascii="Arial" w:cs="Arial" w:eastAsia="Arial" w:hAnsi="Arial"/>
                <w:sz w:val="18"/>
                <w:szCs w:val="18"/>
                <w:color w:val="auto"/>
              </w:rPr>
              <w:t>strategy, corporate governance and operations.</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Officer of Cohu from June 2000 to December 2014 and</w:t>
            </w:r>
          </w:p>
        </w:tc>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President and Chief Operating Officer of Cohu from 1999 to 2000. He also</w:t>
            </w:r>
          </w:p>
        </w:tc>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served concurrently as President of Delta Design, Inc., a wholly owned</w:t>
            </w:r>
          </w:p>
        </w:tc>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subsidiary of Cohu from 1983 to 2010. Mr. Donahue served as a director</w:t>
            </w:r>
          </w:p>
        </w:tc>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 SMSC from 2003 until 2012.</w:t>
            </w:r>
          </w:p>
        </w:tc>
        <w:tc>
          <w:tcPr>
            <w:tcW w:w="534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r>
      <w:tr>
        <w:trPr>
          <w:trHeight w:val="206"/>
        </w:trPr>
        <w:tc>
          <w:tcPr>
            <w:tcW w:w="5460" w:type="dxa"/>
            <w:vAlign w:val="bottom"/>
            <w:tcBorders>
              <w:bottom w:val="single" w:sz="8" w:color="auto"/>
            </w:tcBorders>
          </w:tcPr>
          <w:p>
            <w:pPr>
              <w:spacing w:after="0"/>
              <w:rPr>
                <w:sz w:val="17"/>
                <w:szCs w:val="17"/>
                <w:color w:val="auto"/>
              </w:rPr>
            </w:pPr>
          </w:p>
        </w:tc>
        <w:tc>
          <w:tcPr>
            <w:tcW w:w="534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5460" w:type="dxa"/>
            <w:vAlign w:val="bottom"/>
            <w:tcBorders>
              <w:left w:val="single" w:sz="8" w:color="auto"/>
              <w:bottom w:val="single" w:sz="8" w:color="auto"/>
              <w:right w:val="single" w:sz="8" w:color="E6E6E6"/>
            </w:tcBorders>
            <w:shd w:val="clear" w:color="auto" w:fill="E6E6E6"/>
          </w:tcPr>
          <w:p>
            <w:pPr>
              <w:ind w:left="20"/>
              <w:spacing w:after="0"/>
              <w:rPr>
                <w:sz w:val="20"/>
                <w:szCs w:val="20"/>
                <w:color w:val="auto"/>
              </w:rPr>
            </w:pPr>
            <w:r>
              <w:rPr>
                <w:rFonts w:ascii="Arial" w:cs="Arial" w:eastAsia="Arial" w:hAnsi="Arial"/>
                <w:sz w:val="18"/>
                <w:szCs w:val="18"/>
                <w:b w:val="1"/>
                <w:bCs w:val="1"/>
                <w:color w:val="auto"/>
              </w:rPr>
              <w:t>Steven J. Bilodeau, Director since 2009, age 59</w:t>
            </w:r>
          </w:p>
        </w:tc>
        <w:tc>
          <w:tcPr>
            <w:tcW w:w="5340" w:type="dxa"/>
            <w:vAlign w:val="bottom"/>
            <w:tcBorders>
              <w:bottom w:val="single" w:sz="8" w:color="auto"/>
              <w:right w:val="single" w:sz="8" w:color="auto"/>
            </w:tcBorders>
            <w:shd w:val="clear" w:color="auto" w:fill="E6E6E6"/>
          </w:tcPr>
          <w:p>
            <w:pPr>
              <w:spacing w:after="0"/>
              <w:rPr>
                <w:sz w:val="18"/>
                <w:szCs w:val="18"/>
                <w:color w:val="auto"/>
              </w:rPr>
            </w:pPr>
          </w:p>
        </w:tc>
        <w:tc>
          <w:tcPr>
            <w:tcW w:w="620" w:type="dxa"/>
            <w:vAlign w:val="bottom"/>
          </w:tcPr>
          <w:p>
            <w:pPr>
              <w:spacing w:after="0"/>
              <w:rPr>
                <w:sz w:val="18"/>
                <w:szCs w:val="18"/>
                <w:color w:val="auto"/>
              </w:rPr>
            </w:pPr>
          </w:p>
        </w:tc>
      </w:tr>
      <w:tr>
        <w:trPr>
          <w:trHeight w:val="213"/>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Business Experience and Other Directorships</w:t>
            </w:r>
          </w:p>
        </w:tc>
        <w:tc>
          <w:tcPr>
            <w:tcW w:w="5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i w:val="1"/>
                <w:iCs w:val="1"/>
                <w:color w:val="auto"/>
              </w:rPr>
              <w:t>Experience, Qualifications and Attributes</w:t>
            </w:r>
          </w:p>
        </w:tc>
        <w:tc>
          <w:tcPr>
            <w:tcW w:w="620" w:type="dxa"/>
            <w:vAlign w:val="bottom"/>
          </w:tcPr>
          <w:p>
            <w:pPr>
              <w:spacing w:after="0"/>
              <w:rPr>
                <w:sz w:val="18"/>
                <w:szCs w:val="18"/>
                <w:color w:val="auto"/>
              </w:rPr>
            </w:pPr>
          </w:p>
        </w:tc>
      </w:tr>
      <w:tr>
        <w:trPr>
          <w:trHeight w:val="195"/>
        </w:trPr>
        <w:tc>
          <w:tcPr>
            <w:tcW w:w="54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Mr. Bilodeau is the retired President and Chief Executive Officer of</w:t>
            </w:r>
          </w:p>
        </w:tc>
        <w:tc>
          <w:tcPr>
            <w:tcW w:w="53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We believe Mr. Bilodeau’s qualifications to sit on our Board include</w:t>
            </w:r>
          </w:p>
        </w:tc>
        <w:tc>
          <w:tcPr>
            <w:tcW w:w="620" w:type="dxa"/>
            <w:vAlign w:val="bottom"/>
          </w:tcPr>
          <w:p>
            <w:pPr>
              <w:spacing w:after="0"/>
              <w:rPr>
                <w:sz w:val="16"/>
                <w:szCs w:val="16"/>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SMSC, a semiconductor manufacturer, where he served from 1999 until</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his more than thirty years of executive experience in the high</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2008. Mr. Bilodeau has been a director of Maxwell Technologies since</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technology and semiconductor industries and his knowledge of</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May 2016 and was appointed Chairman in May 2017. Mr. Bilodeau also</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international operations, business strategy and corporate governance.</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served as a director of SMSC from 1999 until 2012, and as SMSC’s</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Mr. Bilodeau qualifies as an “audit committee financial expert” under</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Chairman of the Board from 2000 until 2012. Mr. Bilodeau also</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SEC guidelines</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previously served as a director of NuHorizons Electronic Corp,</w:t>
            </w:r>
          </w:p>
        </w:tc>
        <w:tc>
          <w:tcPr>
            <w:tcW w:w="53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Conexant Systems, Inc. and Gennum Corporation.</w:t>
            </w:r>
          </w:p>
        </w:tc>
        <w:tc>
          <w:tcPr>
            <w:tcW w:w="5340" w:type="dxa"/>
            <w:vAlign w:val="bottom"/>
            <w:tcBorders>
              <w:bottom w:val="single" w:sz="8" w:color="auto"/>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r>
      <w:tr>
        <w:trPr>
          <w:trHeight w:val="426"/>
        </w:trPr>
        <w:tc>
          <w:tcPr>
            <w:tcW w:w="5460" w:type="dxa"/>
            <w:vAlign w:val="bottom"/>
          </w:tcPr>
          <w:p>
            <w:pPr>
              <w:spacing w:after="0"/>
              <w:rPr>
                <w:sz w:val="24"/>
                <w:szCs w:val="24"/>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4"/>
                <w:szCs w:val="24"/>
                <w:color w:val="auto"/>
              </w:rPr>
            </w:pPr>
          </w:p>
        </w:tc>
      </w:tr>
      <w:tr>
        <w:trPr>
          <w:trHeight w:val="115"/>
        </w:trPr>
        <w:tc>
          <w:tcPr>
            <w:tcW w:w="5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94"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t>Directors Whose Term Expires in 2020 - Class 1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6847840" cy="1142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7840" cy="114236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William E. Bendush, Director since 2011, age 69</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Business Experience and Other Directorships</w:t>
            </w:r>
          </w:p>
        </w:tc>
        <w:tc>
          <w:tcPr>
            <w:tcW w:w="5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Experience, Qualifications and Attributes</w:t>
            </w:r>
          </w:p>
        </w:tc>
        <w:tc>
          <w:tcPr>
            <w:tcW w:w="620" w:type="dxa"/>
            <w:vAlign w:val="bottom"/>
          </w:tcPr>
          <w:p>
            <w:pPr>
              <w:spacing w:after="0"/>
              <w:rPr>
                <w:sz w:val="18"/>
                <w:szCs w:val="18"/>
                <w:color w:val="auto"/>
              </w:rPr>
            </w:pPr>
          </w:p>
        </w:tc>
      </w:tr>
      <w:tr>
        <w:trPr>
          <w:trHeight w:val="195"/>
        </w:trPr>
        <w:tc>
          <w:tcPr>
            <w:tcW w:w="54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Mr. Bendush is the retired Senior Vice President and Chief Financial</w:t>
            </w:r>
          </w:p>
        </w:tc>
        <w:tc>
          <w:tcPr>
            <w:tcW w:w="5340" w:type="dxa"/>
            <w:vAlign w:val="bottom"/>
          </w:tcPr>
          <w:p>
            <w:pPr>
              <w:spacing w:after="0" w:line="195" w:lineRule="exact"/>
              <w:rPr>
                <w:sz w:val="20"/>
                <w:szCs w:val="20"/>
                <w:color w:val="auto"/>
              </w:rPr>
            </w:pPr>
            <w:r>
              <w:rPr>
                <w:rFonts w:ascii="Arial" w:cs="Arial" w:eastAsia="Arial" w:hAnsi="Arial"/>
                <w:sz w:val="18"/>
                <w:szCs w:val="18"/>
                <w:color w:val="auto"/>
                <w:w w:val="94"/>
              </w:rPr>
              <w:t>We believe Mr. Bendush’s qualifications to sit on our Board include his</w:t>
            </w:r>
          </w:p>
        </w:tc>
        <w:tc>
          <w:tcPr>
            <w:tcW w:w="620" w:type="dxa"/>
            <w:vAlign w:val="bottom"/>
          </w:tcPr>
          <w:p>
            <w:pPr>
              <w:spacing w:after="0"/>
              <w:rPr>
                <w:sz w:val="16"/>
                <w:szCs w:val="16"/>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Officer of Applied Micro Circuits Corporation (AMCC), a</w:t>
            </w:r>
          </w:p>
        </w:tc>
        <w:tc>
          <w:tcPr>
            <w:tcW w:w="5340" w:type="dxa"/>
            <w:vAlign w:val="bottom"/>
          </w:tcPr>
          <w:p>
            <w:pPr>
              <w:spacing w:after="0"/>
              <w:rPr>
                <w:sz w:val="20"/>
                <w:szCs w:val="20"/>
                <w:color w:val="auto"/>
              </w:rPr>
            </w:pPr>
            <w:r>
              <w:rPr>
                <w:rFonts w:ascii="Arial" w:cs="Arial" w:eastAsia="Arial" w:hAnsi="Arial"/>
                <w:sz w:val="18"/>
                <w:szCs w:val="18"/>
                <w:color w:val="auto"/>
                <w:w w:val="93"/>
              </w:rPr>
              <w:t>executive experience in the semiconductor industry and his experience</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communications semiconductor company where he served from 1999 to</w:t>
            </w:r>
          </w:p>
        </w:tc>
        <w:tc>
          <w:tcPr>
            <w:tcW w:w="5340" w:type="dxa"/>
            <w:vAlign w:val="bottom"/>
          </w:tcPr>
          <w:p>
            <w:pPr>
              <w:spacing w:after="0"/>
              <w:rPr>
                <w:sz w:val="20"/>
                <w:szCs w:val="20"/>
                <w:color w:val="auto"/>
              </w:rPr>
            </w:pPr>
            <w:r>
              <w:rPr>
                <w:rFonts w:ascii="Arial" w:cs="Arial" w:eastAsia="Arial" w:hAnsi="Arial"/>
                <w:sz w:val="18"/>
                <w:szCs w:val="18"/>
                <w:color w:val="auto"/>
                <w:w w:val="96"/>
              </w:rPr>
              <w:t>with financial accounting matters for complex global organizations as</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2003. Mr. Bendush has been a Director of Microsemi Corp. since 2003 and</w:t>
            </w:r>
          </w:p>
        </w:tc>
        <w:tc>
          <w:tcPr>
            <w:tcW w:w="5340" w:type="dxa"/>
            <w:vAlign w:val="bottom"/>
          </w:tcPr>
          <w:p>
            <w:pPr>
              <w:spacing w:after="0"/>
              <w:rPr>
                <w:sz w:val="20"/>
                <w:szCs w:val="20"/>
                <w:color w:val="auto"/>
              </w:rPr>
            </w:pPr>
            <w:r>
              <w:rPr>
                <w:rFonts w:ascii="Arial" w:cs="Arial" w:eastAsia="Arial" w:hAnsi="Arial"/>
                <w:sz w:val="18"/>
                <w:szCs w:val="18"/>
                <w:color w:val="auto"/>
                <w:w w:val="92"/>
              </w:rPr>
              <w:t>well as his knowledge of business strategy. Mr. Bendush qualifies as an</w:t>
            </w:r>
          </w:p>
        </w:tc>
        <w:tc>
          <w:tcPr>
            <w:tcW w:w="620" w:type="dxa"/>
            <w:vAlign w:val="bottom"/>
          </w:tcPr>
          <w:p>
            <w:pPr>
              <w:spacing w:after="0"/>
              <w:rPr>
                <w:sz w:val="18"/>
                <w:szCs w:val="18"/>
                <w:color w:val="auto"/>
              </w:rPr>
            </w:pPr>
          </w:p>
        </w:tc>
      </w:tr>
      <w:tr>
        <w:trPr>
          <w:trHeight w:val="230"/>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was a Director of Conexant Systems, Inc.</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“audit committee financial expert” under SEC guidelines.</w:t>
            </w:r>
          </w:p>
        </w:tc>
        <w:tc>
          <w:tcPr>
            <w:tcW w:w="620" w:type="dxa"/>
            <w:vAlign w:val="bottom"/>
          </w:tcPr>
          <w:p>
            <w:pPr>
              <w:spacing w:after="0"/>
              <w:rPr>
                <w:sz w:val="20"/>
                <w:szCs w:val="20"/>
                <w:color w:val="auto"/>
              </w:rPr>
            </w:pPr>
          </w:p>
        </w:tc>
      </w:tr>
      <w:tr>
        <w:trPr>
          <w:trHeight w:val="206"/>
        </w:trPr>
        <w:tc>
          <w:tcPr>
            <w:tcW w:w="5460" w:type="dxa"/>
            <w:vAlign w:val="bottom"/>
            <w:tcBorders>
              <w:bottom w:val="single" w:sz="8" w:color="auto"/>
            </w:tcBorders>
          </w:tcPr>
          <w:p>
            <w:pPr>
              <w:spacing w:after="0"/>
              <w:rPr>
                <w:sz w:val="17"/>
                <w:szCs w:val="17"/>
                <w:color w:val="auto"/>
              </w:rPr>
            </w:pPr>
          </w:p>
        </w:tc>
        <w:tc>
          <w:tcPr>
            <w:tcW w:w="534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5460" w:type="dxa"/>
            <w:vAlign w:val="bottom"/>
            <w:tcBorders>
              <w:left w:val="single" w:sz="8" w:color="auto"/>
              <w:bottom w:val="single" w:sz="8" w:color="auto"/>
              <w:right w:val="single" w:sz="8" w:color="E6E6E6"/>
            </w:tcBorders>
            <w:shd w:val="clear" w:color="auto" w:fill="E6E6E6"/>
          </w:tcPr>
          <w:p>
            <w:pPr>
              <w:ind w:left="20"/>
              <w:spacing w:after="0"/>
              <w:rPr>
                <w:sz w:val="20"/>
                <w:szCs w:val="20"/>
                <w:color w:val="auto"/>
              </w:rPr>
            </w:pPr>
            <w:r>
              <w:rPr>
                <w:rFonts w:ascii="Arial" w:cs="Arial" w:eastAsia="Arial" w:hAnsi="Arial"/>
                <w:sz w:val="18"/>
                <w:szCs w:val="18"/>
                <w:b w:val="1"/>
                <w:bCs w:val="1"/>
                <w:color w:val="auto"/>
              </w:rPr>
              <w:t>Robert L. Ciardella, Director since 2003, age 65</w:t>
            </w:r>
          </w:p>
        </w:tc>
        <w:tc>
          <w:tcPr>
            <w:tcW w:w="5340" w:type="dxa"/>
            <w:vAlign w:val="bottom"/>
            <w:tcBorders>
              <w:bottom w:val="single" w:sz="8" w:color="auto"/>
              <w:right w:val="single" w:sz="8" w:color="auto"/>
            </w:tcBorders>
            <w:shd w:val="clear" w:color="auto" w:fill="E6E6E6"/>
          </w:tcPr>
          <w:p>
            <w:pPr>
              <w:spacing w:after="0"/>
              <w:rPr>
                <w:sz w:val="18"/>
                <w:szCs w:val="18"/>
                <w:color w:val="auto"/>
              </w:rPr>
            </w:pPr>
          </w:p>
        </w:tc>
        <w:tc>
          <w:tcPr>
            <w:tcW w:w="620" w:type="dxa"/>
            <w:vAlign w:val="bottom"/>
          </w:tcPr>
          <w:p>
            <w:pPr>
              <w:spacing w:after="0"/>
              <w:rPr>
                <w:sz w:val="18"/>
                <w:szCs w:val="18"/>
                <w:color w:val="auto"/>
              </w:rPr>
            </w:pPr>
          </w:p>
        </w:tc>
      </w:tr>
      <w:tr>
        <w:trPr>
          <w:trHeight w:val="213"/>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Business Experience and Other Directorships</w:t>
            </w:r>
          </w:p>
        </w:tc>
        <w:tc>
          <w:tcPr>
            <w:tcW w:w="5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i w:val="1"/>
                <w:iCs w:val="1"/>
                <w:color w:val="auto"/>
              </w:rPr>
              <w:t>Experience, Qualifications and Attributes</w:t>
            </w:r>
          </w:p>
        </w:tc>
        <w:tc>
          <w:tcPr>
            <w:tcW w:w="620" w:type="dxa"/>
            <w:vAlign w:val="bottom"/>
          </w:tcPr>
          <w:p>
            <w:pPr>
              <w:spacing w:after="0"/>
              <w:rPr>
                <w:sz w:val="18"/>
                <w:szCs w:val="18"/>
                <w:color w:val="auto"/>
              </w:rPr>
            </w:pPr>
          </w:p>
        </w:tc>
      </w:tr>
      <w:tr>
        <w:trPr>
          <w:trHeight w:val="195"/>
        </w:trPr>
        <w:tc>
          <w:tcPr>
            <w:tcW w:w="54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3"/>
              </w:rPr>
              <w:t>Mr. Ciardella is the founder and Chief Executive Officer of AdvanJet, Inc.</w:t>
            </w:r>
          </w:p>
        </w:tc>
        <w:tc>
          <w:tcPr>
            <w:tcW w:w="53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We believe Mr. Ciardella’s qualifications to sit on our Board include his</w:t>
            </w:r>
          </w:p>
        </w:tc>
        <w:tc>
          <w:tcPr>
            <w:tcW w:w="620" w:type="dxa"/>
            <w:vAlign w:val="bottom"/>
          </w:tcPr>
          <w:p>
            <w:pPr>
              <w:spacing w:after="0"/>
              <w:rPr>
                <w:sz w:val="16"/>
                <w:szCs w:val="16"/>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(a subsidiary of Graco, Inc., GGG) and has served in that role from June</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more than thirty years of executive experience in the semiconductor</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2010 to present. AdvanJet designs and manufactures advanced micro-</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equipment industry, including his knowledge of operations, product</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dispensing equipment. Mr. Ciardella is also the founder and retired</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development and business strategy. Mr. Ciardella was first appointed</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President of Asymtek (a subsidiary of Nordson Corporation, NDSN)</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Lead Independent Director of the Board in March 2010 and was most</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where he worked from 1983 until 2006. Asymtek designs, develops,</w:t>
            </w:r>
          </w:p>
        </w:tc>
        <w:tc>
          <w:tcPr>
            <w:tcW w:w="5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recently reappointed to that role on May 10, 2017.</w:t>
            </w:r>
          </w:p>
        </w:tc>
        <w:tc>
          <w:tcPr>
            <w:tcW w:w="620" w:type="dxa"/>
            <w:vAlign w:val="bottom"/>
          </w:tcPr>
          <w:p>
            <w:pPr>
              <w:spacing w:after="0"/>
              <w:rPr>
                <w:sz w:val="18"/>
                <w:szCs w:val="18"/>
                <w:color w:val="auto"/>
              </w:rPr>
            </w:pPr>
          </w:p>
        </w:tc>
      </w:tr>
      <w:tr>
        <w:trPr>
          <w:trHeight w:val="216"/>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manufactures and sells semiconductor and circuit board assembly</w:t>
            </w:r>
          </w:p>
        </w:tc>
        <w:tc>
          <w:tcPr>
            <w:tcW w:w="53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equipment.</w:t>
            </w:r>
          </w:p>
        </w:tc>
        <w:tc>
          <w:tcPr>
            <w:tcW w:w="5340" w:type="dxa"/>
            <w:vAlign w:val="bottom"/>
            <w:tcBorders>
              <w:bottom w:val="single" w:sz="8" w:color="auto"/>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r>
      <w:tr>
        <w:trPr>
          <w:trHeight w:val="426"/>
        </w:trPr>
        <w:tc>
          <w:tcPr>
            <w:tcW w:w="5460" w:type="dxa"/>
            <w:vAlign w:val="bottom"/>
          </w:tcPr>
          <w:p>
            <w:pPr>
              <w:spacing w:after="0"/>
              <w:rPr>
                <w:sz w:val="24"/>
                <w:szCs w:val="24"/>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4"/>
                <w:szCs w:val="24"/>
                <w:color w:val="auto"/>
              </w:rPr>
            </w:pPr>
          </w:p>
        </w:tc>
      </w:tr>
      <w:tr>
        <w:trPr>
          <w:trHeight w:val="115"/>
        </w:trPr>
        <w:tc>
          <w:tcPr>
            <w:tcW w:w="5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94"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TO APPROVE NAMED EXECUTIVE COMPENSATION</w:t>
      </w:r>
    </w:p>
    <w:p>
      <w:pPr>
        <w:spacing w:after="0" w:line="229"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At last year’s Meeting, we provided our stockholders with the opportunity to cast an advisory vote regarding the compensation of our NEOs as disclosed in the proxy statement for the 2017 Annual Meeting of Stockholders. At our 2017 Annual Meeting, our stockholders approved the proposal, with approximately 97% of the votes cast voting in favor of the proposal.</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compensation of our NEOs as disclosed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Philosophy</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described under the Compensation Discussion and Analysis (“CD&amp;A”) section of this proxy statement, the Compensation Committee has structured our executive compensation program to achieve the following key objectives: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for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225" w:lineRule="exact"/>
        <w:rPr>
          <w:rFonts w:ascii="Arial" w:cs="Arial" w:eastAsia="Arial" w:hAnsi="Arial"/>
          <w:sz w:val="18"/>
          <w:szCs w:val="18"/>
          <w:color w:val="auto"/>
        </w:rPr>
      </w:pPr>
    </w:p>
    <w:p>
      <w:pPr>
        <w:ind w:left="660" w:right="12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business objectives while balancing rewards for short-term and long-term performance;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urge stockholders to read the CD&amp;A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the Company’s recent and long-term success.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firstLine="329"/>
        <w:spacing w:after="0" w:line="277" w:lineRule="auto"/>
        <w:rPr>
          <w:sz w:val="20"/>
          <w:szCs w:val="20"/>
          <w:color w:val="auto"/>
        </w:rPr>
      </w:pPr>
      <w:r>
        <w:rPr>
          <w:rFonts w:ascii="Arial" w:cs="Arial" w:eastAsia="Arial" w:hAnsi="Arial"/>
          <w:sz w:val="18"/>
          <w:szCs w:val="18"/>
          <w:color w:val="auto"/>
        </w:rPr>
        <w:t xml:space="preserve">A majority of the votes cast is required to approve Proposal No. 2. </w:t>
      </w:r>
      <w:r>
        <w:rPr>
          <w:rFonts w:ascii="Arial" w:cs="Arial" w:eastAsia="Arial" w:hAnsi="Arial"/>
          <w:sz w:val="18"/>
          <w:szCs w:val="18"/>
          <w:i w:val="1"/>
          <w:iCs w:val="1"/>
          <w:color w:val="auto"/>
        </w:rPr>
        <w:t>Brokers do not have discretion to vote on this proposal without your instruction. If you</w:t>
      </w:r>
      <w:r>
        <w:rPr>
          <w:rFonts w:ascii="Arial" w:cs="Arial" w:eastAsia="Arial" w:hAnsi="Arial"/>
          <w:sz w:val="18"/>
          <w:szCs w:val="18"/>
          <w:color w:val="auto"/>
        </w:rPr>
        <w:t xml:space="preserve"> </w:t>
      </w:r>
      <w:r>
        <w:rPr>
          <w:rFonts w:ascii="Arial" w:cs="Arial" w:eastAsia="Arial" w:hAnsi="Arial"/>
          <w:sz w:val="18"/>
          <w:szCs w:val="18"/>
          <w:i w:val="1"/>
          <w:iCs w:val="1"/>
          <w:color w:val="auto"/>
        </w:rPr>
        <w:t>do not instruct your broker how to vote on this proposal, your broker will deliver a non-vote on this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For the above reasons, we are asking our stockholders to indicate their support for the compensation of our NEOs as described in this proxy statement by voting in favor of the following resolution:</w:t>
      </w:r>
    </w:p>
    <w:p>
      <w:pPr>
        <w:spacing w:after="0" w:line="170"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“RESOLVED, that the stockholders approve, in a non-binding vote, the compensation of the Company’s NEOs as disclosed pursuant to the CD&amp;A section, the tabular disclosure regarding such compensation, and the accompanying narrative disclosure set forth in the proxy statement relating to the Company’s 2018 Annual Meeting of Stockholders.”</w:t>
      </w:r>
    </w:p>
    <w:p>
      <w:pPr>
        <w:spacing w:after="0" w:line="18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Even though this say-on-pay vote is advisory and therefore will not be binding on the Company,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spacing w:after="0" w:line="162" w:lineRule="exact"/>
        <w:rPr>
          <w:sz w:val="20"/>
          <w:szCs w:val="20"/>
          <w:color w:val="auto"/>
        </w:rPr>
      </w:pPr>
    </w:p>
    <w:p>
      <w:pPr>
        <w:ind w:right="880" w:firstLine="324"/>
        <w:spacing w:after="0" w:line="282" w:lineRule="auto"/>
        <w:rPr>
          <w:sz w:val="20"/>
          <w:szCs w:val="20"/>
          <w:color w:val="auto"/>
        </w:rPr>
      </w:pPr>
      <w:r>
        <w:rPr>
          <w:rFonts w:ascii="Arial" w:cs="Arial" w:eastAsia="Arial" w:hAnsi="Arial"/>
          <w:sz w:val="18"/>
          <w:szCs w:val="18"/>
          <w:b w:val="1"/>
          <w:bCs w:val="1"/>
          <w:color w:val="auto"/>
        </w:rPr>
        <w:t>The Board of Directors unanimously recommends that you vote “FOR” approval, on an advisory basis, of the resolution on executive compensation.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left="260" w:right="260"/>
        <w:spacing w:after="0" w:line="282" w:lineRule="auto"/>
        <w:rPr>
          <w:sz w:val="20"/>
          <w:szCs w:val="20"/>
          <w:color w:val="auto"/>
        </w:rPr>
      </w:pPr>
      <w:r>
        <w:rPr>
          <w:rFonts w:ascii="Arial" w:cs="Arial" w:eastAsia="Arial" w:hAnsi="Arial"/>
          <w:sz w:val="18"/>
          <w:szCs w:val="18"/>
          <w:b w:val="1"/>
          <w:bCs w:val="1"/>
          <w:color w:val="auto"/>
        </w:rPr>
        <w:t>AMENDMENTS TO COHU’S CERTIFICATE OF INCORPORATION TO ENABLE IMPLEMENTATION OF MAJORITY VOTING FOR UNCONTESTED DIRECTOR ELECTIONS, AND TO MAKE CERTAIN OTHER ADMINISTRATIVE OR IMMATERIAL REVISIONS</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Certificate of Incorporation currently provides for the election of directors by a plurality of votes cast. Under this standard, the nominees who receive the highest number of votes cast are elected as directors up to the maximum number of directors to be elected. The Board of Directors proposes and recommends that stockholders approve an amendment to our Certificate of Incorporation to enable the election of directors by an affirmative vote of the majority of the votes cast in uncontested director elections.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Implementation of Majority Vote Standard</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Although we have maintained the plurality voting standard for many years, the Board has monitored best practices in this area and is aware that many public companies have amended their governance documents to provide for a majority vote standard, rather than a plurality standard. After careful consideration, the Board believes it is in the best interests of Cohu and its stockholders to amend Cohu’s Certificate of Incorporation to eliminate the plurality voting standard, thereby enabling implementation of a majority voting in uncontested director elections.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Proposed Implementation of the Majority Vote Standard</w:t>
      </w:r>
    </w:p>
    <w:p>
      <w:pPr>
        <w:spacing w:after="0" w:line="22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Changing the voting standard for director elections requires changes to our governing documents. One such change, which requires stockholder approval, is the amendment of Article Thirteenth of our Certificate of Incorporation to remove the sentence that establishes the plurality voting standard for director elections.</w:t>
      </w:r>
    </w:p>
    <w:p>
      <w:pPr>
        <w:spacing w:after="0" w:line="1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Board of Directors has adopted amendments to our Bylaws, to be effective upon amendment of our Certificate of Incorporation, to implement a majority voting standard in uncontested director elections. Under this majority voting standard, each vote is required to be counted “for” or “against” the director’s election. To be elected, votes cast “for” a nominee’s election must exceed the votes cast “against” the nominee’s election. Stockholders will also be entitled to abstain with respect to the election of a director, but abstentions will have no effect on the outcome of a vote. In contested elections, directors will be elected by a plurality of the votes cast.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Proposed Revisions</w:t>
      </w:r>
    </w:p>
    <w:p>
      <w:pPr>
        <w:spacing w:after="0" w:line="229"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In addition, our Board of Directors has approved and recommended stockholder approval of certain administrative changes to our Certificate of Incorporation that our Board believes will not materially change the rights of our shareholders. Our Certificate of Incorporation has not been amended since 2000, and several of the provisions proposed for revision date to the incorporation of Cohu in 1957. These administrative changes address provisions that are outdated and no longer have any effect (such as the names of the original incorporators, the minimum capital to commence operations over 60 years ago, and preamble and execution language from a 1999 amendment), are duplicative of the operative provisions of Delaware law (such as the lack of pre-emptive rights, the limitation of shareholder liability the elaboration of powers of the Board of Directors and the distribution of proceeds on liquidation to holders of common stock following payment of preferred stock preferences) or are redundant (such as the extensive list of corporate powers and lawful activities), as well as adding a severability provision.</w:t>
      </w:r>
    </w:p>
    <w:p>
      <w:pPr>
        <w:spacing w:after="0" w:line="179" w:lineRule="exact"/>
        <w:rPr>
          <w:sz w:val="20"/>
          <w:szCs w:val="20"/>
          <w:color w:val="auto"/>
        </w:rPr>
      </w:pPr>
    </w:p>
    <w:p>
      <w:pPr>
        <w:ind w:right="620" w:firstLine="405"/>
        <w:spacing w:after="0" w:line="342" w:lineRule="auto"/>
        <w:rPr>
          <w:sz w:val="20"/>
          <w:szCs w:val="20"/>
          <w:color w:val="auto"/>
        </w:rPr>
      </w:pPr>
      <w:r>
        <w:rPr>
          <w:rFonts w:ascii="Arial" w:cs="Arial" w:eastAsia="Arial" w:hAnsi="Arial"/>
          <w:sz w:val="16"/>
          <w:szCs w:val="16"/>
          <w:color w:val="auto"/>
        </w:rPr>
        <w:t xml:space="preserve">The specific proposed amendments to our Certificate of Incorporation (including the elimination of the plurality voting standard) are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which is marked to show the proposed changes (additions are underlined and deletions are struck through).</w:t>
      </w:r>
    </w:p>
    <w:p>
      <w:pPr>
        <w:spacing w:after="0" w:line="12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If approved by our stockholders, the amendment to our Certificate of Incorporation will become effective upon the filing of a certificate of amendment with the Secretary of State of Delaware, which would occur promptly following the 2018 Annual Meeting. The new majority voting standard would first apply to the election of directors at the 2019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firstLine="337"/>
        <w:spacing w:after="0" w:line="277" w:lineRule="auto"/>
        <w:rPr>
          <w:sz w:val="20"/>
          <w:szCs w:val="20"/>
          <w:color w:val="auto"/>
        </w:rPr>
      </w:pPr>
      <w:r>
        <w:rPr>
          <w:rFonts w:ascii="Arial" w:cs="Arial" w:eastAsia="Arial" w:hAnsi="Arial"/>
          <w:sz w:val="18"/>
          <w:szCs w:val="18"/>
          <w:color w:val="auto"/>
        </w:rPr>
        <w:t>The approval of Proposal No. 3 requires the affirmative vote of the holders of a majority of the issued and outstanding shares of common stock entitled to vote at the Meeting.</w:t>
      </w:r>
    </w:p>
    <w:p>
      <w:pPr>
        <w:spacing w:after="0" w:line="170" w:lineRule="exact"/>
        <w:rPr>
          <w:sz w:val="20"/>
          <w:szCs w:val="20"/>
          <w:color w:val="auto"/>
        </w:rPr>
      </w:pPr>
    </w:p>
    <w:p>
      <w:pPr>
        <w:ind w:right="100" w:firstLine="337"/>
        <w:spacing w:after="0" w:line="302" w:lineRule="auto"/>
        <w:rPr>
          <w:sz w:val="20"/>
          <w:szCs w:val="20"/>
          <w:color w:val="auto"/>
        </w:rPr>
      </w:pPr>
      <w:r>
        <w:rPr>
          <w:rFonts w:ascii="Arial" w:cs="Arial" w:eastAsia="Arial" w:hAnsi="Arial"/>
          <w:sz w:val="16"/>
          <w:szCs w:val="16"/>
          <w:i w:val="1"/>
          <w:iCs w:val="1"/>
          <w:color w:val="auto"/>
        </w:rPr>
        <w:t xml:space="preserve">With respect to </w:t>
      </w:r>
      <w:r>
        <w:rPr>
          <w:rFonts w:ascii="Arial" w:cs="Arial" w:eastAsia="Arial" w:hAnsi="Arial"/>
          <w:sz w:val="16"/>
          <w:szCs w:val="16"/>
          <w:b w:val="1"/>
          <w:bCs w:val="1"/>
          <w:i w:val="1"/>
          <w:iCs w:val="1"/>
          <w:color w:val="auto"/>
        </w:rPr>
        <w:t>Proposal No. 3</w:t>
      </w:r>
      <w:r>
        <w:rPr>
          <w:rFonts w:ascii="Arial" w:cs="Arial" w:eastAsia="Arial" w:hAnsi="Arial"/>
          <w:sz w:val="16"/>
          <w:szCs w:val="16"/>
          <w:i w:val="1"/>
          <w:iCs w:val="1"/>
          <w:color w:val="auto"/>
        </w:rPr>
        <w:t>, you may instruct your vote “for” or “against,” or “abstain” from voting on, such proposal. If you “abstain” from voting, your vote will have the same effect as a vote “against” such proposal. If you do not provide your broker or other nominee with instructions on how to vote your shares with respect to Proposal No. 3, your broker or nominee will not be entitled to cast your votes on this proposal, and your shares will become “broker non-votes” on Proposal No. 3. Broker non-votes are not considered votes cast and will have the same effect as a vote “against” such proposal.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right="300" w:firstLine="428"/>
        <w:spacing w:after="0" w:line="347" w:lineRule="auto"/>
        <w:rPr>
          <w:sz w:val="20"/>
          <w:szCs w:val="20"/>
          <w:color w:val="auto"/>
        </w:rPr>
      </w:pPr>
      <w:r>
        <w:rPr>
          <w:rFonts w:ascii="Arial" w:cs="Arial" w:eastAsia="Arial" w:hAnsi="Arial"/>
          <w:sz w:val="16"/>
          <w:szCs w:val="16"/>
          <w:b w:val="1"/>
          <w:bCs w:val="1"/>
          <w:color w:val="auto"/>
        </w:rPr>
        <w:t>The Board of Directors unanimously recommends a vote “FOR” Proposal 3 Amendments to Cohu’s Certificate of Incorporation to Enable Implementation of Majority Voting in Uncontested Director Elections, and to Make the Other Administrative or Immaterial Revisions.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Audit Committee of the Board has appointed Ernst &amp; Young LLP as Cohu’s independent registered public accounting firm for the fiscal year ending December 29, 2018. Ernst &amp; Young LLP served as Cohu’s independent registered public accounting firm for the fiscal year ended December 30, 2017, and also provided certain tax services. See “Principal Accounting Fees and Services" on page 19. Representatives of Ernst &amp; Young LLP are expected to attend the Meeting, where they will be available to respond to appropriate questions and, if they desire, to make a statement.</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Board recommends that the stockholders approve the ratification of the appointment of Ernst &amp; Young LLP as Cohu’s independent registered public accounting firm for the fiscal year ending December 29, 2018. If the appointment is not ratified, the Audit Committee will consider whether it should select another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firstLine="337"/>
        <w:spacing w:after="0" w:line="342" w:lineRule="auto"/>
        <w:rPr>
          <w:sz w:val="20"/>
          <w:szCs w:val="20"/>
          <w:color w:val="auto"/>
        </w:rPr>
      </w:pPr>
      <w:r>
        <w:rPr>
          <w:rFonts w:ascii="Arial" w:cs="Arial" w:eastAsia="Arial" w:hAnsi="Arial"/>
          <w:sz w:val="16"/>
          <w:szCs w:val="16"/>
          <w:color w:val="auto"/>
        </w:rPr>
        <w:t xml:space="preserve">A majority of the votes cast is required to approve Proposal No. 4. </w:t>
      </w:r>
      <w:r>
        <w:rPr>
          <w:rFonts w:ascii="Arial" w:cs="Arial" w:eastAsia="Arial" w:hAnsi="Arial"/>
          <w:sz w:val="16"/>
          <w:szCs w:val="16"/>
          <w:i w:val="1"/>
          <w:iCs w:val="1"/>
          <w:color w:val="auto"/>
        </w:rPr>
        <w:t>If you hold your shares through a broker and you do not instruct the broker on how to</w:t>
      </w:r>
      <w:r>
        <w:rPr>
          <w:rFonts w:ascii="Arial" w:cs="Arial" w:eastAsia="Arial" w:hAnsi="Arial"/>
          <w:sz w:val="16"/>
          <w:szCs w:val="16"/>
          <w:color w:val="auto"/>
        </w:rPr>
        <w:t xml:space="preserve"> </w:t>
      </w:r>
      <w:r>
        <w:rPr>
          <w:rFonts w:ascii="Arial" w:cs="Arial" w:eastAsia="Arial" w:hAnsi="Arial"/>
          <w:sz w:val="16"/>
          <w:szCs w:val="16"/>
          <w:i w:val="1"/>
          <w:iCs w:val="1"/>
          <w:color w:val="auto"/>
        </w:rPr>
        <w:t>vote on this “routine” proposal, your broker will nevertheless have authority to vote your shares on this “routine” proposal in your broker’s discretion.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Ernst &amp; Young LLP as Cohu’s independent registered public accounting firm for the fiscal year ending December 29, 2018.</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BOARD OF DIRECTORS AND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Cohu has adopted standards for director independence pursuant to NASDAQ listing standards and SEC rules.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 To be considered independent, the Board must affirmatively determine that neither the director nor an immediate family member of the director has had any direct or indirect material relationship with Cohu within the last three years.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Board has considered relationships, transactions and/or arrangements with each of the directors, and has concluded that none of the non-employee directors has any relationships with Cohu that would impair his independence. The Board has determined that each member of the Board, other than Dr. Müller and Mr. Donahue, is an independent director under applicable NASDAQ listing standards and SEC rules. Dr. Müller is an employee and Mr. Donahue, prior to his retirement on December 24, 2015, was an employee of Cohu and, as such, they do not meet the independence standards. In addition, the Board has also determined that:</w:t>
      </w:r>
    </w:p>
    <w:p>
      <w:pPr>
        <w:spacing w:after="0" w:line="188" w:lineRule="exact"/>
        <w:rPr>
          <w:sz w:val="20"/>
          <w:szCs w:val="20"/>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directors who serve on the Audit, Compensation and Nominating and Governance committees are independent under applicable NASDAQ listing standards, Internal Revenue Code requirements and SEC rules,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members of the Audit and Compensation Committee meet the additional independence requirements as required by NASDAQ listing standards and SEC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Structure and Committee Composition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proxy statement, our Board has seven directors. Our Board has the following three committees: (1) Audit, (2) Compensation and</w:t>
      </w:r>
    </w:p>
    <w:p>
      <w:pPr>
        <w:spacing w:after="0" w:line="46" w:lineRule="exact"/>
        <w:rPr>
          <w:sz w:val="20"/>
          <w:szCs w:val="20"/>
          <w:color w:val="auto"/>
        </w:rPr>
      </w:pPr>
    </w:p>
    <w:p>
      <w:pPr>
        <w:ind w:right="20" w:firstLine="8"/>
        <w:spacing w:after="0" w:line="271"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Nominating and Governance. The membership during 2017 and the function of each of the committees are described below. Each of the committees operates under a written charter adopted by the Board. All of the committee charters are available on Cohu’s website at </w:t>
      </w:r>
      <w:r>
        <w:rPr>
          <w:rFonts w:ascii="Arial" w:cs="Arial" w:eastAsia="Arial" w:hAnsi="Arial"/>
          <w:sz w:val="17"/>
          <w:szCs w:val="17"/>
          <w:u w:val="single" w:color="auto"/>
          <w:color w:val="auto"/>
        </w:rPr>
        <w:t>www.cohu.com/investors/corporategovernance</w:t>
      </w:r>
      <w:r>
        <w:rPr>
          <w:rFonts w:ascii="Arial" w:cs="Arial" w:eastAsia="Arial" w:hAnsi="Arial"/>
          <w:sz w:val="17"/>
          <w:szCs w:val="17"/>
          <w:color w:val="auto"/>
        </w:rPr>
        <w:t>. During 2017, the Board held twelve meetings. Each director attended at least 75% of all Board and applicable committee meetings on which they served, held during the period for which they were directors or committee members. We have a policy of encouraging all of our directors to attend annual meetings of Cohu stockholders and all of our directors attended the 2017 Annual Meeting.</w:t>
      </w:r>
    </w:p>
    <w:p>
      <w:pPr>
        <w:spacing w:after="0" w:line="17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Cohu’s Corporate Governance Guidelines provide that the Cohu Nominating and Governance Committee shall nominate an independent director to serve as the Lead Independent Director, the selection of whom shall be subject to approval by a vote of the majority of the independent directors.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breaks down committee membership, as of the date of this proxy statement, for each committee and each director.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Nominating and</w:t>
            </w:r>
          </w:p>
        </w:tc>
        <w:tc>
          <w:tcPr>
            <w:tcW w:w="0" w:type="dxa"/>
            <w:vAlign w:val="bottom"/>
          </w:tcPr>
          <w:p>
            <w:pPr>
              <w:spacing w:after="0"/>
              <w:rPr>
                <w:sz w:val="1"/>
                <w:szCs w:val="1"/>
                <w:color w:val="auto"/>
              </w:rPr>
            </w:pPr>
          </w:p>
        </w:tc>
      </w:tr>
      <w:tr>
        <w:trPr>
          <w:trHeight w:val="234"/>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Name of Director</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5"/>
              </w:rPr>
              <w:t>Audit</w:t>
            </w:r>
          </w:p>
        </w:tc>
        <w:tc>
          <w:tcPr>
            <w:tcW w:w="2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220" w:type="dxa"/>
            <w:vAlign w:val="bottom"/>
          </w:tcPr>
          <w:p>
            <w:pPr>
              <w:spacing w:after="0"/>
              <w:rPr>
                <w:sz w:val="20"/>
                <w:szCs w:val="20"/>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Governance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Independent Directors:</w:t>
            </w:r>
          </w:p>
        </w:tc>
        <w:tc>
          <w:tcPr>
            <w:tcW w:w="21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William E. Bendush</w:t>
            </w:r>
          </w:p>
        </w:tc>
        <w:tc>
          <w:tcPr>
            <w:tcW w:w="2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2"/>
              </w:rPr>
              <w:t>Chair</w:t>
            </w: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9"/>
              </w:rPr>
              <w:t>X</w:t>
            </w:r>
          </w:p>
        </w:tc>
        <w:tc>
          <w:tcPr>
            <w:tcW w:w="2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J. Bilodeau</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Andrew M. Caggia</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Robert L. Ciardella </w:t>
            </w:r>
            <w:r>
              <w:rPr>
                <w:rFonts w:ascii="Arial" w:cs="Arial" w:eastAsia="Arial" w:hAnsi="Arial"/>
                <w:sz w:val="29"/>
                <w:szCs w:val="29"/>
                <w:color w:val="auto"/>
                <w:vertAlign w:val="superscript"/>
              </w:rPr>
              <w:t>(1)</w:t>
            </w: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Karl H. Funke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Total committee size:</w:t>
            </w:r>
          </w:p>
        </w:tc>
        <w:tc>
          <w:tcPr>
            <w:tcW w:w="3580" w:type="dxa"/>
            <w:vAlign w:val="bottom"/>
            <w:gridSpan w:val="3"/>
          </w:tcPr>
          <w:p>
            <w:pPr>
              <w:jc w:val="right"/>
              <w:ind w:right="510"/>
              <w:spacing w:after="0"/>
              <w:rPr>
                <w:sz w:val="20"/>
                <w:szCs w:val="20"/>
                <w:color w:val="auto"/>
              </w:rPr>
            </w:pPr>
            <w:r>
              <w:rPr>
                <w:rFonts w:ascii="Arial" w:cs="Arial" w:eastAsia="Arial" w:hAnsi="Arial"/>
                <w:sz w:val="18"/>
                <w:szCs w:val="18"/>
                <w:color w:val="auto"/>
              </w:rPr>
              <w:t>5</w:t>
            </w:r>
          </w:p>
        </w:tc>
        <w:tc>
          <w:tcPr>
            <w:tcW w:w="1920" w:type="dxa"/>
            <w:vAlign w:val="bottom"/>
            <w:gridSpan w:val="2"/>
          </w:tcPr>
          <w:p>
            <w:pPr>
              <w:jc w:val="right"/>
              <w:ind w:right="690"/>
              <w:spacing w:after="0"/>
              <w:rPr>
                <w:sz w:val="20"/>
                <w:szCs w:val="20"/>
                <w:color w:val="auto"/>
              </w:rPr>
            </w:pPr>
            <w:r>
              <w:rPr>
                <w:rFonts w:ascii="Arial" w:cs="Arial" w:eastAsia="Arial" w:hAnsi="Arial"/>
                <w:sz w:val="18"/>
                <w:szCs w:val="18"/>
                <w:color w:val="auto"/>
              </w:rPr>
              <w:t>3</w:t>
            </w:r>
          </w:p>
        </w:tc>
        <w:tc>
          <w:tcPr>
            <w:tcW w:w="1900" w:type="dxa"/>
            <w:vAlign w:val="bottom"/>
            <w:gridSpan w:val="2"/>
          </w:tcPr>
          <w:p>
            <w:pPr>
              <w:jc w:val="right"/>
              <w:ind w:right="7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Other Directors:</w:t>
            </w: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Donahue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Luis A. Müller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Number of Meetings in 2017</w:t>
            </w:r>
          </w:p>
        </w:tc>
        <w:tc>
          <w:tcPr>
            <w:tcW w:w="35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9</w:t>
            </w:r>
          </w:p>
        </w:tc>
        <w:tc>
          <w:tcPr>
            <w:tcW w:w="19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7</w:t>
            </w:r>
          </w:p>
        </w:tc>
        <w:tc>
          <w:tcPr>
            <w:tcW w:w="190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(1) Lead Independent Director.</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Cohu has a separately designated standing Audit Committee established in accordance with the Securities Exchange Act of 1934, as amended. 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risk assessment and risk management.</w:t>
      </w:r>
    </w:p>
    <w:p>
      <w:pPr>
        <w:ind w:right="160"/>
        <w:spacing w:after="0" w:line="268" w:lineRule="auto"/>
        <w:rPr>
          <w:sz w:val="20"/>
          <w:szCs w:val="20"/>
          <w:color w:val="auto"/>
        </w:rPr>
      </w:pPr>
      <w:r>
        <w:rPr>
          <w:rFonts w:ascii="Arial" w:cs="Arial" w:eastAsia="Arial" w:hAnsi="Arial"/>
          <w:sz w:val="17"/>
          <w:szCs w:val="17"/>
          <w:color w:val="auto"/>
        </w:rPr>
        <w:t>Among other things, the Audit Committee prepares the Audit Committee report for inclusion in the annual proxy statement; annually reviews the Audit Committee charter and the committee’s performance; appoints, evaluates and approves the fees of Cohu’s independent registered public accounting firm; reviews and approves the scope of the annual audit, the audit fee and the financial statements; reviews Cohu’s disclosure controls and procedures, internal controls, including such controls over financial reporting, information security policies and corporate policies with respect to financial information and earnings guidance; oversees investigations into complaints concerning financial and accounting matters;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84" w:lineRule="exact"/>
        <w:rPr>
          <w:sz w:val="20"/>
          <w:szCs w:val="20"/>
          <w:color w:val="auto"/>
        </w:rPr>
      </w:pPr>
    </w:p>
    <w:p>
      <w:pPr>
        <w:ind w:right="3000" w:firstLine="324"/>
        <w:spacing w:after="0" w:line="277" w:lineRule="auto"/>
        <w:rPr>
          <w:sz w:val="20"/>
          <w:szCs w:val="20"/>
          <w:color w:val="auto"/>
        </w:rPr>
      </w:pPr>
      <w:r>
        <w:rPr>
          <w:rFonts w:ascii="Arial" w:cs="Arial" w:eastAsia="Arial" w:hAnsi="Arial"/>
          <w:sz w:val="18"/>
          <w:szCs w:val="18"/>
          <w:color w:val="auto"/>
        </w:rPr>
        <w:t xml:space="preserve">The report of the Audit Committee is set forth on page 18 and the charter of the Audit Committee is available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Compensation Committee discharges the Board’s responsibilities relating to compensation of Cohu’s executives and directors and, among other things, reviews and discusses the “Compensation Discussion and Analysis” with management, and produces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monitoring director and executive stock ownership; and annually evaluating its performance and its charter.</w:t>
      </w:r>
    </w:p>
    <w:p>
      <w:pPr>
        <w:spacing w:after="0" w:line="178" w:lineRule="exact"/>
        <w:rPr>
          <w:sz w:val="20"/>
          <w:szCs w:val="20"/>
          <w:color w:val="auto"/>
        </w:rPr>
      </w:pPr>
    </w:p>
    <w:p>
      <w:pPr>
        <w:ind w:right="1940" w:firstLine="324"/>
        <w:spacing w:after="0" w:line="277" w:lineRule="auto"/>
        <w:rPr>
          <w:sz w:val="20"/>
          <w:szCs w:val="20"/>
          <w:color w:val="auto"/>
        </w:rPr>
      </w:pPr>
      <w:r>
        <w:rPr>
          <w:rFonts w:ascii="Arial" w:cs="Arial" w:eastAsia="Arial" w:hAnsi="Arial"/>
          <w:sz w:val="18"/>
          <w:szCs w:val="18"/>
          <w:color w:val="auto"/>
        </w:rPr>
        <w:t xml:space="preserve">The report of the Compensation Committee is set forth on page 37. The charter of the Compensation Committee is available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Nominating and Governance Committee identifies individuals qualified to become Board members and recommends to the Board candidates to be nominated for election as directors at Cohu’s annual meeting consistent with criteria the Committee deems appropriate, as approved by the Board; develops Cohu’s Corporate Governance Guidelines for approval by the Board, and reviews and recommends updates to such Guidelines, as appropriate; oversees the organization of the Board to discharge the Board’s duties and responsibilities properly and efficiently; identifies best practices; and recommends corporate governance principles, including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charter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The Chairman of the Nominating and Governance Committee receives communications directed to non-employee directors.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charter of the Nominating and Governance Committee is available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Board Leadership Structure, Risk Oversight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the date of this proxy statement our Board is currently comprised of five independent directors, one former employee director and one employee director. Our corporate governance principles provide that the Board will fill the Chairman and Chief Executive Officer positions based upon the Board’s view of what is in Cohu’s best interests at any point in time and do not prevent our Chief Executive Officer from also serving as our Chairman of the Board. Our Board evaluates its leadership structure and elects the Chairman and the Chief Executive Officer based on the criteria it deems to be appropriate and in the best interests of the Company and its stockholders, given the circumstances at the time of such election. While we have in the past had one person serve as Chairman of the Board and Chief Executive Officer, the positions are currently held by separate individuals.</w:t>
      </w:r>
    </w:p>
    <w:p>
      <w:pPr>
        <w:spacing w:after="0" w:line="17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Separating the positions of Chief Executive Officer and Chairman of the Board allows our Chief Executive Officer to focus on the day-to-day operations and strategy of our business, while allowing the Chairman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Chairman, in combination with Mr. Ciardella’s service as Lead Independent Director, is in the best interests of Cohu and its stockholders.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Cohu’s Corporate Governance Guidelines provide that the Cohu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8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 specific responsibilities of the Lead Independent Director include presiding at executive sessions of directors and at board meetings where the Chairman is not present, calling meetings of independent directors, serving as a liaison between the independent directors and the Chairman and CEO and performing such other duties and responsibilities as the Board may determine.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and compliance and reporting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Nominees</w:t>
      </w:r>
    </w:p>
    <w:p>
      <w:pPr>
        <w:spacing w:after="0" w:line="225"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and capability on the Board and to address the membership criteria set forth under “Director Qualifications.” Any stockholder nominations proposed for consideration by the Nominating and Governance Committee should include the nominee’s name and qualifications for Board membership and should be addressed to: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Poway, CA 92064-6817</w:t>
      </w:r>
    </w:p>
    <w:p>
      <w:pPr>
        <w:spacing w:after="0" w:line="21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In addition, the bylaws of Cohu permit stockholders to nominate directors for consideration at an annual stockholder meeting. For a description of the process for nominating directors in accordance with Cohu’s bylaws, see “Stockholder Proposals – 2019 Annual Meeting” on page 46.</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Cohu’s Corporate Governance Guidelines are available at </w:t>
      </w:r>
      <w:r>
        <w:rPr>
          <w:rFonts w:ascii="Arial" w:cs="Arial" w:eastAsia="Arial" w:hAnsi="Arial"/>
          <w:sz w:val="17"/>
          <w:szCs w:val="17"/>
          <w:u w:val="single" w:color="auto"/>
          <w:color w:val="auto"/>
        </w:rPr>
        <w:t>www.cohu.com/investors/corporategovernance</w:t>
      </w:r>
      <w:r>
        <w:rPr>
          <w:rFonts w:ascii="Arial" w:cs="Arial" w:eastAsia="Arial" w:hAnsi="Arial"/>
          <w:sz w:val="17"/>
          <w:szCs w:val="17"/>
          <w:color w:val="auto"/>
        </w:rPr>
        <w:t xml:space="preserve"> and contain Board membership criteria that apply to nominees recommended by the Nominating and Governance Committee for a position on Cohu’s Board. Under these criteria, members of the Board should have the highest professional and personal ethics and values,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Their service on other boards of public companies should be limited to a number that permits them, given their individual circumstances, to responsibly perform all director duties. Each director will seek to represent the diverse interests of all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and Evaluating Nominees for Directors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experience and capability on the Board. While we do not have a formal diversity policy, the Board believes it is important for the Board to have diversity of knowledge base, professional experience and skills, and the Board and Nominating and Governance Committee takes these qualities into account when considering director nominees.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Executive sessions of independent directors, without management present, are held at least three times a year. The sessions may be scheduled or held on an impromptu basis, and are chaired by the Lead Independent Director or in the absence of the Lead Independent Director the Chairman of the Nominating and Governance Committee or another independent director. Any independent director can request that an additional executive session be initiated or scheduled.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 xml:space="preserve">Individuals may communicate with the Board, including the non-employee directors, by submitting an e-mail to Cohu’s Board at </w:t>
      </w:r>
      <w:r>
        <w:rPr>
          <w:rFonts w:ascii="Arial" w:cs="Arial" w:eastAsia="Arial" w:hAnsi="Arial"/>
          <w:sz w:val="17"/>
          <w:szCs w:val="17"/>
          <w:u w:val="single" w:color="auto"/>
          <w:color w:val="auto"/>
        </w:rPr>
        <w:t>corp@cohu.com</w:t>
      </w:r>
      <w:r>
        <w:rPr>
          <w:rFonts w:ascii="Arial" w:cs="Arial" w:eastAsia="Arial" w:hAnsi="Arial"/>
          <w:sz w:val="17"/>
          <w:szCs w:val="17"/>
          <w:color w:val="auto"/>
        </w:rPr>
        <w:t xml:space="preserve"> or by sending a letter to the Cohu Board of Directors, c/o Corporate Secretary, Cohu, Inc., 12367 Crosthwaite Circle, Poway, California 92064-6817.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Directors who are employees of Cohu do not receive any additional compensation for their services as directors. During fiscal 2017, non-employee directors received an annual retainer, and Board committee Chairs and members received annual fees, all paid quarterly, as set forth below.</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1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Annual Retainer:</w:t>
            </w:r>
          </w:p>
        </w:tc>
        <w:tc>
          <w:tcPr>
            <w:tcW w:w="4120" w:type="dxa"/>
            <w:vAlign w:val="bottom"/>
            <w:tcBorders>
              <w:bottom w:val="single" w:sz="8" w:color="CCEEFF"/>
            </w:tcBorders>
            <w:gridSpan w:val="3"/>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6"/>
        </w:trPr>
        <w:tc>
          <w:tcPr>
            <w:tcW w:w="5360" w:type="dxa"/>
            <w:vAlign w:val="bottom"/>
            <w:gridSpan w:val="4"/>
          </w:tcPr>
          <w:p>
            <w:pPr>
              <w:ind w:left="160"/>
              <w:spacing w:after="0"/>
              <w:rPr>
                <w:sz w:val="20"/>
                <w:szCs w:val="20"/>
                <w:color w:val="auto"/>
              </w:rPr>
            </w:pPr>
            <w:r>
              <w:rPr>
                <w:rFonts w:ascii="Arial" w:cs="Arial" w:eastAsia="Arial" w:hAnsi="Arial"/>
                <w:sz w:val="18"/>
                <w:szCs w:val="18"/>
                <w:color w:val="auto"/>
              </w:rPr>
              <w:t>Chairman of the Board</w:t>
            </w:r>
          </w:p>
        </w:tc>
        <w:tc>
          <w:tcPr>
            <w:tcW w:w="2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53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Lead Independent Director</w:t>
            </w:r>
          </w:p>
        </w:tc>
        <w:tc>
          <w:tcPr>
            <w:tcW w:w="2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5360" w:type="dxa"/>
            <w:vAlign w:val="bottom"/>
            <w:gridSpan w:val="4"/>
          </w:tcPr>
          <w:p>
            <w:pPr>
              <w:ind w:left="160"/>
              <w:spacing w:after="0"/>
              <w:rPr>
                <w:sz w:val="20"/>
                <w:szCs w:val="20"/>
                <w:color w:val="auto"/>
              </w:rPr>
            </w:pPr>
            <w:r>
              <w:rPr>
                <w:rFonts w:ascii="Arial" w:cs="Arial" w:eastAsia="Arial" w:hAnsi="Arial"/>
                <w:sz w:val="18"/>
                <w:szCs w:val="18"/>
                <w:color w:val="auto"/>
              </w:rPr>
              <w:t>Other Directors</w:t>
            </w:r>
          </w:p>
        </w:tc>
        <w:tc>
          <w:tcPr>
            <w:tcW w:w="2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196"/>
        </w:trPr>
        <w:tc>
          <w:tcPr>
            <w:tcW w:w="53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Annual Fees for Committee Chairs:</w:t>
            </w:r>
          </w:p>
        </w:tc>
        <w:tc>
          <w:tcPr>
            <w:tcW w:w="2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25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Audit Committee</w:t>
            </w:r>
          </w:p>
        </w:tc>
        <w:tc>
          <w:tcPr>
            <w:tcW w:w="2800" w:type="dxa"/>
            <w:vAlign w:val="bottom"/>
            <w:tcBorders>
              <w:top w:val="single" w:sz="8" w:color="CCEEFF"/>
            </w:tcBorders>
            <w:gridSpan w:val="2"/>
          </w:tcPr>
          <w:p>
            <w:pPr>
              <w:spacing w:after="0"/>
              <w:rPr>
                <w:sz w:val="18"/>
                <w:szCs w:val="18"/>
                <w:color w:val="auto"/>
              </w:rPr>
            </w:pPr>
          </w:p>
        </w:tc>
        <w:tc>
          <w:tcPr>
            <w:tcW w:w="2700" w:type="dxa"/>
            <w:vAlign w:val="bottom"/>
            <w:tcBorders>
              <w:top w:val="single" w:sz="8" w:color="CCEEFF"/>
            </w:tcBorders>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22,000</w:t>
            </w:r>
          </w:p>
        </w:tc>
      </w:tr>
      <w:tr>
        <w:trPr>
          <w:trHeight w:val="216"/>
        </w:trPr>
        <w:tc>
          <w:tcPr>
            <w:tcW w:w="53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Compensation Committee</w:t>
            </w:r>
          </w:p>
        </w:tc>
        <w:tc>
          <w:tcPr>
            <w:tcW w:w="2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5360" w:type="dxa"/>
            <w:vAlign w:val="bottom"/>
            <w:gridSpan w:val="4"/>
          </w:tcPr>
          <w:p>
            <w:pPr>
              <w:ind w:left="160"/>
              <w:spacing w:after="0"/>
              <w:rPr>
                <w:sz w:val="20"/>
                <w:szCs w:val="20"/>
                <w:color w:val="auto"/>
              </w:rPr>
            </w:pPr>
            <w:r>
              <w:rPr>
                <w:rFonts w:ascii="Arial" w:cs="Arial" w:eastAsia="Arial" w:hAnsi="Arial"/>
                <w:sz w:val="18"/>
                <w:szCs w:val="18"/>
                <w:color w:val="auto"/>
              </w:rPr>
              <w:t>Nominating and Governance Committee</w:t>
            </w:r>
          </w:p>
        </w:tc>
        <w:tc>
          <w:tcPr>
            <w:tcW w:w="2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196"/>
        </w:trPr>
        <w:tc>
          <w:tcPr>
            <w:tcW w:w="53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Annual Fees for Other Committee Members:</w:t>
            </w:r>
          </w:p>
        </w:tc>
        <w:tc>
          <w:tcPr>
            <w:tcW w:w="2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318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Audit Committee</w:t>
            </w:r>
          </w:p>
        </w:tc>
        <w:tc>
          <w:tcPr>
            <w:tcW w:w="21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8,800</w:t>
            </w:r>
          </w:p>
        </w:tc>
      </w:tr>
      <w:tr>
        <w:trPr>
          <w:trHeight w:val="216"/>
        </w:trPr>
        <w:tc>
          <w:tcPr>
            <w:tcW w:w="53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Compensation Committee</w:t>
            </w:r>
          </w:p>
        </w:tc>
        <w:tc>
          <w:tcPr>
            <w:tcW w:w="2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5360" w:type="dxa"/>
            <w:vAlign w:val="bottom"/>
            <w:gridSpan w:val="4"/>
          </w:tcPr>
          <w:p>
            <w:pPr>
              <w:ind w:left="160"/>
              <w:spacing w:after="0"/>
              <w:rPr>
                <w:sz w:val="20"/>
                <w:szCs w:val="20"/>
                <w:color w:val="auto"/>
              </w:rPr>
            </w:pPr>
            <w:r>
              <w:rPr>
                <w:rFonts w:ascii="Arial" w:cs="Arial" w:eastAsia="Arial" w:hAnsi="Arial"/>
                <w:sz w:val="18"/>
                <w:szCs w:val="18"/>
                <w:color w:val="auto"/>
              </w:rPr>
              <w:t>Nominating and Governance Committee</w:t>
            </w:r>
          </w:p>
        </w:tc>
        <w:tc>
          <w:tcPr>
            <w:tcW w:w="2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18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addition to the retainers and fees noted above, non-employee directors are reimbursed for out-of-town travel and other reasonable out-of-pocket expenses related to attendance at Board and committee meetings.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ind w:firstLine="324"/>
        <w:spacing w:after="0" w:line="297" w:lineRule="auto"/>
        <w:rPr>
          <w:sz w:val="20"/>
          <w:szCs w:val="20"/>
          <w:color w:val="auto"/>
        </w:rPr>
      </w:pPr>
      <w:r>
        <w:rPr>
          <w:rFonts w:ascii="Arial" w:cs="Arial" w:eastAsia="Arial" w:hAnsi="Arial"/>
          <w:sz w:val="16"/>
          <w:szCs w:val="16"/>
          <w:color w:val="auto"/>
        </w:rPr>
        <w:t>Under the terms and conditions of the Cohu, Inc. 2005 Equity Incentive Plan (the “2005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the Company will grant deferred stock units (“DSUs”) in lieu of cash, with an initial value equal to the deferred cash, which will be settled at a future date through the issuance of Cohu common stock. Mr. Bilodeau and Mr. Ciardella elected to defer 100% of their 2017 cash-based non-employee director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compensation for non-employee directors during 2017 was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Initial appointment: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Restricted Stock Units (“RSUs”) with a total value of $100,000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Annual grants: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RSUs with a total value of $100,000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12, 2017, the equity compensation for non-employee directors was revised and currently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Initial appointment:</w:t>
      </w:r>
    </w:p>
    <w:p>
      <w:pPr>
        <w:spacing w:after="0" w:line="225"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color w:val="auto"/>
        </w:rPr>
        <w:t>RSUs with a total value of $115,000 and prorated based on the period of time between appointment as director and the next scheduled director annual equity grant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Annual grants: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RSUs with a total value of $115,000</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Each RSU represents a contingent right to receive one share of Cohu common stock upon vesting. Assuming continued service on the Board, the RSUs granted to non-employee directors upon their initial appointment to the Board will vest and shares are issued in three equal annual installments beginning one year after the date of grant. The annual RSU awards vest and shares are issued upon the earlier to occur of the one-year anniversary of the grant date of the award or the next annual meeting of stockholders. RSUs may be accelerated upon a change in control, as defined in the 2005 Plan.</w:t>
      </w:r>
    </w:p>
    <w:p>
      <w:pPr>
        <w:spacing w:after="0" w:line="15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May 10, 2017, 5,252 RSUs were awarded to each of Messrs. Bendush, Bilodeau, Caggia, Ciardella, Donahue and Funke. Cohu will issue to each recipient, assuming continued service as a director, shares of Cohu common stock at the end of the required RSU vesting period. Messrs. Bilodeau, Caggia and Ciardella elected to defer the vesting of 100% of their 2017 grants under the 2005 Plan, respectively. Upon vesting, the deferred amount will be credited in the form of DSU awards and ultimately payable, including dividends accrued during the deferral, in shares of Cohu common stock, if the Director ceases to be a Director for any reason, upon the occurrence of a change in control of Cohu or at a future date selected at the time of deferral through the issuance of Cohu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Benefits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Certain Cohu directors who are retired officers of Cohu and certain other current or retired Cohu officers and their spouses receive medical benefits consisting of reimbursement of health insurance premiums and other medical costs not covered by insurance. These benefits are not offered to other retired Cohu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2017 DIRECTOR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on compensation for Cohu’s non-employee directors for fiscal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Fees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Earned</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or Paid</w:t>
            </w: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All Other</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 Cash</w:t>
            </w: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Awards</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Compensation</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80" w:type="dxa"/>
            <w:vAlign w:val="bottom"/>
            <w:gridSpan w:val="2"/>
          </w:tcPr>
          <w:p>
            <w:pPr>
              <w:jc w:val="center"/>
              <w:ind w:left="11"/>
              <w:spacing w:after="0"/>
              <w:rPr>
                <w:sz w:val="20"/>
                <w:szCs w:val="20"/>
                <w:color w:val="auto"/>
              </w:rPr>
            </w:pPr>
            <w:r>
              <w:rPr>
                <w:rFonts w:ascii="Arial" w:cs="Arial" w:eastAsia="Arial" w:hAnsi="Arial"/>
                <w:sz w:val="18"/>
                <w:szCs w:val="18"/>
                <w:b w:val="1"/>
                <w:bCs w:val="1"/>
                <w:color w:val="auto"/>
                <w:w w:val="90"/>
              </w:rPr>
              <w:t>($)</w:t>
            </w:r>
          </w:p>
        </w:tc>
        <w:tc>
          <w:tcPr>
            <w:tcW w:w="340" w:type="dxa"/>
            <w:vAlign w:val="bottom"/>
          </w:tcPr>
          <w:p>
            <w:pPr>
              <w:spacing w:after="0"/>
              <w:rPr>
                <w:sz w:val="23"/>
                <w:szCs w:val="23"/>
                <w:color w:val="auto"/>
              </w:rPr>
            </w:pPr>
          </w:p>
        </w:tc>
        <w:tc>
          <w:tcPr>
            <w:tcW w:w="128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(1)</w:t>
            </w:r>
          </w:p>
        </w:tc>
        <w:tc>
          <w:tcPr>
            <w:tcW w:w="180" w:type="dxa"/>
            <w:vAlign w:val="bottom"/>
          </w:tcPr>
          <w:p>
            <w:pPr>
              <w:spacing w:after="0"/>
              <w:rPr>
                <w:sz w:val="23"/>
                <w:szCs w:val="23"/>
                <w:color w:val="auto"/>
              </w:rPr>
            </w:pPr>
          </w:p>
        </w:tc>
        <w:tc>
          <w:tcPr>
            <w:tcW w:w="126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(2)</w:t>
            </w:r>
          </w:p>
        </w:tc>
        <w:tc>
          <w:tcPr>
            <w:tcW w:w="160" w:type="dxa"/>
            <w:vAlign w:val="bottom"/>
          </w:tcPr>
          <w:p>
            <w:pPr>
              <w:spacing w:after="0"/>
              <w:rPr>
                <w:sz w:val="23"/>
                <w:szCs w:val="23"/>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William E. Bendush</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79,500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98,738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178,238</w:t>
            </w:r>
          </w:p>
        </w:tc>
        <w:tc>
          <w:tcPr>
            <w:tcW w:w="0" w:type="dxa"/>
            <w:vAlign w:val="bottom"/>
          </w:tcPr>
          <w:p>
            <w:pPr>
              <w:spacing w:after="0"/>
              <w:rPr>
                <w:sz w:val="1"/>
                <w:szCs w:val="1"/>
                <w:color w:val="auto"/>
              </w:rPr>
            </w:pPr>
          </w:p>
        </w:tc>
      </w:tr>
      <w:tr>
        <w:trPr>
          <w:trHeight w:val="257"/>
        </w:trPr>
        <w:tc>
          <w:tcPr>
            <w:tcW w:w="3200" w:type="dxa"/>
            <w:vAlign w:val="bottom"/>
            <w:gridSpan w:val="2"/>
          </w:tcPr>
          <w:p>
            <w:pPr>
              <w:spacing w:after="0"/>
              <w:rPr>
                <w:sz w:val="20"/>
                <w:szCs w:val="20"/>
                <w:color w:val="auto"/>
              </w:rPr>
            </w:pPr>
            <w:r>
              <w:rPr>
                <w:rFonts w:ascii="Arial" w:cs="Arial" w:eastAsia="Arial" w:hAnsi="Arial"/>
                <w:sz w:val="18"/>
                <w:szCs w:val="18"/>
                <w:color w:val="auto"/>
              </w:rPr>
              <w:t>Steven J. Bilodeau</w:t>
            </w:r>
          </w:p>
        </w:tc>
        <w:tc>
          <w:tcPr>
            <w:tcW w:w="1720" w:type="dxa"/>
            <w:vAlign w:val="bottom"/>
            <w:gridSpan w:val="3"/>
          </w:tcPr>
          <w:p>
            <w:pPr>
              <w:ind w:left="900"/>
              <w:spacing w:after="0" w:line="256" w:lineRule="exact"/>
              <w:rPr>
                <w:sz w:val="20"/>
                <w:szCs w:val="20"/>
                <w:color w:val="auto"/>
              </w:rPr>
            </w:pPr>
            <w:r>
              <w:rPr>
                <w:rFonts w:ascii="Arial" w:cs="Arial" w:eastAsia="Arial" w:hAnsi="Arial"/>
                <w:sz w:val="18"/>
                <w:szCs w:val="18"/>
                <w:color w:val="auto"/>
              </w:rPr>
              <w:t>78,800</w:t>
            </w:r>
            <w:r>
              <w:rPr>
                <w:rFonts w:ascii="Arial" w:cs="Arial" w:eastAsia="Arial" w:hAnsi="Arial"/>
                <w:sz w:val="29"/>
                <w:szCs w:val="29"/>
                <w:color w:val="auto"/>
                <w:vertAlign w:val="superscript"/>
              </w:rPr>
              <w:t>(3)</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98,738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Andrew M. Caggia</w:t>
            </w:r>
          </w:p>
        </w:tc>
        <w:tc>
          <w:tcPr>
            <w:tcW w:w="17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63,800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98,738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162,538</w:t>
            </w:r>
          </w:p>
        </w:tc>
        <w:tc>
          <w:tcPr>
            <w:tcW w:w="0" w:type="dxa"/>
            <w:vAlign w:val="bottom"/>
          </w:tcPr>
          <w:p>
            <w:pPr>
              <w:spacing w:after="0"/>
              <w:rPr>
                <w:sz w:val="1"/>
                <w:szCs w:val="1"/>
                <w:color w:val="auto"/>
              </w:rPr>
            </w:pPr>
          </w:p>
        </w:tc>
      </w:tr>
      <w:tr>
        <w:trPr>
          <w:trHeight w:val="257"/>
        </w:trPr>
        <w:tc>
          <w:tcPr>
            <w:tcW w:w="3200" w:type="dxa"/>
            <w:vAlign w:val="bottom"/>
            <w:gridSpan w:val="2"/>
          </w:tcPr>
          <w:p>
            <w:pPr>
              <w:spacing w:after="0"/>
              <w:rPr>
                <w:sz w:val="20"/>
                <w:szCs w:val="20"/>
                <w:color w:val="auto"/>
              </w:rPr>
            </w:pPr>
            <w:r>
              <w:rPr>
                <w:rFonts w:ascii="Arial" w:cs="Arial" w:eastAsia="Arial" w:hAnsi="Arial"/>
                <w:sz w:val="18"/>
                <w:szCs w:val="18"/>
                <w:color w:val="auto"/>
              </w:rPr>
              <w:t>Robert L. Ciardella</w:t>
            </w:r>
          </w:p>
        </w:tc>
        <w:tc>
          <w:tcPr>
            <w:tcW w:w="1720" w:type="dxa"/>
            <w:vAlign w:val="bottom"/>
            <w:gridSpan w:val="3"/>
          </w:tcPr>
          <w:p>
            <w:pPr>
              <w:ind w:left="900"/>
              <w:spacing w:after="0" w:line="256" w:lineRule="exact"/>
              <w:rPr>
                <w:sz w:val="20"/>
                <w:szCs w:val="20"/>
                <w:color w:val="auto"/>
              </w:rPr>
            </w:pPr>
            <w:r>
              <w:rPr>
                <w:rFonts w:ascii="Arial" w:cs="Arial" w:eastAsia="Arial" w:hAnsi="Arial"/>
                <w:sz w:val="18"/>
                <w:szCs w:val="18"/>
                <w:color w:val="auto"/>
              </w:rPr>
              <w:t>78,800</w:t>
            </w:r>
            <w:r>
              <w:rPr>
                <w:rFonts w:ascii="Arial" w:cs="Arial" w:eastAsia="Arial" w:hAnsi="Arial"/>
                <w:sz w:val="29"/>
                <w:szCs w:val="29"/>
                <w:color w:val="auto"/>
                <w:vertAlign w:val="superscript"/>
              </w:rPr>
              <w:t>(3)</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98,738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James A. Donahue</w:t>
            </w:r>
          </w:p>
        </w:tc>
        <w:tc>
          <w:tcPr>
            <w:tcW w:w="17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75,000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98,738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16,811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190,549</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Karl H. Funke</w:t>
            </w:r>
          </w:p>
        </w:tc>
        <w:tc>
          <w:tcPr>
            <w:tcW w:w="172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rPr>
              <w:t>66,300</w:t>
            </w: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98,738</w:t>
            </w:r>
          </w:p>
        </w:tc>
        <w:tc>
          <w:tcPr>
            <w:tcW w:w="1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330"/>
        <w:spacing w:after="0" w:line="273"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shown do not reflect compensation actually received by the directors. Instead, the amounts shown above are the grant date fair value for stock awards issued in the form of RSUs granted in fiscal 2017. The assumptions used to calculate the grant date fair value of the stock awards are set forth in Note 6, “Employee Benefit Plans,” included in Part IV, Item 15(a) of Cohu’s Annual Report on Form 10-K for the year ended December 30, 2017, filed with the SEC. The derived grant date fair value for the stock award is recognized, for financial statement purposes, over the number of days of service required for the award to vest in full. As of December 30, 2017, Messrs. Bendush, Bilodeau, Caggia and Ciardella each had 5,252 unvested RSUs outstanding, Mr. Donahue had 39,712 and Mr. Funke had 6,352.</w:t>
      </w:r>
    </w:p>
    <w:p>
      <w:pPr>
        <w:spacing w:after="0" w:line="178" w:lineRule="exact"/>
        <w:rPr>
          <w:rFonts w:ascii="Arial" w:cs="Arial" w:eastAsia="Arial" w:hAnsi="Arial"/>
          <w:sz w:val="17"/>
          <w:szCs w:val="17"/>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shown for Mr. Donahue is for reimbursement of health insurance premiums and other medical costs not covered by insurance.</w:t>
      </w:r>
    </w:p>
    <w:p>
      <w:pPr>
        <w:spacing w:after="0" w:line="225" w:lineRule="exact"/>
        <w:rPr>
          <w:rFonts w:ascii="Arial" w:cs="Arial" w:eastAsia="Arial" w:hAnsi="Arial"/>
          <w:sz w:val="18"/>
          <w:szCs w:val="18"/>
          <w:color w:val="auto"/>
        </w:rPr>
      </w:pPr>
    </w:p>
    <w:p>
      <w:pPr>
        <w:ind w:left="500" w:right="140" w:hanging="330"/>
        <w:spacing w:after="0" w:line="259"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year ended December 30, 2017, Messrs. Bilodeau and Ciardella elected to defer all of their fees under the 2005 Plan. The deferred amount is credited in the form of DSU awards and ultimately payable in shares of Cohu common stock, if the Director ceases to be a Director for any reason, upon the occurrence of a change in control of Cohu or at a future date selected at the time of deferral. As of December 30, 2017, Messrs. Bilodeau, Ciardella and Donahue had 73,396 and 22,577 and 71,064 DSUs, respectively.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 As the operation of the Board is a dynamic process, the Board regularly reviews new or changing legal and regulatory requirements, evolving best practices and other developments, and the Board may modify the Guidelines, as appropriate, from time to time.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w:t>
      </w:r>
    </w:p>
    <w:p>
      <w:pPr>
        <w:spacing w:after="0" w:line="181" w:lineRule="exact"/>
        <w:rPr>
          <w:sz w:val="20"/>
          <w:szCs w:val="20"/>
          <w:color w:val="auto"/>
        </w:rPr>
      </w:pPr>
    </w:p>
    <w:p>
      <w:pPr>
        <w:ind w:left="840" w:right="940" w:hanging="508"/>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840" w:right="100" w:hanging="508"/>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reports and documents that Cohu files with, or submits to, the SEC and in other public communications made by Cohu;</w:t>
      </w:r>
    </w:p>
    <w:p>
      <w:pPr>
        <w:spacing w:after="0" w:line="170" w:lineRule="exact"/>
        <w:rPr>
          <w:rFonts w:ascii="Arial" w:cs="Arial" w:eastAsia="Arial" w:hAnsi="Arial"/>
          <w:sz w:val="18"/>
          <w:szCs w:val="18"/>
          <w:color w:val="auto"/>
        </w:rPr>
      </w:pPr>
    </w:p>
    <w:p>
      <w:pPr>
        <w:ind w:left="840" w:hanging="508"/>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225" w:lineRule="exact"/>
        <w:rPr>
          <w:rFonts w:ascii="Arial" w:cs="Arial" w:eastAsia="Arial" w:hAnsi="Arial"/>
          <w:sz w:val="18"/>
          <w:szCs w:val="18"/>
          <w:color w:val="auto"/>
        </w:rPr>
      </w:pPr>
    </w:p>
    <w:p>
      <w:pPr>
        <w:ind w:left="840" w:hanging="508"/>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prompt internal reporting of violations of the Code of Conduct to an appropriate person or persons identified in the Code of Conduct; and</w:t>
      </w:r>
    </w:p>
    <w:p>
      <w:pPr>
        <w:spacing w:after="0" w:line="236" w:lineRule="exact"/>
        <w:rPr>
          <w:rFonts w:ascii="Arial" w:cs="Arial" w:eastAsia="Arial" w:hAnsi="Arial"/>
          <w:sz w:val="17"/>
          <w:szCs w:val="17"/>
          <w:color w:val="auto"/>
        </w:rPr>
      </w:pPr>
    </w:p>
    <w:p>
      <w:pPr>
        <w:ind w:left="840" w:hanging="508"/>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Code of Conduct is available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 We intend to make all required disclosures concerning any amendments to, or waivers from, our Code of Conduct on our website within four business days.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following table sets forth certain information regarding beneficial ownership of Cohu’s common stock as of February 16, 2018, by (i) each stockholder who has reported or is known by Cohu to have beneficial ownership of more than 5% of our common stock; (ii) each director of Cohu; (iii) each NEO included in the “2017 Summary Compensation Table”; and (iv) all directors and executive officers as a group.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Beneficially owned</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 stock</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71"/>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20" w:type="dxa"/>
            <w:vAlign w:val="bottom"/>
          </w:tcPr>
          <w:p>
            <w:pPr>
              <w:spacing w:after="0"/>
              <w:rPr>
                <w:sz w:val="23"/>
                <w:szCs w:val="23"/>
                <w:color w:val="auto"/>
              </w:rPr>
            </w:pPr>
          </w:p>
        </w:tc>
        <w:tc>
          <w:tcPr>
            <w:tcW w:w="20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common stock</w:t>
            </w:r>
          </w:p>
        </w:tc>
        <w:tc>
          <w:tcPr>
            <w:tcW w:w="170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4"/>
              </w:rPr>
              <w:t xml:space="preserve">equivalents </w:t>
            </w:r>
            <w:r>
              <w:rPr>
                <w:rFonts w:ascii="Arial" w:cs="Arial" w:eastAsia="Arial" w:hAnsi="Arial"/>
                <w:sz w:val="30"/>
                <w:szCs w:val="30"/>
                <w:b w:val="1"/>
                <w:bCs w:val="1"/>
                <w:color w:val="auto"/>
                <w:w w:val="84"/>
                <w:vertAlign w:val="superscript"/>
              </w:rPr>
              <w:t>(1)</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jc w:val="right"/>
              <w:ind w:right="250"/>
              <w:spacing w:after="0" w:line="271" w:lineRule="exact"/>
              <w:rPr>
                <w:sz w:val="20"/>
                <w:szCs w:val="20"/>
                <w:color w:val="auto"/>
              </w:rPr>
            </w:pPr>
            <w:r>
              <w:rPr>
                <w:rFonts w:ascii="Arial" w:cs="Arial" w:eastAsia="Arial" w:hAnsi="Arial"/>
                <w:sz w:val="18"/>
                <w:szCs w:val="18"/>
                <w:b w:val="1"/>
                <w:bCs w:val="1"/>
                <w:color w:val="auto"/>
                <w:w w:val="97"/>
              </w:rPr>
              <w:t xml:space="preserve">of class </w:t>
            </w:r>
            <w:r>
              <w:rPr>
                <w:rFonts w:ascii="Arial" w:cs="Arial" w:eastAsia="Arial" w:hAnsi="Arial"/>
                <w:sz w:val="30"/>
                <w:szCs w:val="30"/>
                <w:b w:val="1"/>
                <w:bCs w:val="1"/>
                <w:color w:val="auto"/>
                <w:w w:val="97"/>
                <w:vertAlign w:val="superscript"/>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29"/>
                <w:szCs w:val="29"/>
                <w:color w:val="auto"/>
                <w:vertAlign w:val="superscript"/>
              </w:rPr>
              <w:t>(3)</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3,700,110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3,700,110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55 East 52nd Street, New York, NY 10055</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29"/>
                <w:szCs w:val="29"/>
                <w:color w:val="auto"/>
                <w:vertAlign w:val="superscript"/>
              </w:rPr>
              <w:t>(4)</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2,377,575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2,377,575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6300 Bee Cave Road, Austin, TX 78746</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Franklin Resources, Inc. </w:t>
            </w:r>
            <w:r>
              <w:rPr>
                <w:rFonts w:ascii="Arial" w:cs="Arial" w:eastAsia="Arial" w:hAnsi="Arial"/>
                <w:sz w:val="29"/>
                <w:szCs w:val="29"/>
                <w:color w:val="auto"/>
                <w:vertAlign w:val="superscript"/>
              </w:rPr>
              <w:t>(5)</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1,578,875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1,578,875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One Franklin Parkway, San Mateo, CA 94403</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29"/>
                <w:szCs w:val="29"/>
                <w:color w:val="auto"/>
                <w:vertAlign w:val="superscript"/>
              </w:rPr>
              <w:t>(6)</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1,513,774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1,513,774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100 Vanguard Blvd. Malvern, PA 19355</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William E. Bendush</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23,188</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33,188</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Pr>
          <w:p>
            <w:pPr>
              <w:spacing w:after="0" w:line="256" w:lineRule="exact"/>
              <w:rPr>
                <w:sz w:val="20"/>
                <w:szCs w:val="20"/>
                <w:color w:val="auto"/>
              </w:rPr>
            </w:pPr>
            <w:r>
              <w:rPr>
                <w:rFonts w:ascii="Arial" w:cs="Arial" w:eastAsia="Arial" w:hAnsi="Arial"/>
                <w:sz w:val="18"/>
                <w:szCs w:val="18"/>
                <w:color w:val="auto"/>
              </w:rPr>
              <w:t xml:space="preserve">Steven J. Bilodeau </w:t>
            </w:r>
            <w:r>
              <w:rPr>
                <w:rFonts w:ascii="Arial" w:cs="Arial" w:eastAsia="Arial" w:hAnsi="Arial"/>
                <w:sz w:val="29"/>
                <w:szCs w:val="29"/>
                <w:color w:val="auto"/>
                <w:vertAlign w:val="superscript"/>
              </w:rPr>
              <w:t>(7)</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73,589</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83,589</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Christopher G. Bohrson</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3,101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Andrew M. Caggia</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19,688</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29,688</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Robert L. Ciardella </w:t>
            </w:r>
            <w:r>
              <w:rPr>
                <w:rFonts w:ascii="Arial" w:cs="Arial" w:eastAsia="Arial" w:hAnsi="Arial"/>
                <w:sz w:val="29"/>
                <w:szCs w:val="29"/>
                <w:color w:val="auto"/>
                <w:vertAlign w:val="superscript"/>
              </w:rPr>
              <w:t>(8)</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70,635</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90,635</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James A. Donahue</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320,328</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186,699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507,027</w:t>
            </w:r>
          </w:p>
        </w:tc>
        <w:tc>
          <w:tcPr>
            <w:tcW w:w="13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Karl H. Funke</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20,591</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30,591</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Jeffrey D. Jones</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79,150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72,222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151,372</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Thomas D. Kampfer</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Luis A. Müller</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147,559</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192,559</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Ian von Fellenberg</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18,160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30,660</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All directors and executive officers as a group (11 persons)</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775,987</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376,421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1,152,408</w:t>
            </w:r>
          </w:p>
        </w:tc>
        <w:tc>
          <w:tcPr>
            <w:tcW w:w="13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40" w:hanging="132"/>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3" w:lineRule="exact"/>
        <w:rPr>
          <w:rFonts w:ascii="Arial" w:cs="Arial" w:eastAsia="Arial" w:hAnsi="Arial"/>
          <w:sz w:val="18"/>
          <w:szCs w:val="18"/>
          <w:color w:val="auto"/>
        </w:rPr>
      </w:pPr>
    </w:p>
    <w:p>
      <w:pPr>
        <w:ind w:left="380" w:hanging="291"/>
        <w:spacing w:after="0"/>
        <w:tabs>
          <w:tab w:leader="none" w:pos="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Shares issuable upon exercise of stock options held by directors and executive officers that were exercisable on or within 60 days of February 16, 2018.</w:t>
      </w:r>
    </w:p>
    <w:p>
      <w:pPr>
        <w:spacing w:after="0" w:line="248" w:lineRule="exact"/>
        <w:rPr>
          <w:rFonts w:ascii="Arial" w:cs="Arial" w:eastAsia="Arial" w:hAnsi="Arial"/>
          <w:sz w:val="16"/>
          <w:szCs w:val="16"/>
          <w:color w:val="auto"/>
        </w:rPr>
      </w:pPr>
    </w:p>
    <w:p>
      <w:pPr>
        <w:ind w:left="380" w:right="220" w:hanging="291"/>
        <w:spacing w:after="0" w:line="264" w:lineRule="auto"/>
        <w:tabs>
          <w:tab w:leader="none" w:pos="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Computed on the basis of 28,539,627 shares of Cohu common stock outstanding as of February 16, 2018, plus, with respect to each person holding options to purchase Cohu common stock exercisable within 60 days of February 16, 2018, the number of shares of Cohu common stock issuable upon exercise thereof.</w:t>
      </w:r>
    </w:p>
    <w:p>
      <w:pPr>
        <w:spacing w:after="0" w:line="181" w:lineRule="exact"/>
        <w:rPr>
          <w:rFonts w:ascii="Arial" w:cs="Arial" w:eastAsia="Arial" w:hAnsi="Arial"/>
          <w:sz w:val="18"/>
          <w:szCs w:val="18"/>
          <w:color w:val="auto"/>
        </w:rPr>
      </w:pPr>
    </w:p>
    <w:p>
      <w:pPr>
        <w:ind w:left="380" w:right="180" w:hanging="291"/>
        <w:spacing w:after="0" w:line="264" w:lineRule="auto"/>
        <w:tabs>
          <w:tab w:leader="none" w:pos="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 on January 23, 2018, BlackRock, Inc. reported that its affiliated companies collectively had sole voting and dispositive power with respect to 3,644,472 and 3,700,110 shares, respectively, and no shared voting or dispositive power with respect to these shares.</w:t>
      </w:r>
    </w:p>
    <w:p>
      <w:pPr>
        <w:spacing w:after="0" w:line="181" w:lineRule="exact"/>
        <w:rPr>
          <w:rFonts w:ascii="Arial" w:cs="Arial" w:eastAsia="Arial" w:hAnsi="Arial"/>
          <w:sz w:val="18"/>
          <w:szCs w:val="18"/>
          <w:color w:val="auto"/>
        </w:rPr>
      </w:pPr>
    </w:p>
    <w:p>
      <w:pPr>
        <w:ind w:left="380" w:right="400" w:hanging="291"/>
        <w:spacing w:after="0" w:line="342" w:lineRule="auto"/>
        <w:tabs>
          <w:tab w:leader="none" w:pos="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According to Schedule 13G filed with the SEC on February 9, 2018, Dimensional Fund Advisors LP reported that it had sole voting and dispositive power with respect to 2,295,424 and 2,377,575 shares, respectively, and no shared voting or dispositive power with respect to these shares.</w:t>
      </w:r>
    </w:p>
    <w:p>
      <w:pPr>
        <w:spacing w:after="0" w:line="123" w:lineRule="exact"/>
        <w:rPr>
          <w:rFonts w:ascii="Arial" w:cs="Arial" w:eastAsia="Arial" w:hAnsi="Arial"/>
          <w:sz w:val="16"/>
          <w:szCs w:val="16"/>
          <w:color w:val="auto"/>
        </w:rPr>
      </w:pPr>
    </w:p>
    <w:p>
      <w:pPr>
        <w:ind w:left="380" w:right="240" w:hanging="291"/>
        <w:spacing w:after="0" w:line="264" w:lineRule="auto"/>
        <w:tabs>
          <w:tab w:leader="none" w:pos="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 on February 5, 2018, Franklin Resources, Inc. reported that Franklin Advisory Services, LLC had sole voting and dispositive power with respect to 1,461,674 and 1,578,875 shares, respectively, and no shared voting or dispositive power with respect to these shares.</w:t>
      </w:r>
    </w:p>
    <w:p>
      <w:pPr>
        <w:spacing w:after="0" w:line="181" w:lineRule="exact"/>
        <w:rPr>
          <w:rFonts w:ascii="Arial" w:cs="Arial" w:eastAsia="Arial" w:hAnsi="Arial"/>
          <w:sz w:val="18"/>
          <w:szCs w:val="18"/>
          <w:color w:val="auto"/>
        </w:rPr>
      </w:pPr>
    </w:p>
    <w:p>
      <w:pPr>
        <w:ind w:left="380" w:right="400" w:hanging="291"/>
        <w:spacing w:after="0" w:line="264" w:lineRule="auto"/>
        <w:tabs>
          <w:tab w:leader="none" w:pos="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Securities SEC on February 8, 2018, The Vanguard Group reported that it had sole voting and dispositive power with respect to 33,189 and 1,479,910 shares, respectively and shared voting and dispositive power with respect to 2,085 and 33,864 shares, respectively.</w:t>
      </w:r>
    </w:p>
    <w:p>
      <w:pPr>
        <w:spacing w:after="0" w:line="181" w:lineRule="exact"/>
        <w:rPr>
          <w:rFonts w:ascii="Arial" w:cs="Arial" w:eastAsia="Arial" w:hAnsi="Arial"/>
          <w:sz w:val="18"/>
          <w:szCs w:val="18"/>
          <w:color w:val="auto"/>
        </w:rPr>
      </w:pPr>
    </w:p>
    <w:p>
      <w:pPr>
        <w:ind w:left="380" w:hanging="291"/>
        <w:spacing w:after="0"/>
        <w:tabs>
          <w:tab w:leader="none" w:pos="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Beneficially owned common stock includes 73,589 deferred stock unit awards issued pursuant to the 2005 Plan.</w:t>
      </w:r>
    </w:p>
    <w:p>
      <w:pPr>
        <w:spacing w:after="0" w:line="225" w:lineRule="exact"/>
        <w:rPr>
          <w:rFonts w:ascii="Arial" w:cs="Arial" w:eastAsia="Arial" w:hAnsi="Arial"/>
          <w:sz w:val="18"/>
          <w:szCs w:val="18"/>
          <w:color w:val="auto"/>
        </w:rPr>
      </w:pPr>
    </w:p>
    <w:p>
      <w:pPr>
        <w:ind w:left="380" w:hanging="291"/>
        <w:spacing w:after="0"/>
        <w:tabs>
          <w:tab w:leader="none" w:pos="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Beneficially owned common stock includes 22,635 deferred stock unit awards issued pursuant to the 2005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Section 16(a) of the Exchange Act requires that Cohu’s executive officers, directors and persons who own more than 10% of a registered class of Cohu’s equity securities, file an initial report of ownership on Form 3 and changes in ownership on Form 4 or 5 with the SEC. Such officers, directors and 10% stockholders are also required by SEC rules to furnish Cohu with copies of all Section 16(a) forms they file.</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Based solely upon its review of the copies of such forms received by it, or written representations from certain reporting persons that no Forms 5 were required for such persons, Cohu believes that during the year ended December 30, 2017 its executive officers, directors and 10% stockholders timely complied with all Section 16(a) filing requirements except as follows: (i) on March 22, 2018, a Form 4/A was filed for Andrew M. Caggia to correct an inadvertent error in the amount of his beneficial ownership of securities reported as of May 10, 2017; (ii) on March 22, 2018, a Form 4/A was filed for James A. Donahue to correct an inadvertent error in the amount of his beneficial ownership of securities reported as of March 24, 2017; (iii) on March 12, 2018, a Form 4/A was filed for Karl H. Funke to correct an inadvertent error in the amount of his beneficial ownership of securities reported as of March 9, 2017; (iv) on March 22, 2018, for Ian von Fellenberg, a Form 3/A and Form 4/A were filed to correct inadvertent errors in the amounts of his beneficial ownership of</w:t>
      </w:r>
    </w:p>
    <w:p>
      <w:pPr>
        <w:sectPr>
          <w:pgSz w:w="11900" w:h="16932" w:orient="portrait"/>
          <w:cols w:equalWidth="0" w:num="1">
            <w:col w:w="11420"/>
          </w:cols>
          <w:pgMar w:left="240" w:top="580" w:right="239" w:bottom="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securities reported as of March 22, 2017 and May 30, 2017, respectively; and (v) on March 22, 2018, a Form 4/A was filed for Luis A. Müller to correct an inadvertent error in the amount of his beneficial ownership of securities reported as of March 24, 2017.</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Audit Committee of the Board of Directors is composed of five (5) independent directors, as defined in the NASDAQ listing standards, and operates under a written charter adopted by the Board of Directors. The current members of the Audit Committee are William E. Bendush (Chairman), Steven J. Bilodeau, Andrew M. Caggia, Robert L. Ciardella and Karl H. Funke.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Responsibilities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93"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Cohu’s management has primary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with Management and Independent Registered Public Accounting Firm</w:t>
      </w:r>
    </w:p>
    <w:p>
      <w:pPr>
        <w:spacing w:after="0" w:line="22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 this context, the Audit Committee has reviewed and discussed the audited consolidated financial statements contained in Cohu’s Annual Report on Form 10-K for the year ended December 30, 2017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w:t>
      </w:r>
    </w:p>
    <w:p>
      <w:pPr>
        <w:spacing w:after="0" w:line="187" w:lineRule="exact"/>
        <w:rPr>
          <w:sz w:val="20"/>
          <w:szCs w:val="20"/>
          <w:color w:val="auto"/>
        </w:rPr>
      </w:pPr>
    </w:p>
    <w:p>
      <w:pPr>
        <w:ind w:right="620" w:firstLine="324"/>
        <w:spacing w:after="0" w:line="259" w:lineRule="auto"/>
        <w:rPr>
          <w:sz w:val="20"/>
          <w:szCs w:val="20"/>
          <w:color w:val="auto"/>
        </w:rPr>
      </w:pPr>
      <w:r>
        <w:rPr>
          <w:rFonts w:ascii="Arial" w:cs="Arial" w:eastAsia="Arial" w:hAnsi="Arial"/>
          <w:sz w:val="18"/>
          <w:szCs w:val="18"/>
          <w:color w:val="auto"/>
        </w:rPr>
        <w:t>Ernst &amp; Young LLP also provided to the Audit Committee the written disclosures and the letter required by applicable requirements of the Public Company Accounting Oversight Board regarding Ernst &amp; Young’s communications with the Audit Committee concerning independence. The Audit Committee discussed with Ernst &amp; Young LLP any relationships that may impact their objectivity and independence, and satisfied itself as to Ernst &amp; Young’s independence.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Based upon the Audit Committee’s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30, 2017, for filing with the SEC.</w:t>
      </w:r>
    </w:p>
    <w:p>
      <w:pPr>
        <w:spacing w:after="0" w:line="187"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The Audit Committee appointed Ernst &amp; Young LLP as Cohu’s independent registered public accounting firm for fiscal 2018 and recommends to stockholders that they ratify the appointment of Ernst &amp; Young LLP as Cohu’s independent registered public accounting firm for fiscal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340"/>
              <w:spacing w:after="0"/>
              <w:rPr>
                <w:sz w:val="20"/>
                <w:szCs w:val="20"/>
                <w:color w:val="auto"/>
              </w:rPr>
            </w:pPr>
            <w:r>
              <w:rPr>
                <w:rFonts w:ascii="Arial" w:cs="Arial" w:eastAsia="Arial" w:hAnsi="Arial"/>
                <w:sz w:val="18"/>
                <w:szCs w:val="18"/>
                <w:color w:val="auto"/>
              </w:rPr>
              <w:t>This report is submitted by the Audit Committee.</w:t>
            </w: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5360" w:type="dxa"/>
            <w:vAlign w:val="bottom"/>
          </w:tcPr>
          <w:p>
            <w:pPr>
              <w:ind w:left="2880"/>
              <w:spacing w:after="0"/>
              <w:rPr>
                <w:sz w:val="20"/>
                <w:szCs w:val="20"/>
                <w:color w:val="auto"/>
              </w:rPr>
            </w:pPr>
            <w:r>
              <w:rPr>
                <w:rFonts w:ascii="Arial" w:cs="Arial" w:eastAsia="Arial" w:hAnsi="Arial"/>
                <w:sz w:val="18"/>
                <w:szCs w:val="18"/>
                <w:color w:val="auto"/>
                <w:w w:val="97"/>
              </w:rPr>
              <w:t>William E. Bendush (Chairman)</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Steven J. Bilodeau</w:t>
            </w:r>
          </w:p>
        </w:tc>
        <w:tc>
          <w:tcPr>
            <w:tcW w:w="4300" w:type="dxa"/>
            <w:vAlign w:val="bottom"/>
          </w:tcPr>
          <w:p>
            <w:pPr>
              <w:ind w:left="60"/>
              <w:spacing w:after="0"/>
              <w:rPr>
                <w:sz w:val="20"/>
                <w:szCs w:val="20"/>
                <w:color w:val="auto"/>
              </w:rPr>
            </w:pPr>
            <w:r>
              <w:rPr>
                <w:rFonts w:ascii="Arial" w:cs="Arial" w:eastAsia="Arial" w:hAnsi="Arial"/>
                <w:sz w:val="18"/>
                <w:szCs w:val="18"/>
                <w:color w:val="auto"/>
              </w:rPr>
              <w:t>Andrew M. Caggia</w:t>
            </w:r>
          </w:p>
        </w:tc>
      </w:tr>
      <w:tr>
        <w:trPr>
          <w:trHeight w:val="432"/>
        </w:trPr>
        <w:tc>
          <w:tcPr>
            <w:tcW w:w="5920" w:type="dxa"/>
            <w:vAlign w:val="bottom"/>
            <w:gridSpan w:val="2"/>
          </w:tcPr>
          <w:p>
            <w:pPr>
              <w:jc w:val="right"/>
              <w:ind w:right="90"/>
              <w:spacing w:after="0"/>
              <w:rPr>
                <w:sz w:val="20"/>
                <w:szCs w:val="20"/>
                <w:color w:val="auto"/>
              </w:rPr>
            </w:pPr>
            <w:r>
              <w:rPr>
                <w:rFonts w:ascii="Arial" w:cs="Arial" w:eastAsia="Arial" w:hAnsi="Arial"/>
                <w:sz w:val="18"/>
                <w:szCs w:val="18"/>
                <w:color w:val="auto"/>
              </w:rPr>
              <w:t>Robert L. Ciardella</w:t>
            </w:r>
          </w:p>
        </w:tc>
        <w:tc>
          <w:tcPr>
            <w:tcW w:w="1200" w:type="dxa"/>
            <w:vAlign w:val="bottom"/>
          </w:tcPr>
          <w:p>
            <w:pPr>
              <w:ind w:left="140"/>
              <w:spacing w:after="0"/>
              <w:rPr>
                <w:sz w:val="20"/>
                <w:szCs w:val="20"/>
                <w:color w:val="auto"/>
              </w:rPr>
            </w:pPr>
            <w:r>
              <w:rPr>
                <w:rFonts w:ascii="Arial" w:cs="Arial" w:eastAsia="Arial" w:hAnsi="Arial"/>
                <w:sz w:val="18"/>
                <w:szCs w:val="18"/>
                <w:color w:val="auto"/>
                <w:w w:val="94"/>
              </w:rPr>
              <w:t>Karl H. Funke</w:t>
            </w:r>
          </w:p>
        </w:tc>
        <w:tc>
          <w:tcPr>
            <w:tcW w:w="4300" w:type="dxa"/>
            <w:vAlign w:val="bottom"/>
          </w:tcPr>
          <w:p>
            <w:pPr>
              <w:spacing w:after="0"/>
              <w:rPr>
                <w:sz w:val="24"/>
                <w:szCs w:val="24"/>
                <w:color w:val="auto"/>
              </w:rPr>
            </w:pPr>
          </w:p>
        </w:tc>
      </w:tr>
      <w:tr>
        <w:trPr>
          <w:trHeight w:val="432"/>
        </w:trPr>
        <w:tc>
          <w:tcPr>
            <w:tcW w:w="536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15"/>
        </w:trPr>
        <w:tc>
          <w:tcPr>
            <w:tcW w:w="5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shows the fees billed to Cohu for the audit and other services provided by Ernst &amp; Young LLP for the years ended December 30, 2017 and December 31, 2016.</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top w:val="single" w:sz="8" w:color="auto"/>
            </w:tcBorders>
            <w:shd w:val="clear" w:color="auto" w:fill="CCEEFF"/>
          </w:tcPr>
          <w:p>
            <w:pPr>
              <w:spacing w:after="0" w:line="251"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36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5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Tax Fees: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Tax Compliance </w:t>
            </w:r>
            <w:r>
              <w:rPr>
                <w:rFonts w:ascii="Arial" w:cs="Arial" w:eastAsia="Arial" w:hAnsi="Arial"/>
                <w:sz w:val="29"/>
                <w:szCs w:val="29"/>
                <w:color w:val="auto"/>
                <w:vertAlign w:val="superscript"/>
              </w:rPr>
              <w:t>(3)</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Tax Planning and Advice</w:t>
            </w: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2017 and 2016, 100% of the non-audit fees were pre-approved by the Audit Committee.</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2" w:lineRule="exact"/>
        <w:rPr>
          <w:sz w:val="20"/>
          <w:szCs w:val="20"/>
          <w:color w:val="auto"/>
        </w:rPr>
      </w:pPr>
    </w:p>
    <w:p>
      <w:pPr>
        <w:ind w:left="500" w:right="80" w:hanging="330"/>
        <w:spacing w:after="0" w:line="259"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w:t>
      </w:r>
    </w:p>
    <w:p>
      <w:pPr>
        <w:spacing w:after="0" w:line="186" w:lineRule="exact"/>
        <w:rPr>
          <w:rFonts w:ascii="Arial" w:cs="Arial" w:eastAsia="Arial" w:hAnsi="Arial"/>
          <w:sz w:val="18"/>
          <w:szCs w:val="18"/>
          <w:color w:val="auto"/>
        </w:rPr>
      </w:pPr>
    </w:p>
    <w:p>
      <w:pPr>
        <w:ind w:left="500" w:right="40" w:hanging="330"/>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Audit-related fees include accounting consultation services related to business acquisitions and divestitures and other attestation services. Audit-related fees incurred in 2016, are for due diligence related services provided in conjunction with the acquisition of Kita Manufacturing LTD.</w:t>
      </w:r>
    </w:p>
    <w:p>
      <w:pPr>
        <w:spacing w:after="0" w:line="146" w:lineRule="exact"/>
        <w:rPr>
          <w:rFonts w:ascii="Arial" w:cs="Arial" w:eastAsia="Arial" w:hAnsi="Arial"/>
          <w:sz w:val="17"/>
          <w:szCs w:val="17"/>
          <w:color w:val="auto"/>
        </w:rPr>
      </w:pPr>
    </w:p>
    <w:p>
      <w:pPr>
        <w:ind w:left="500" w:right="180" w:hanging="330"/>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compliance fees consisted primarily of assistance with (i) review or preparation of Cohu’s federal, state and foreign tax returns and (ii) tax return examinations.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This Compensation Discussion and Analysis provides information regarding the 2017 compensation program for our Chief Executive Officer, Chief Financial Officer, and the next three most highly-compensated executive officers of the Company at the end of 2017. These individuals were:</w:t>
      </w:r>
    </w:p>
    <w:p>
      <w:pPr>
        <w:spacing w:after="0" w:line="124"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Luis A. Müller, President and Chief Executive Officer (our “CEO”);</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Jeffrey D. Jones, Vice President, Finance and Chief Financial Officer;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Thomas D. Kampfer, Vice President Corporate Development, General Counsel and Secretary;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Christopher Bohrson, Vice President and General Manager, Digital Test Handlers;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Ian von Fellenberg, Vice President and General Manager, Analog Test Handlers.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Mr. Kampfer joined us and was appointed as our Vice President Corporate Development, General Counsel and Secretary, effective May 30, 2017.</w:t>
      </w:r>
    </w:p>
    <w:p>
      <w:pPr>
        <w:spacing w:after="0" w:line="23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refer to these executive officers collectively in this Compensation Discussion and Analysis and the related compensation tables as the “NEOs.” This Compensation Discussion and Analysis provides an overview of our philosophy and principles that govern our executive compensation program, how we applied those principles in compensating our executive officers for 2017, and how we use our executive compensation program to drive performance. In addition, we explain how and why the Compensation Committee of our Board of Directors (the “Compensation Committee”) arrived at the specific compensation policies and decisions involving the NEOs during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2017 Business Highlights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Cohu delivered another year of solid sales and profitability growth in fiscal 2017:</w:t>
      </w:r>
    </w:p>
    <w:p>
      <w:pPr>
        <w:spacing w:after="0" w:line="225"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Orders were at record levels with the full year increasing 41% over 2016;</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were up 25% year-over-year to $352.7 million;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GAAP earnings per share increased 858% to $1.15;</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Generated a record $39 million in operating cash flow;</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Ended the year with $156 million in cash and investments and a strong balance sheet;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Returned $6.6 million to stockholders through quarterly cash dividends.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2017, we executed our strategic plan to grow share in the test handler market and to accelerate growth in test contactors while making disciplined investments in probe and semiconductor inspection. The acquisition of Kita has proven to be a success, with a 450% increase in the number of Kita probes incorporated within our contactors and several design-wins combined with Cohu handlers.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2017 Executive Compensation Highlights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Consistent with our performance and compensation objectives, the Compensation Committee approved the following compensation actions for our executive officers, including the NEOs, for 2017:</w:t>
      </w:r>
    </w:p>
    <w:p>
      <w:pPr>
        <w:spacing w:after="0" w:line="170"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Made merit adjustments to their base salaries, including an 10.3% increase to the CEO;</w:t>
      </w:r>
    </w:p>
    <w:p>
      <w:pPr>
        <w:spacing w:after="0" w:line="23" w:lineRule="exact"/>
        <w:rPr>
          <w:rFonts w:ascii="Arial" w:cs="Arial" w:eastAsia="Arial" w:hAnsi="Arial"/>
          <w:sz w:val="18"/>
          <w:szCs w:val="18"/>
          <w:color w:val="auto"/>
        </w:rPr>
      </w:pPr>
    </w:p>
    <w:p>
      <w:pPr>
        <w:ind w:left="820" w:right="4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Paid annual cash incentive bonuses ranging from 138% to 152% of their target annual cash incentive bonus opportunity, including an annual cash incentive bonus of 148% of target to our CEO;</w:t>
      </w:r>
    </w:p>
    <w:p>
      <w:pPr>
        <w:ind w:left="82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Granted long-term incentive compensation in the form of time-based restricted share unit (“RSU”) awards for shares of our common stock and performance share unit (“PSU”) awards for shares of our common stock to be earned based on our total stockholder return (“TSR”) relative to a pre-selected comparator group for a 3-year period from 2017 through 2019. Our CEO received a grant of 37,492 RSUs and a PSU grant of 37,492 shares at target performance; and</w:t>
      </w:r>
    </w:p>
    <w:p>
      <w:pPr>
        <w:spacing w:after="0" w:line="1"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his appointment as our Vice President Corporate Development, General Counsel and Secretary on May 30, 2017, approved the following compensation arrangements for Mr. Kampfer:</w:t>
      </w: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 annual base salary of $285,000;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target annual cash incentive bonus opportunity equal to 50% of his annual base salary;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2" w:name="page23"/>
    <w:bookmarkEnd w:id="22"/>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sign-on bonus of $50,000;</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annual car allowance of $6,000;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grant of 9,274 RSUs and a PSU grant of 9,274 shares at target performance.</w:t>
      </w:r>
    </w:p>
    <w:p>
      <w:pPr>
        <w:spacing w:after="0" w:line="211"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Mr. Kampfer’s compensation arrangements were negotiated on our behalf by our CEO and approved by the Compensation Committee. In establishing the initial compensation arrangements for Mr. Kampfer, we took into consideration the requisite experience and skills that a qualified candidate would need to work in a growing business in a dynamic and ever-changing environment, the competitive market for similar positions at other comparable companies based on a review of compensation survey data and the need to integrate him into our existing executive compensation structure, while balancing both competitive and internal equity considerations.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 for Performance</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Our Board of Directors believes that the compensation of our executive officers for 2017 is reasonable and appropriate, is justified by our performance, and carefully balances both time-based and performance-based compensation elements. The following chart illustrates the mix of elements of the target total direct compensation opportunity for our CEO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124460</wp:posOffset>
            </wp:positionV>
            <wp:extent cx="2675890" cy="2075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7589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Further, the compensation of the NEOs over the previous five years demonstrates the alignment between pay and performance. The variable cash compensation for the NEOs for each year from 2013 through 2017 varied from 23% to 152% of their target annual cash incentive bonus opportunities based on our performance. For example:</w:t>
      </w:r>
    </w:p>
    <w:p>
      <w:pPr>
        <w:spacing w:after="0" w:line="181" w:lineRule="exact"/>
        <w:rPr>
          <w:sz w:val="20"/>
          <w:szCs w:val="20"/>
          <w:color w:val="auto"/>
        </w:rPr>
      </w:pPr>
    </w:p>
    <w:p>
      <w:pPr>
        <w:ind w:left="580" w:right="40" w:hanging="248"/>
        <w:spacing w:after="0" w:line="25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2013, our sales were impacted by a weaker industry and global macroeconomic environment. While the NEOs continued to deliver on their strategic objectives, we incurred losses that year and consequently the NEOs received variable cash compensation ranging from 23% to 68% of their target annual cash incentive bonus opportunities.</w:t>
      </w:r>
    </w:p>
    <w:p>
      <w:pPr>
        <w:ind w:left="580" w:right="40" w:hanging="248"/>
        <w:spacing w:after="0" w:line="250"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2014, we attained record sales along with high profitability and all NEOs received variable cash compensation above their target amounts ranging from 111% to 129% of their target annual cash incentive bonus opportunities.</w:t>
      </w:r>
    </w:p>
    <w:p>
      <w:pPr>
        <w:ind w:left="580" w:right="80" w:hanging="248"/>
        <w:spacing w:after="0" w:line="250"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2015, we delivered solid sales and profitability levels while executing several key strategic deliverables relating to divesting non-core businesses. All NEOs received variable cash compensation near their target amounts ranging from 100% to 107% of their target annual cash incentive bonus opportunities.</w:t>
      </w:r>
    </w:p>
    <w:p>
      <w:pPr>
        <w:spacing w:after="0" w:line="1" w:lineRule="exact"/>
        <w:rPr>
          <w:rFonts w:ascii="Arial" w:cs="Arial" w:eastAsia="Arial" w:hAnsi="Arial"/>
          <w:sz w:val="18"/>
          <w:szCs w:val="18"/>
          <w:color w:val="auto"/>
        </w:rPr>
      </w:pPr>
    </w:p>
    <w:p>
      <w:pPr>
        <w:ind w:left="580" w:right="40" w:hanging="248"/>
        <w:spacing w:after="0" w:line="250"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2016, our results were again strong and we executed the acquisition of Kita Manufacturing. All NEOs received variable cash compensation above their target amounts ranging from 114% to 119% of their target annual cash incentive bonus opportunities.</w:t>
      </w:r>
    </w:p>
    <w:p>
      <w:pPr>
        <w:ind w:left="580" w:right="440" w:hanging="248"/>
        <w:spacing w:after="0" w:line="323"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2017, as discussed above, was a successful year where we delivered strong results and executed on our strategic objectives. All NEOs received variable cash compensation above their target amounts ranging from 138% to 152% of their target annual cash incentive bonus opportunities.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1786890</wp:posOffset>
            </wp:positionH>
            <wp:positionV relativeFrom="page">
              <wp:posOffset>380365</wp:posOffset>
            </wp:positionV>
            <wp:extent cx="3987800" cy="2967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98780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Since 2012, all NEOs have had some portion of their Long-Term Incentive compensation based on PSUs that require achievement of business goals to earn the equity incentive. Starting in 2015, the PSU portion of the Long-Term Incentive program is earned based solely on our total stockholder return (“TSR”) relative to a pre-selected comparator group of peer companies. The weighting of these PSUs in relation to time-based RSU grants has also evolved over the years and currently stands at 50% of each NEOs annual equity grant. The NEOs have earned from a low of 37% of their target award for the 2015 Long-Term Incentive program to a high of 180% of their target award for the 2014 Long-Term Incentive program.</w:t>
      </w:r>
    </w:p>
    <w:p>
      <w:pPr>
        <w:spacing w:after="0" w:line="15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correct balance between short-term financial performance and long-term stockholder return. For example, in March 2016, the Compensation Committee increased the performance period for the TSR to three years to enhance the focus on long-term results. This formula is described in detail in the section entitled “Long-Term Incentive Compensation”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2017 Executive Compensation Policies and Practices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2017:</w:t>
      </w:r>
    </w:p>
    <w:p>
      <w:pPr>
        <w:spacing w:after="0" w:line="147"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Independent Compensation Committee. </w:t>
      </w:r>
      <w:r>
        <w:rPr>
          <w:rFonts w:ascii="Arial" w:cs="Arial" w:eastAsia="Arial" w:hAnsi="Arial"/>
          <w:sz w:val="18"/>
          <w:szCs w:val="18"/>
          <w:color w:val="auto"/>
        </w:rPr>
        <w:t>The Compensation Committee is comprised solely of independent directors.</w:t>
      </w:r>
    </w:p>
    <w:p>
      <w:pPr>
        <w:spacing w:after="0" w:line="23" w:lineRule="exact"/>
        <w:rPr>
          <w:rFonts w:ascii="Arial" w:cs="Arial" w:eastAsia="Arial" w:hAnsi="Arial"/>
          <w:sz w:val="18"/>
          <w:szCs w:val="18"/>
          <w:b w:val="1"/>
          <w:bCs w:val="1"/>
          <w:i w:val="1"/>
          <w:iCs w:val="1"/>
          <w:color w:val="auto"/>
        </w:rPr>
      </w:pPr>
    </w:p>
    <w:p>
      <w:pPr>
        <w:ind w:left="580" w:right="200" w:hanging="248"/>
        <w:spacing w:after="0" w:line="250" w:lineRule="auto"/>
        <w:tabs>
          <w:tab w:leader="none" w:pos="5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Independent Compensation Committee Advisors. </w:t>
      </w:r>
      <w:r>
        <w:rPr>
          <w:rFonts w:ascii="Arial" w:cs="Arial" w:eastAsia="Arial" w:hAnsi="Arial"/>
          <w:sz w:val="18"/>
          <w:szCs w:val="18"/>
          <w:color w:val="auto"/>
        </w:rPr>
        <w:t>The Compensation Committee engaged its own compensation consultant to assist with its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governance reviews. This consultant performed no other consulting or services for us.</w:t>
      </w:r>
    </w:p>
    <w:p>
      <w:pPr>
        <w:ind w:left="580" w:right="300" w:hanging="248"/>
        <w:spacing w:after="0" w:line="250" w:lineRule="auto"/>
        <w:tabs>
          <w:tab w:leader="none" w:pos="5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Annual Executive Compensation Review. </w:t>
      </w:r>
      <w:r>
        <w:rPr>
          <w:rFonts w:ascii="Arial" w:cs="Arial" w:eastAsia="Arial" w:hAnsi="Arial"/>
          <w:sz w:val="18"/>
          <w:szCs w:val="18"/>
          <w:color w:val="auto"/>
        </w:rPr>
        <w:t>The Compensation Committee conducts an annual review and approval of our compensation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 review of our compensation peer group used for comparative purposes.</w:t>
      </w:r>
    </w:p>
    <w:p>
      <w:pPr>
        <w:ind w:left="580" w:right="120" w:hanging="248"/>
        <w:spacing w:after="0" w:line="261" w:lineRule="auto"/>
        <w:tabs>
          <w:tab w:leader="none" w:pos="5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Annual Compensation-Related Risk Review. </w:t>
      </w:r>
      <w:r>
        <w:rPr>
          <w:rFonts w:ascii="Arial" w:cs="Arial" w:eastAsia="Arial" w:hAnsi="Arial"/>
          <w:sz w:val="18"/>
          <w:szCs w:val="18"/>
          <w:color w:val="auto"/>
        </w:rPr>
        <w:t>The Compensation Committee conducts an annual review of our compensation-related risk profile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ensure that compensation practices are not reasonably likely to have a material adverse effect on the Company.</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24" w:name="page25"/>
    <w:bookmarkEnd w:id="24"/>
    <w:p>
      <w:pPr>
        <w:jc w:val="both"/>
        <w:ind w:left="580" w:right="660" w:hanging="248"/>
        <w:spacing w:after="0" w:line="256" w:lineRule="auto"/>
        <w:tabs>
          <w:tab w:leader="none" w:pos="5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Executive Compensation Policies and Practices. </w:t>
      </w:r>
      <w:r>
        <w:rPr>
          <w:rFonts w:ascii="Arial" w:cs="Arial" w:eastAsia="Arial" w:hAnsi="Arial"/>
          <w:sz w:val="18"/>
          <w:szCs w:val="18"/>
          <w:color w:val="auto"/>
        </w:rPr>
        <w:t>Our compensation philosophy and related corporate governance policies and practices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complemented by several specific compensation policies and practices that are designed to align our executive compensation with long-term stockholder interests, including the following:</w:t>
      </w:r>
    </w:p>
    <w:p>
      <w:pPr>
        <w:ind w:left="980" w:right="300" w:hanging="324"/>
        <w:spacing w:after="0" w:line="250" w:lineRule="auto"/>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Compensation At-Risk. </w:t>
      </w:r>
      <w:r>
        <w:rPr>
          <w:rFonts w:ascii="Arial" w:cs="Arial" w:eastAsia="Arial" w:hAnsi="Arial"/>
          <w:sz w:val="18"/>
          <w:szCs w:val="18"/>
          <w:color w:val="auto"/>
        </w:rPr>
        <w:t>Our executive compensation program is designed so that a significant portion of compensation is “at risk”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performance, as well as equity-based to align the interests of our executive officers and stockholders;</w:t>
      </w:r>
    </w:p>
    <w:p>
      <w:pPr>
        <w:ind w:left="980" w:right="100" w:hanging="324"/>
        <w:spacing w:after="0" w:line="250" w:lineRule="auto"/>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Retirement Pension Plans. </w:t>
      </w:r>
      <w:r>
        <w:rPr>
          <w:rFonts w:ascii="Arial" w:cs="Arial" w:eastAsia="Arial" w:hAnsi="Arial"/>
          <w:sz w:val="18"/>
          <w:szCs w:val="18"/>
          <w:color w:val="auto"/>
        </w:rPr>
        <w:t>We do not currently offer, nor do we have plans to provide, defined benefit pension arrangements or retirement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for our executive officers;</w:t>
      </w:r>
    </w:p>
    <w:p>
      <w:pPr>
        <w:ind w:left="980" w:hanging="324"/>
        <w:spacing w:after="0"/>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Limited Perquisites. </w:t>
      </w:r>
      <w:r>
        <w:rPr>
          <w:rFonts w:ascii="Arial" w:cs="Arial" w:eastAsia="Arial" w:hAnsi="Arial"/>
          <w:sz w:val="18"/>
          <w:szCs w:val="18"/>
          <w:color w:val="auto"/>
        </w:rPr>
        <w:t>We provide minimal perquisites and other personal benefits to our executive officers;</w:t>
      </w:r>
    </w:p>
    <w:p>
      <w:pPr>
        <w:spacing w:after="0" w:line="9" w:lineRule="exact"/>
        <w:rPr>
          <w:rFonts w:ascii="Arial" w:cs="Arial" w:eastAsia="Arial" w:hAnsi="Arial"/>
          <w:sz w:val="18"/>
          <w:szCs w:val="18"/>
          <w:b w:val="1"/>
          <w:bCs w:val="1"/>
          <w:i w:val="1"/>
          <w:iCs w:val="1"/>
          <w:color w:val="auto"/>
        </w:rPr>
      </w:pPr>
    </w:p>
    <w:p>
      <w:pPr>
        <w:ind w:left="980" w:right="340" w:hanging="324"/>
        <w:spacing w:after="0" w:line="265" w:lineRule="auto"/>
        <w:tabs>
          <w:tab w:leader="none" w:pos="980" w:val="left"/>
        </w:tabs>
        <w:numPr>
          <w:ilvl w:val="1"/>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No Tax Reimbursements. </w:t>
      </w:r>
      <w:r>
        <w:rPr>
          <w:rFonts w:ascii="Arial" w:cs="Arial" w:eastAsia="Arial" w:hAnsi="Arial"/>
          <w:sz w:val="17"/>
          <w:szCs w:val="17"/>
          <w:color w:val="auto"/>
        </w:rPr>
        <w:t>We do not provide any tax reimbursement payments (including “gross-ups”) on any perquisites or other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other than standard relocation benefits and tax equalization agreements related to expatriate assignments;</w:t>
      </w:r>
    </w:p>
    <w:p>
      <w:pPr>
        <w:ind w:left="980" w:right="120" w:hanging="324"/>
        <w:spacing w:after="0" w:line="250" w:lineRule="auto"/>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Post-Employment Tax Reimbursements. </w:t>
      </w:r>
      <w:r>
        <w:rPr>
          <w:rFonts w:ascii="Arial" w:cs="Arial" w:eastAsia="Arial" w:hAnsi="Arial"/>
          <w:sz w:val="18"/>
          <w:szCs w:val="18"/>
          <w:color w:val="auto"/>
        </w:rPr>
        <w:t>We do not provide any tax reimbursement payments (including “gross-ups”) on any severance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change-in-control payments or benefits;</w:t>
      </w:r>
    </w:p>
    <w:p>
      <w:pPr>
        <w:ind w:left="980" w:right="140" w:hanging="324"/>
        <w:spacing w:after="0" w:line="250" w:lineRule="auto"/>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“Double-Trigger” Change-in-Control Arrangements. </w:t>
      </w:r>
      <w:r>
        <w:rPr>
          <w:rFonts w:ascii="Arial" w:cs="Arial" w:eastAsia="Arial" w:hAnsi="Arial"/>
          <w:sz w:val="18"/>
          <w:szCs w:val="18"/>
          <w:color w:val="auto"/>
        </w:rPr>
        <w:t>All change-in-control payments and benefits are based on a “double-trigger”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(that is</w:t>
      </w:r>
      <w:r>
        <w:rPr>
          <w:rFonts w:ascii="Arial" w:cs="Arial" w:eastAsia="Arial" w:hAnsi="Arial"/>
          <w:sz w:val="18"/>
          <w:szCs w:val="18"/>
          <w:i w:val="1"/>
          <w:iCs w:val="1"/>
          <w:color w:val="auto"/>
        </w:rPr>
        <w:t>,</w:t>
      </w:r>
      <w:r>
        <w:rPr>
          <w:rFonts w:ascii="Arial" w:cs="Arial" w:eastAsia="Arial" w:hAnsi="Arial"/>
          <w:sz w:val="18"/>
          <w:szCs w:val="18"/>
          <w:color w:val="auto"/>
        </w:rPr>
        <w:t xml:space="preserve"> they require both a change-in-control of the Company </w:t>
      </w:r>
      <w:r>
        <w:rPr>
          <w:rFonts w:ascii="Arial" w:cs="Arial" w:eastAsia="Arial" w:hAnsi="Arial"/>
          <w:sz w:val="18"/>
          <w:szCs w:val="18"/>
          <w:b w:val="1"/>
          <w:bCs w:val="1"/>
          <w:i w:val="1"/>
          <w:iCs w:val="1"/>
          <w:color w:val="auto"/>
        </w:rPr>
        <w:t>plus</w:t>
      </w:r>
      <w:r>
        <w:rPr>
          <w:rFonts w:ascii="Arial" w:cs="Arial" w:eastAsia="Arial" w:hAnsi="Arial"/>
          <w:sz w:val="18"/>
          <w:szCs w:val="18"/>
          <w:color w:val="auto"/>
        </w:rPr>
        <w:t xml:space="preserve"> a qualifying termination of employment before payments and benefits are paid);</w:t>
      </w:r>
    </w:p>
    <w:p>
      <w:pPr>
        <w:spacing w:after="0" w:line="1"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Performance-Based Incentives. </w:t>
      </w:r>
      <w:r>
        <w:rPr>
          <w:rFonts w:ascii="Arial" w:cs="Arial" w:eastAsia="Arial" w:hAnsi="Arial"/>
          <w:sz w:val="18"/>
          <w:szCs w:val="18"/>
          <w:color w:val="auto"/>
        </w:rPr>
        <w:t>We use performance-based short-term and long-term incentives;</w:t>
      </w:r>
    </w:p>
    <w:p>
      <w:pPr>
        <w:spacing w:after="0" w:line="9" w:lineRule="exact"/>
        <w:rPr>
          <w:rFonts w:ascii="Arial" w:cs="Arial" w:eastAsia="Arial" w:hAnsi="Arial"/>
          <w:sz w:val="18"/>
          <w:szCs w:val="18"/>
          <w:b w:val="1"/>
          <w:bCs w:val="1"/>
          <w:i w:val="1"/>
          <w:iCs w:val="1"/>
          <w:color w:val="auto"/>
        </w:rPr>
      </w:pPr>
    </w:p>
    <w:p>
      <w:pPr>
        <w:ind w:left="980" w:right="60" w:hanging="324"/>
        <w:spacing w:after="0" w:line="250" w:lineRule="auto"/>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Incentive Compensation Recoupment Policy. </w:t>
      </w:r>
      <w:r>
        <w:rPr>
          <w:rFonts w:ascii="Arial" w:cs="Arial" w:eastAsia="Arial" w:hAnsi="Arial"/>
          <w:sz w:val="18"/>
          <w:szCs w:val="18"/>
          <w:color w:val="auto"/>
        </w:rPr>
        <w:t>Incentive compensation awarded to our executive officers is subject to recoupment under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if our financial results are restated;</w:t>
      </w:r>
    </w:p>
    <w:p>
      <w:pPr>
        <w:ind w:left="980" w:right="260" w:hanging="324"/>
        <w:spacing w:after="0" w:line="250" w:lineRule="auto"/>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Multi-Year Vesting Requirements. </w:t>
      </w:r>
      <w:r>
        <w:rPr>
          <w:rFonts w:ascii="Arial" w:cs="Arial" w:eastAsia="Arial" w:hAnsi="Arial"/>
          <w:sz w:val="18"/>
          <w:szCs w:val="18"/>
          <w:color w:val="auto"/>
        </w:rPr>
        <w:t>The equity awards granted to our executive officers vest or are earned over multi-year periods,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current market practice and our retention objectives;</w:t>
      </w:r>
    </w:p>
    <w:p>
      <w:pPr>
        <w:ind w:left="980" w:right="240" w:hanging="324"/>
        <w:spacing w:after="0" w:line="250" w:lineRule="auto"/>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Hedging and Pledging Prohibited. </w:t>
      </w:r>
      <w:r>
        <w:rPr>
          <w:rFonts w:ascii="Arial" w:cs="Arial" w:eastAsia="Arial" w:hAnsi="Arial"/>
          <w:sz w:val="18"/>
          <w:szCs w:val="18"/>
          <w:color w:val="auto"/>
        </w:rPr>
        <w:t>We prohibit our employees, including our executive officers, and directors from hedging or pledging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securities; and</w:t>
      </w:r>
    </w:p>
    <w:p>
      <w:pPr>
        <w:ind w:left="980" w:hanging="324"/>
        <w:spacing w:after="0" w:line="261" w:lineRule="auto"/>
        <w:tabs>
          <w:tab w:leader="none" w:pos="98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 Ownership Policy. </w:t>
      </w:r>
      <w:r>
        <w:rPr>
          <w:rFonts w:ascii="Arial" w:cs="Arial" w:eastAsia="Arial" w:hAnsi="Arial"/>
          <w:sz w:val="18"/>
          <w:szCs w:val="18"/>
          <w:color w:val="auto"/>
        </w:rPr>
        <w:t>We maintain a stock ownership policy for our executive officers and directors that require each of them to beneficially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a specified number of shares of our common stock.</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2017 Stockholder Advisory Vote on Executive Compensation</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At our 2017 Annual Meeting of Stockholders, we conducted a stockholder advisory vote on the 2017 compensation of the NEOs (commonly known as a “Say-on-Pay” vote). Our stockholders approved the 2017 compensation of the NEOs, as disclosed in our proxy statement for the 2017 Annual Meeting of Stockholders with approximately 97% of the votes cast in favor of the proposal.</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the NEOs.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Based on the results of a separate stockholder advisory vote on the frequency of future stockholder advisory votes regarding the compensation of the NEOs (commonly known as a “Say-When-on-Pay” vote) conducted at our 2017 Annual Meeting of Stockholders, our Board of Directors determined that we will hold our Say-on-Pay votes on an annual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compensation program is intended to meet three principal objectives:</w:t>
      </w:r>
    </w:p>
    <w:p>
      <w:pPr>
        <w:spacing w:after="0" w:line="225" w:lineRule="exact"/>
        <w:rPr>
          <w:sz w:val="20"/>
          <w:szCs w:val="20"/>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reward and retain our executive officers;</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motivate these individuals to achieve our short-term and long-term corporate goals that enhance stockholder value; and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support our core values and culture by promoting internal equity and external competitiveness.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meet these objectives, we have adopted the following overarching policies:</w:t>
      </w:r>
    </w:p>
    <w:p>
      <w:pPr>
        <w:spacing w:after="0" w:line="225" w:lineRule="exact"/>
        <w:rPr>
          <w:sz w:val="20"/>
          <w:szCs w:val="20"/>
          <w:color w:val="auto"/>
        </w:rPr>
      </w:pPr>
    </w:p>
    <w:p>
      <w:pPr>
        <w:ind w:left="580" w:hanging="248"/>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pay compensation that is competitive with the practices of other leading semiconductor equipment and similar technology companies; and</w:t>
      </w:r>
    </w:p>
    <w:p>
      <w:pPr>
        <w:spacing w:after="0" w:line="34" w:lineRule="exact"/>
        <w:rPr>
          <w:rFonts w:ascii="Arial" w:cs="Arial" w:eastAsia="Arial" w:hAnsi="Arial"/>
          <w:sz w:val="17"/>
          <w:szCs w:val="17"/>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pay for performance by:</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providing a short-term cash incentive opportunity that is based on challenging financial and individual performance objectives for our executive officers; and</w:t>
      </w:r>
    </w:p>
    <w:p>
      <w:pPr>
        <w:jc w:val="both"/>
        <w:ind w:left="980" w:right="220" w:hanging="324"/>
        <w:spacing w:after="0" w:line="323"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providing long-term incentive opportunities in the form of a combination of RSU awards, PSU awards, and/or stock options that enable us to motivate and retain those executive officers with the leadership abilities necessary to create sustainable long-term value for our stockholders.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5" w:name="page26"/>
    <w:bookmarkEnd w:id="25"/>
    <w:p>
      <w:pPr>
        <w:ind w:right="20" w:firstLine="324"/>
        <w:spacing w:after="0" w:line="264" w:lineRule="auto"/>
        <w:rPr>
          <w:sz w:val="20"/>
          <w:szCs w:val="20"/>
          <w:color w:val="auto"/>
        </w:rPr>
      </w:pPr>
      <w:r>
        <w:rPr>
          <w:rFonts w:ascii="Arial" w:cs="Arial" w:eastAsia="Arial" w:hAnsi="Arial"/>
          <w:sz w:val="18"/>
          <w:szCs w:val="18"/>
          <w:color w:val="auto"/>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further described below. Based on its review and assessment, the Compensation Committee from time to time recommends changes in our executive compensation program.</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Compensation Committee reviews our executive compensation program on an annual basis, including each of the elements of compensation provided under the program (other than deferred compensation and 401(k) benefits, which are reviewed from time to time to ensure that benefit levels remain competitive but are not included in the annual determination of our executive officers’ compensation arrangements). In determining the overall compensation arrangements for our executive officers, including the NEOs, as well as the level of each specific element of compensation, the Compensation Committee takes into consideration a number of factors, including the following:</w:t>
      </w:r>
    </w:p>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his own compensation) as described below;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corporate growth and other elements of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individual performance of each executive officer, including his or her achievement of management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the relevant competitive market data, as described below;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skill set, prior experience, and tenure of the executive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role and responsibilities of the executive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past and expected future contribution of the executive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pay consistency for similar positions or skill levels within the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external pressures to attract and retain talent and overall market conditions.</w:t>
      </w:r>
    </w:p>
    <w:p>
      <w:pPr>
        <w:spacing w:after="0" w:line="21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Compensation Committee does not weight these factors in any predetermined manner, nor does it apply any formulas in developing its compensation recommendations. The members of the Compensation Committee consider all of this information in light of their individual experience, knowledge of the Company, knowledge of the competitive market, knowledge of each executive officer, and business judgment in making these recommendations.</w:t>
      </w:r>
    </w:p>
    <w:p>
      <w:pPr>
        <w:spacing w:after="0" w:line="14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Compensation Committee’s authority, duties, and responsibilities are described in its charter, which is reviewed annually and revised and updated as warranted. The charter is available at www.cohu.com in the Investor Information section.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Management</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occasion, the Compensation Committee meets with our CEO and/or our other executive officers and our Vice President of Human Resources to obtain information and recommendations with respect to our executive compensation program, policies, and practices, as well as the compensation arrangements of our executive officers. In 2017, the Compensation Committee met with Dr. Müller, our CEO, who made recommendations to the Compensation Committee on the base salary, target annual cash incentive award opportunities, and long-term incentive compensation for our executive officers, including the NEOs (except with respect to his own compensation). In formulating these recommendations, our CEO used, among other things, competitive market data, an internal equity analysis and individual performance factors. The Compensation Committee considers, but is not bound by and does not always accept, these recommendations with respect to executive compensation. In recent years, the Compensation Committee has changed several of our CEO’s compensation proposals and regularly seeks input from its compensation consultant or data from other independent sources prior to making its decisions.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ind w:right="100" w:firstLine="324"/>
        <w:spacing w:after="0" w:line="264" w:lineRule="auto"/>
        <w:rPr>
          <w:sz w:val="20"/>
          <w:szCs w:val="20"/>
          <w:color w:val="auto"/>
        </w:rPr>
      </w:pPr>
      <w:r>
        <w:rPr>
          <w:rFonts w:ascii="Arial" w:cs="Arial" w:eastAsia="Arial" w:hAnsi="Arial"/>
          <w:sz w:val="18"/>
          <w:szCs w:val="18"/>
          <w:color w:val="auto"/>
        </w:rPr>
        <w:t>In 2017, our CEO attended some of the Compensation Committee’s meetings, but the Compensation Committee also held regular executive sessions not attended by any members of management or non-independent members of our Board of Directors. The Compensation Committee held discussions and made its decisions with respect to our CEO’s compensation without him present.</w:t>
      </w:r>
    </w:p>
    <w:p>
      <w:pPr>
        <w:spacing w:after="0" w:line="181" w:lineRule="exact"/>
        <w:rPr>
          <w:sz w:val="20"/>
          <w:szCs w:val="20"/>
          <w:color w:val="auto"/>
        </w:rPr>
      </w:pPr>
    </w:p>
    <w:p>
      <w:pPr>
        <w:jc w:val="both"/>
        <w:ind w:right="400" w:firstLine="324"/>
        <w:spacing w:after="0" w:line="312" w:lineRule="auto"/>
        <w:rPr>
          <w:sz w:val="20"/>
          <w:szCs w:val="20"/>
          <w:color w:val="auto"/>
        </w:rPr>
      </w:pPr>
      <w:r>
        <w:rPr>
          <w:rFonts w:ascii="Arial" w:cs="Arial" w:eastAsia="Arial" w:hAnsi="Arial"/>
          <w:sz w:val="16"/>
          <w:szCs w:val="16"/>
          <w:color w:val="auto"/>
        </w:rPr>
        <w:t>The Compensation Committee has the ultimate authority to make decisions with respect to the compensation of our executive officers, including the NEOs, but may, if it chooses, delegate any of its responsibilities to subcommittees. The Compensation Committee has authorized our CEO to make base salary adjustments and short-term cash incentive award decisions for all employees other than our executive officers, including the NEOs.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Compensation Consultant</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Compensation Committee has the authority to engage independent advisors to assist in carrying out its responsibilities. In 2017, the Compensation Committee engaged Compensia, a national compensation consulting firm, to advise and assist it on various aspects of executive and director compensation, including base salaries, annual and long-term incentive compensation. The Chair of the Compensation Committee reviewed and approved all payments to Compensia.</w:t>
      </w:r>
    </w:p>
    <w:p>
      <w:pPr>
        <w:spacing w:after="0" w:line="18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It has been the Compensation Committee’s practice to have Compensia prepare a comprehensive executive compensation analysis in alternating years, and update this analysis in interim years only if warranted by changing conditions. Compensia prepared full director and executive compensation analyses in September 2017 and December 2017, respectively. In addition, the Compensation Committee directed Compensia to report on trends in executive and director compensation policies and practices, corporate governance, and to conduct a compensation-related risk assessment of our compensation programs in 2017.</w:t>
      </w:r>
    </w:p>
    <w:p>
      <w:pPr>
        <w:spacing w:after="0" w:line="15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Compensia reports directly to the Compensation Committee, although one or more of its consultants met with management for purposes of gathering information on the compensation proposals that management submitted to the Compensation Committee. The Compensation Committee may replace Compensia or hire additional advisors at any time. Compensia does not provide any other services to us and receives compensation only with respect to the services provided to the Compensation Committee.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has considered the independence of Compensia in light of the rules of the SEC and the listing standards of NASDAQ.</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Based on these rules and standards, the Compensation Committee has concluded that the work performed by Compensia did not raise any conflict of interest.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 Positioning</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arriving at its compensation decisions for our executive officers, including the NEOs, for 2017,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with input from management. In selecting companies for the compensation peer group, the Compensation Committee identified companies in the semiconductor equipment sector that were comparable to us on the basis of revenues, market capitalization, and scope of operations, and which the Compensation Committee believed compete with us for executive talent. For 2017, the compensation peer group consisted of 14 companies. Ultratech was removed in May 2017 due to their being acquired and FARO was added in September 2017. There was a 93% overlap of the companies comprising the compensation peer group with the 2017 Glass-Lewis-identified peer group and a 65% overlap with the 2017 Institutional Shareholder Services (“ISS”) identified peer group.</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2017, the compensation peer group as of March 2017 consisted of the following companies:</w:t>
      </w:r>
    </w:p>
    <w:p>
      <w:pPr>
        <w:sectPr>
          <w:pgSz w:w="11900" w:h="16838" w:orient="portrait"/>
          <w:cols w:equalWidth="0" w:num="1">
            <w:col w:w="11420"/>
          </w:cols>
          <w:pgMar w:left="240" w:top="58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Advanced Energy Industries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Axcelis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Brooks Automation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Cabot Microelectronics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Electro Scientific Industries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FormFactor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Kulicke &amp; Soffa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Nanometrics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Photronics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Rudolph Technologies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Ultra Clean Holdings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Ultratech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Veeco Instruments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Xcerra</w:t>
      </w:r>
    </w:p>
    <w:p>
      <w:pPr>
        <w:spacing w:after="0" w:line="200" w:lineRule="exact"/>
        <w:rPr>
          <w:sz w:val="20"/>
          <w:szCs w:val="20"/>
          <w:color w:val="auto"/>
        </w:rPr>
      </w:pPr>
    </w:p>
    <w:p>
      <w:pPr>
        <w:sectPr>
          <w:pgSz w:w="11900" w:h="16838" w:orient="portrait"/>
          <w:cols w:equalWidth="0" w:num="2">
            <w:col w:w="4680" w:space="720"/>
            <w:col w:w="6020"/>
          </w:cols>
          <w:pgMar w:left="240" w:top="584" w:right="239" w:bottom="1440" w:gutter="0" w:footer="0" w:header="0"/>
          <w:type w:val="continuous"/>
        </w:sectPr>
      </w:pPr>
    </w:p>
    <w:p>
      <w:pPr>
        <w:spacing w:after="0" w:line="1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Generally, data on the compensation practices of the companies in the compensation peer group was gathered by Compensia from publicly-available sources, including publicly available databases. Peer company data is gathered with respect to base salary, target annual bonus opportunities, equity awards (including stock options, RSU awards, and PSU awards), and long-term cash-based awards. In addition, similar data was gathered from the Radford High-Technology Executive Compensation survey for purposes of providing additional perspective in the case of executive positions where the compensation peer group offered a limited number of relevant data points.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Compensation Elements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compensation program consists of six principal elements:</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cash incentive bonus opportunities;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deferred compensation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welfare and health benefits, including a Section 401(k)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perquisites and other personal benefits.</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Compensation Committee has selected these elements because each is considered necessary, appropriate and when combined, are effective, and will continue to be effective, in achieving our compensation objectives.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Compensation Committee reviews the base salaries of our executive officers, including the NEOs, annually and makes adjustments to base salaries as it determines to be necessary or appropriate.</w:t>
      </w:r>
    </w:p>
    <w:p>
      <w:pPr>
        <w:spacing w:after="0" w:line="170"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In February 2017, the Compensation Committee reviewed the base salaries of our executive officers, including the NEOs, taking into consideration a competitive market analysis prepared by Compensia in 2015 and updated in December 2016, and the recommendations of our CEO (except with respect to his own base salary), as well as the other factors described above. Following this review, the Compensation Committee determined, to make merit adjustments to maintain the competitiveness of certain executive officers’ base salaries. The increases for Dr. Müller and Mr. von Fellenberg were above general merit increase market data levels due to the Committee’s intention to reward successful performance and to address the Committee’s view that both salaries were below market salary levels considering the performance, experience and skills of these two individuals.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March 1, 2017, the annual base salaries of the NEOs for 2017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Prior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Base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3"/>
              </w:rPr>
              <w:t>Base</w:t>
            </w: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Salary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Salary</w:t>
            </w:r>
          </w:p>
        </w:tc>
        <w:tc>
          <w:tcPr>
            <w:tcW w:w="1640" w:type="dxa"/>
            <w:vAlign w:val="bottom"/>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535,000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Jeffrey D. Jones</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320,000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329,500</w:t>
            </w: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Thomas D. Kampfer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285,000</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Christopher G. Bohrson</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64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tcBorders>
              <w:bottom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Ian von Fellenberg </w:t>
            </w:r>
            <w:r>
              <w:rPr>
                <w:rFonts w:ascii="Arial" w:cs="Arial" w:eastAsia="Arial" w:hAnsi="Arial"/>
                <w:sz w:val="29"/>
                <w:szCs w:val="29"/>
                <w:color w:val="auto"/>
                <w:vertAlign w:val="superscript"/>
              </w:rPr>
              <w:t>(2)</w:t>
            </w:r>
          </w:p>
        </w:tc>
        <w:tc>
          <w:tcPr>
            <w:tcW w:w="4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223,207</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241,064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ind w:left="480" w:hanging="391"/>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Kampfer began his employment on May 30, 2017 and the salary noted was his starting salary.</w:t>
      </w:r>
    </w:p>
    <w:p>
      <w:pPr>
        <w:spacing w:after="0" w:line="210" w:lineRule="exact"/>
        <w:rPr>
          <w:rFonts w:ascii="Arial" w:cs="Arial" w:eastAsia="Arial" w:hAnsi="Arial"/>
          <w:sz w:val="18"/>
          <w:szCs w:val="18"/>
          <w:color w:val="auto"/>
        </w:rPr>
      </w:pPr>
    </w:p>
    <w:p>
      <w:pPr>
        <w:ind w:left="480" w:right="200" w:hanging="391"/>
        <w:spacing w:after="0" w:line="264"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von Fellenberg is paid in Swiss Francs and the base salary rates above have been converted to U.S. Dollars as required by SEC rules. The salary change percentage was applied to his base salary in Swiss Francs and the year-over-year change in U.S. Dollars as reflected above is impacted by the currency exchange rates in effect at the time of the change.</w:t>
      </w:r>
    </w:p>
    <w:p>
      <w:pPr>
        <w:spacing w:after="0" w:line="1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February 8, 2018, the Compensation Committee, based on the recommendation of Dr. Müller and a review of market salary data performed by Compensia in December 2017, as well as the other factors described above, approved base salary increases for our executive officers including the NEOs. At this same meeting, the Compensation Committee held an executive session without the presence of management or our CEO to discuss his base salary level in relation to the competitive market, and his performance in the role. At this meeting, the Compensation Committee also approved a base salary increase for Dr. Müller to be effective the same date as the other NEO’s annual compensation changes. The increases for Dr. Müller and Messrs. Bohrson and von Fellenberg were above general merit increase market data levels due to the Committee’s intention to reward the strong performance of the executive officers and, in the case of Messrs. Bohrson and von Fellenberg, to address the Committee’s concern for the individuals’ relatively low base salaries in comparison to market salary levels.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w w:val="91"/>
              </w:rPr>
              <w:t>Effective February 12, 2018, the annual base salaries of the NEOs are as follows: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Base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3"/>
              </w:rPr>
              <w:t>Base</w:t>
            </w: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Salary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Salary</w:t>
            </w:r>
          </w:p>
        </w:tc>
        <w:tc>
          <w:tcPr>
            <w:tcW w:w="1640" w:type="dxa"/>
            <w:vAlign w:val="bottom"/>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595,000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Jeffrey D. Jones</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329,500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342,680</w:t>
            </w:r>
          </w:p>
        </w:tc>
        <w:tc>
          <w:tcPr>
            <w:tcW w:w="1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Thomas D. Kampfer</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Christopher G. Bohrson</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277,002</w:t>
            </w:r>
          </w:p>
        </w:tc>
        <w:tc>
          <w:tcPr>
            <w:tcW w:w="16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tcBorders>
              <w:bottom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Ian von Fellenberg </w:t>
            </w:r>
            <w:r>
              <w:rPr>
                <w:rFonts w:ascii="Arial" w:cs="Arial" w:eastAsia="Arial" w:hAnsi="Arial"/>
                <w:sz w:val="29"/>
                <w:szCs w:val="29"/>
                <w:color w:val="auto"/>
                <w:vertAlign w:val="superscript"/>
              </w:rPr>
              <w:t>(1)</w:t>
            </w:r>
          </w:p>
        </w:tc>
        <w:tc>
          <w:tcPr>
            <w:tcW w:w="4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241,064</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277,002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ind w:left="420" w:right="260" w:hanging="331"/>
        <w:spacing w:after="0" w:line="255"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von Fellenberg is paid in Swiss Francs and the base salary rates above have been converted to U.S. Dollars as required by SEC rules. The salary change percentage was applied to his base salary in Swiss Francs and the year-over-year change in U.S. Dollars as reflected above is impacted by the currency exchange rates in effect at the time of the change.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base salaries of the NEOs during 2017 are set forth in the “2017 Summary Compensation Table”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Cash Incentive Bonuses</w:t>
      </w:r>
    </w:p>
    <w:p>
      <w:pPr>
        <w:spacing w:after="0" w:line="225"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Each year, the Compensation Committee approves an annual management incentive plan for our executive officers, including the NEOs, to encourage and award their achievement of our financial and operational objectives as set forth in our annual operating plan. Under this annual management incentive plan, the Compensation Committee establishes a bonus formula that is applied to the actual level of achievement for each of the selected performance measures. The bonus formula is based on the anticipated difficulty and relative importance of achieving the target level for each respective performance measure. Accordingly, the actual bonuses paid, if any, for any given year will vary depending on our actual performance.</w:t>
      </w:r>
    </w:p>
    <w:p>
      <w:pPr>
        <w:spacing w:after="0" w:line="15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To support our retention objectives, typically the annual management incentive plan provides that an executive officer must be an employee when the incentive bonus for the year is paid. The annual management incentive plan provides that the Compensation Committee has the discretion to decrease, but not increase, any bonuses paid under the plan, even if the applicable performance objectives have been achieved. Historically, bonuses have been payable in cash unless an executive officer elects to defer all or part of his bonus into the Cohu, Inc. Deferred Compensation Plan.</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On February 9, 2017, the Compensation Committee adopted the annual management incentive plan for 2017 (the “2017 MIP”). The 2017 MIP was adopted pursuant to the Cohu, Inc. 2005 Equity Incentive Plan (the “2005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Target Annual Cash Incentive Bonus Opportunities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For purposes of the 2017 MIP, our CEO made recommendations to the Compensation Committee with respect to target annual cash incentive bonus opportunities (expressed as a percentage of base salary) for each of our executive officers, including the NEOs (except with respect to his own target annual cash incentive bonus opportunity). The target annual cash incentive bonus opportunities approved by the Compensation Committee for the NEOs, and the range of the potential bonus, as a percentage of base salary, were as follows:</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Range of Possible</w:t>
            </w: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Target Annual Cash</w:t>
            </w:r>
          </w:p>
        </w:tc>
        <w:tc>
          <w:tcPr>
            <w:tcW w:w="20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2017</w:t>
            </w:r>
          </w:p>
        </w:tc>
      </w:tr>
      <w:tr>
        <w:trPr>
          <w:trHeight w:val="23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 Opportunity</w:t>
            </w:r>
          </w:p>
        </w:tc>
        <w:tc>
          <w:tcPr>
            <w:tcW w:w="220" w:type="dxa"/>
            <w:vAlign w:val="bottom"/>
          </w:tcPr>
          <w:p>
            <w:pPr>
              <w:spacing w:after="0"/>
              <w:rPr>
                <w:sz w:val="20"/>
                <w:szCs w:val="20"/>
                <w:color w:val="auto"/>
              </w:rPr>
            </w:pPr>
          </w:p>
        </w:tc>
        <w:tc>
          <w:tcPr>
            <w:tcW w:w="18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Incentive Awards</w:t>
            </w:r>
          </w:p>
        </w:tc>
      </w:tr>
      <w:tr>
        <w:trPr>
          <w:trHeight w:val="210"/>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0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-166.7%</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Jeffrey D. Jones</w:t>
            </w:r>
          </w:p>
        </w:tc>
        <w:tc>
          <w:tcPr>
            <w:tcW w:w="19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0" w:type="dxa"/>
            <w:vAlign w:val="bottom"/>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Thomas D. Kampfer</w:t>
            </w:r>
          </w:p>
        </w:tc>
        <w:tc>
          <w:tcPr>
            <w:tcW w:w="19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Christopher G. Bohrson</w:t>
            </w:r>
          </w:p>
        </w:tc>
        <w:tc>
          <w:tcPr>
            <w:tcW w:w="19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0" w:type="dxa"/>
            <w:vAlign w:val="bottom"/>
          </w:tcPr>
          <w:p>
            <w:pPr>
              <w:ind w:left="20"/>
              <w:spacing w:after="0"/>
              <w:rPr>
                <w:sz w:val="20"/>
                <w:szCs w:val="20"/>
                <w:color w:val="auto"/>
              </w:rPr>
            </w:pPr>
            <w:r>
              <w:rPr>
                <w:rFonts w:ascii="Arial" w:cs="Arial" w:eastAsia="Arial" w:hAnsi="Arial"/>
                <w:sz w:val="18"/>
                <w:szCs w:val="18"/>
                <w:color w:val="auto"/>
              </w:rPr>
              <w:t>-83.3%</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Ian von Fellenberg</w:t>
            </w:r>
          </w:p>
        </w:tc>
        <w:tc>
          <w:tcPr>
            <w:tcW w:w="19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-83.3%</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Performance Measures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For purposes of the annual management incentive plan, the Compensation Committee may select one or more performance measures from a range of performance measures specified in the 2005 Plan. For purposes of the 2017 MIP, the Compensation Committee selected two financial performance measures for our executive officers:</w:t>
      </w:r>
    </w:p>
    <w:p>
      <w:pPr>
        <w:spacing w:after="0" w:line="181" w:lineRule="exact"/>
        <w:rPr>
          <w:sz w:val="20"/>
          <w:szCs w:val="20"/>
          <w:color w:val="auto"/>
        </w:rPr>
      </w:pPr>
    </w:p>
    <w:p>
      <w:pPr>
        <w:ind w:left="580" w:hanging="24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and</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non-GAAP operating income.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right="160" w:firstLine="324"/>
        <w:spacing w:after="0" w:line="259" w:lineRule="auto"/>
        <w:rPr>
          <w:sz w:val="20"/>
          <w:szCs w:val="20"/>
          <w:color w:val="auto"/>
        </w:rPr>
      </w:pPr>
      <w:r>
        <w:rPr>
          <w:rFonts w:ascii="Arial" w:cs="Arial" w:eastAsia="Arial" w:hAnsi="Arial"/>
          <w:sz w:val="18"/>
          <w:szCs w:val="18"/>
          <w:color w:val="auto"/>
        </w:rPr>
        <w:t>The Compensation Committee selected these two performance measures because they believe sales reflect the overall acceptance of the market for our products and Non-GAAP operating income reflects how effectively management delivered our products to our customers during the year. Sales targets were based on our consolidated results for the year, except in the case of Messrs. Bohrson and von Fellenberg whose sales targets were based on their respective business unit results.</w:t>
      </w:r>
    </w:p>
    <w:p>
      <w:pPr>
        <w:spacing w:after="0" w:line="187"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 xml:space="preserve">For purposes of the 2017 MIP, “non-GAAP operating income” was calculated by adjusting our 2017 actual results prepared under GAAP to exclude charges for share-based compensation, the amortization of acquired intangible assets, manufacturing transition costs, employee severance costs, acquisition related costs, fair value adjustment to contingent consideration, purchase accounting inventory step-up included in cost of sales and the reduction of an uncertain tax position liability and related indemnification receivable. This methodology is identical to that used in our quarterly earnings press releases. A reconciliation of GAAP to non-GAAP operating income used for the 2017 MIP is included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proxy statement.</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addition, the Compensation Committee determined that each executive officer’s annual cash incentive bonus would be based, in part, on his individual performance as measured against multiple management objectives, which included, among other things, specific quantitative and qualitative goals in the areas of market expansion, business development, operating and financial performance, and/or new product development.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weighting of these corporate and individual performance measures for purposes of the 2017 MIP for each NEO were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6"/>
              </w:rPr>
              <w:t>Non-GAAP</w:t>
            </w: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5"/>
              </w:rPr>
              <w:t>Individual</w:t>
            </w:r>
          </w:p>
        </w:tc>
      </w:tr>
      <w:tr>
        <w:trPr>
          <w:trHeight w:val="230"/>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200" w:type="dxa"/>
            <w:vAlign w:val="bottom"/>
          </w:tcPr>
          <w:p>
            <w:pPr>
              <w:spacing w:after="0"/>
              <w:rPr>
                <w:sz w:val="19"/>
                <w:szCs w:val="19"/>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Management</w:t>
            </w:r>
          </w:p>
        </w:tc>
      </w:tr>
      <w:tr>
        <w:trPr>
          <w:trHeight w:val="2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Named Executive Officer</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Sales</w:t>
            </w:r>
          </w:p>
        </w:tc>
        <w:tc>
          <w:tcPr>
            <w:tcW w:w="2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Objectives</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c>
          <w:tcPr>
            <w:tcW w:w="20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33%</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Jeffrey D. Jones</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33%</w:t>
            </w:r>
          </w:p>
        </w:tc>
        <w:tc>
          <w:tcPr>
            <w:tcW w:w="200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33%</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33%</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Thomas D. Kampfer</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25%</w:t>
            </w:r>
          </w:p>
        </w:tc>
        <w:tc>
          <w:tcPr>
            <w:tcW w:w="20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25%</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Christopher G. Bohrson</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33%</w:t>
            </w:r>
          </w:p>
        </w:tc>
        <w:tc>
          <w:tcPr>
            <w:tcW w:w="200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33%</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33%</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Ian von Fellenberg</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c>
          <w:tcPr>
            <w:tcW w:w="20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33%</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performance measures and their respective weightings were selected to reflect the principal role and responsibilities of each of our executive officers. The Compensation Committee determined that using our consolidated results for non-GAAP operating income and sales, except as noted above, were appropriate for all executive officers given their responsibilities for the overall success of our business.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to further motivate our executive officers and based on a competitive market analysis prepared by Compensia, the Compensation Committee determined that the following features would apply to the 2017 MIP:</w:t>
      </w:r>
    </w:p>
    <w:p>
      <w:pPr>
        <w:spacing w:after="0" w:line="170" w:lineRule="exact"/>
        <w:rPr>
          <w:sz w:val="20"/>
          <w:szCs w:val="20"/>
          <w:color w:val="auto"/>
        </w:rPr>
      </w:pPr>
    </w:p>
    <w:p>
      <w:pPr>
        <w:ind w:left="580" w:right="60" w:hanging="248"/>
        <w:spacing w:after="0" w:line="256"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respect to the portion of the annual cash incentive bonus related to the sales and non-GAAP operating income performance measures, no amount would be paid unless such sales and non-GAAP operating income were at least 85% and 75%, respectively, of our target levels as reflected in our annual operating plan; and</w:t>
      </w:r>
    </w:p>
    <w:p>
      <w:pPr>
        <w:ind w:left="580" w:right="80" w:hanging="248"/>
        <w:spacing w:after="0" w:line="290" w:lineRule="auto"/>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threshold, target, and maximum performance and payout levels for the sales and non-GAAP operating income performance measures were scaled to provide both greater reward for exceeding our target levels and greater penalty for missing target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109855</wp:posOffset>
            </wp:positionV>
            <wp:extent cx="5801360" cy="158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01360" cy="15875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2017 MIP Scales for Sales and Operating Income</w:t>
      </w:r>
    </w:p>
    <w:p>
      <w:pPr>
        <w:spacing w:after="0" w:line="20" w:lineRule="exact"/>
        <w:rPr>
          <w:sz w:val="20"/>
          <w:szCs w:val="20"/>
          <w:color w:val="auto"/>
        </w:rPr>
      </w:pPr>
    </w:p>
    <w:tbl>
      <w:tblPr>
        <w:tblLayout w:type="fixed"/>
        <w:tblInd w:w="1170" w:type="dxa"/>
        <w:tblCellMar>
          <w:top w:w="0" w:type="dxa"/>
          <w:left w:w="0" w:type="dxa"/>
          <w:bottom w:w="0" w:type="dxa"/>
          <w:right w:w="0" w:type="dxa"/>
        </w:tblCellMar>
      </w:tblPr>
      <w:tr>
        <w:trPr>
          <w:trHeight w:val="213"/>
        </w:trPr>
        <w:tc>
          <w:tcPr>
            <w:tcW w:w="3660" w:type="dxa"/>
            <w:vAlign w:val="bottom"/>
            <w:tcBorders>
              <w:top w:val="single" w:sz="8" w:color="auto"/>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Performance to Sale Target</w:t>
            </w:r>
          </w:p>
        </w:tc>
        <w:tc>
          <w:tcPr>
            <w:tcW w:w="1820" w:type="dxa"/>
            <w:vAlign w:val="bottom"/>
            <w:tcBorders>
              <w:top w:val="single" w:sz="8" w:color="auto"/>
              <w:bottom w:val="single" w:sz="8" w:color="auto"/>
              <w:right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&lt;85%</w:t>
            </w:r>
          </w:p>
        </w:tc>
        <w:tc>
          <w:tcPr>
            <w:tcW w:w="1820" w:type="dxa"/>
            <w:vAlign w:val="bottom"/>
            <w:tcBorders>
              <w:top w:val="single" w:sz="8" w:color="auto"/>
              <w:bottom w:val="single" w:sz="8" w:color="auto"/>
              <w:right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85 - 130%</w:t>
            </w:r>
          </w:p>
        </w:tc>
        <w:tc>
          <w:tcPr>
            <w:tcW w:w="184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&gt;130%</w:t>
            </w:r>
          </w:p>
        </w:tc>
      </w:tr>
      <w:tr>
        <w:trPr>
          <w:trHeight w:val="210"/>
        </w:trPr>
        <w:tc>
          <w:tcPr>
            <w:tcW w:w="36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Payout Level Earned</w:t>
            </w:r>
          </w:p>
        </w:tc>
        <w:tc>
          <w:tcPr>
            <w:tcW w:w="18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None</w:t>
            </w:r>
          </w:p>
        </w:tc>
        <w:tc>
          <w:tcPr>
            <w:tcW w:w="182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50 - 200%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10"/>
        </w:trPr>
        <w:tc>
          <w:tcPr>
            <w:tcW w:w="3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Performance to Operating Income Target</w:t>
            </w:r>
          </w:p>
        </w:tc>
        <w:tc>
          <w:tcPr>
            <w:tcW w:w="1820" w:type="dxa"/>
            <w:vAlign w:val="bottom"/>
            <w:tcBorders>
              <w:bottom w:val="single" w:sz="8" w:color="auto"/>
              <w:right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&lt;75%</w:t>
            </w:r>
          </w:p>
        </w:tc>
        <w:tc>
          <w:tcPr>
            <w:tcW w:w="1820" w:type="dxa"/>
            <w:vAlign w:val="bottom"/>
            <w:tcBorders>
              <w:bottom w:val="single" w:sz="8" w:color="auto"/>
              <w:right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75 - 150%</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&gt;150%</w:t>
            </w:r>
          </w:p>
        </w:tc>
      </w:tr>
      <w:tr>
        <w:trPr>
          <w:trHeight w:val="210"/>
        </w:trPr>
        <w:tc>
          <w:tcPr>
            <w:tcW w:w="36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Payout Level Earned</w:t>
            </w:r>
          </w:p>
        </w:tc>
        <w:tc>
          <w:tcPr>
            <w:tcW w:w="18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None</w:t>
            </w:r>
          </w:p>
        </w:tc>
        <w:tc>
          <w:tcPr>
            <w:tcW w:w="182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50 - 200%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bl>
    <w:p>
      <w:pPr>
        <w:spacing w:after="0" w:line="202" w:lineRule="exact"/>
        <w:rPr>
          <w:sz w:val="20"/>
          <w:szCs w:val="20"/>
          <w:color w:val="auto"/>
        </w:rPr>
      </w:pPr>
    </w:p>
    <w:p>
      <w:pPr>
        <w:jc w:val="both"/>
        <w:ind w:right="260" w:firstLine="324"/>
        <w:spacing w:after="0" w:line="288" w:lineRule="auto"/>
        <w:rPr>
          <w:sz w:val="20"/>
          <w:szCs w:val="20"/>
          <w:color w:val="auto"/>
        </w:rPr>
      </w:pPr>
      <w:r>
        <w:rPr>
          <w:rFonts w:ascii="Arial" w:cs="Arial" w:eastAsia="Arial" w:hAnsi="Arial"/>
          <w:sz w:val="16"/>
          <w:szCs w:val="16"/>
          <w:color w:val="auto"/>
        </w:rPr>
        <w:t>To ensure that the annual cash incentive bonuses served our goal of increasing stockholder value and because the Compensation Committee wanted to pay bonuses at above target levels only upon the achievement of what it considered to be exceptional target performance, it determined that the maximum annual cash incentive bonus for any executive officer would be payable only if the actual performance significantly exceeded our target operating results.</w:t>
      </w:r>
    </w:p>
    <w:p>
      <w:pPr>
        <w:ind w:right="120"/>
        <w:spacing w:after="0" w:line="255" w:lineRule="auto"/>
        <w:rPr>
          <w:sz w:val="20"/>
          <w:szCs w:val="20"/>
          <w:color w:val="auto"/>
        </w:rPr>
      </w:pPr>
      <w:r>
        <w:rPr>
          <w:rFonts w:ascii="Arial" w:cs="Arial" w:eastAsia="Arial" w:hAnsi="Arial"/>
          <w:sz w:val="18"/>
          <w:szCs w:val="18"/>
          <w:color w:val="auto"/>
        </w:rPr>
        <w:t>Accordingly, if our actual results for 2017 exceeded the applicable target level for sales and non-GAAP operating income, each portion of their target annual cash incentive bonus opportunity subject to those performance measures could have been increased up to an amount that was two times the target cash incentive bonus opportunity subject to those measures.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ind w:right="200" w:firstLine="324"/>
        <w:spacing w:after="0" w:line="264" w:lineRule="auto"/>
        <w:rPr>
          <w:sz w:val="20"/>
          <w:szCs w:val="20"/>
          <w:color w:val="auto"/>
        </w:rPr>
      </w:pPr>
      <w:r>
        <w:rPr>
          <w:rFonts w:ascii="Arial" w:cs="Arial" w:eastAsia="Arial" w:hAnsi="Arial"/>
          <w:sz w:val="18"/>
          <w:szCs w:val="18"/>
          <w:color w:val="auto"/>
        </w:rPr>
        <w:t>Payouts for performance between the threshold and maximum performance levels were to be determined on a linear basis. However, no bonus with respect to the sales performance measures would be paid if the Company reported a non-GAAP operating loss. Finally, as provided under the 2005 Plan, no performance bonus may exceed $1 million in any fiscal year.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Individual Performance Objectives</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For purposes of the 2017 MIP, the Compensation Committee selected individual performance objectives for our CEO and our other executive officers that reflected their responsibilities for the overall management of the Company. These performance objectives for each NEO are set forth in the table below.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Performance Measure Target Levels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With respect to the target levels for sales and non-GAAP operating income, the Compensation Committee believed that, at the time the target level for each performance measure was set, these target levels would be challenging and difficult, but achievable under normal business conditions with significant effort and skill. For 2017, the Compensation Committee expected that these target levels would be difficult to achieve because they would require delivery of results in uncertain market conditions, adroitly executing our business strategy, the development and acceptance by customers of new products, and successful entry into certain new markets in a highly competitive and volatile environment. In addition, the Compensation Committee set the 2017 sales and non-GAAP operating income targets at levels significantly higher than those achieved in 2016.</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purposes of the 2017 MIP, the target levels for Company sales and non-GAAP operating income are set forth in the following table, which also summarizes the individual performance objectives for each NEO. The sales target levels for Messrs. Bohrson and von Fellenberg were based on their respective business units, and since we do not report financial results at the business unit level, these specific target levels and results have not been disclosed. These activities were determined to be challenging to achieve due to the highly competitive markets in which we operate and the impact that achievement of the objectives would have on our business results.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00" w:type="dxa"/>
            <w:vAlign w:val="bottom"/>
            <w:tcBorders>
              <w:top w:val="single" w:sz="8" w:color="auto"/>
              <w:left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5380" w:type="dxa"/>
            <w:vAlign w:val="bottom"/>
            <w:tcBorders>
              <w:top w:val="single" w:sz="8" w:color="auto"/>
              <w:bottom w:val="single" w:sz="8" w:color="auto"/>
              <w:right w:val="single" w:sz="8" w:color="CCEEFF"/>
            </w:tcBorders>
            <w:gridSpan w:val="3"/>
            <w:shd w:val="clear" w:color="auto" w:fill="CCEEFF"/>
          </w:tcPr>
          <w:p>
            <w:pPr>
              <w:ind w:left="1240"/>
              <w:spacing w:after="0"/>
              <w:rPr>
                <w:sz w:val="20"/>
                <w:szCs w:val="20"/>
                <w:color w:val="auto"/>
              </w:rPr>
            </w:pPr>
            <w:r>
              <w:rPr>
                <w:rFonts w:ascii="Arial" w:cs="Arial" w:eastAsia="Arial" w:hAnsi="Arial"/>
                <w:sz w:val="18"/>
                <w:szCs w:val="18"/>
                <w:b w:val="1"/>
                <w:bCs w:val="1"/>
                <w:color w:val="auto"/>
                <w:w w:val="99"/>
              </w:rPr>
              <w:t>2017 MIP Performance Measures and Objectives</w:t>
            </w:r>
          </w:p>
        </w:tc>
        <w:tc>
          <w:tcPr>
            <w:tcW w:w="1540" w:type="dxa"/>
            <w:vAlign w:val="bottom"/>
            <w:tcBorders>
              <w:top w:val="single" w:sz="8" w:color="auto"/>
              <w:bottom w:val="single" w:sz="8" w:color="auto"/>
            </w:tcBorders>
            <w:shd w:val="clear" w:color="auto" w:fill="CCEEFF"/>
          </w:tcPr>
          <w:p>
            <w:pPr>
              <w:spacing w:after="0"/>
              <w:rPr>
                <w:sz w:val="19"/>
                <w:szCs w:val="19"/>
                <w:color w:val="auto"/>
              </w:rPr>
            </w:pPr>
          </w:p>
        </w:tc>
        <w:tc>
          <w:tcPr>
            <w:tcW w:w="18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r>
      <w:tr>
        <w:trPr>
          <w:trHeight w:val="213"/>
        </w:trPr>
        <w:tc>
          <w:tcPr>
            <w:tcW w:w="24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Goals (as defined)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Dr. Müller</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Mr. Jones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Mr. Bohrson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Mr. Kampfer</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Mr. von Fellenberg</w:t>
            </w:r>
          </w:p>
        </w:tc>
      </w:tr>
      <w:tr>
        <w:trPr>
          <w:trHeight w:val="195"/>
        </w:trPr>
        <w:tc>
          <w:tcPr>
            <w:tcW w:w="2480" w:type="dxa"/>
            <w:vAlign w:val="bottom"/>
            <w:tcBorders>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Sales (Target)</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$301.6 million</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$301.6 million</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Confidential</w:t>
            </w: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w w:val="95"/>
              </w:rPr>
              <w:t>$301.6 million</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Confidential</w:t>
            </w:r>
          </w:p>
        </w:tc>
      </w:tr>
      <w:tr>
        <w:trPr>
          <w:trHeight w:val="216"/>
        </w:trPr>
        <w:tc>
          <w:tcPr>
            <w:tcW w:w="2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Non-GAAP Operating Income</w:t>
            </w:r>
          </w:p>
        </w:tc>
        <w:tc>
          <w:tcPr>
            <w:tcW w:w="22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30"/>
        </w:trPr>
        <w:tc>
          <w:tcPr>
            <w:tcW w:w="24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$32.7 million</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$32.7 million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$32.7 million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$32.7 million</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$32.7 million</w:t>
            </w:r>
          </w:p>
        </w:tc>
      </w:tr>
      <w:tr>
        <w:trPr>
          <w:trHeight w:val="195"/>
        </w:trPr>
        <w:tc>
          <w:tcPr>
            <w:tcW w:w="2480" w:type="dxa"/>
            <w:vAlign w:val="bottom"/>
            <w:tcBorders>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Personal Objective #1</w:t>
            </w:r>
          </w:p>
        </w:tc>
        <w:tc>
          <w:tcPr>
            <w:tcW w:w="2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Profitably grow with new</w:t>
            </w:r>
          </w:p>
        </w:tc>
        <w:tc>
          <w:tcPr>
            <w:tcW w:w="1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Implement new</w:t>
            </w:r>
          </w:p>
        </w:tc>
        <w:tc>
          <w:tcPr>
            <w:tcW w:w="15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Develop next</w:t>
            </w:r>
          </w:p>
        </w:tc>
        <w:tc>
          <w:tcPr>
            <w:tcW w:w="1540" w:type="dxa"/>
            <w:vAlign w:val="bottom"/>
          </w:tcPr>
          <w:p>
            <w:pPr>
              <w:spacing w:after="0" w:line="195" w:lineRule="exact"/>
              <w:rPr>
                <w:sz w:val="20"/>
                <w:szCs w:val="20"/>
                <w:color w:val="auto"/>
              </w:rPr>
            </w:pPr>
            <w:r>
              <w:rPr>
                <w:rFonts w:ascii="Arial" w:cs="Arial" w:eastAsia="Arial" w:hAnsi="Arial"/>
                <w:sz w:val="18"/>
                <w:szCs w:val="18"/>
                <w:color w:val="auto"/>
              </w:rPr>
              <w:t>Execute corporate</w:t>
            </w:r>
          </w:p>
        </w:tc>
        <w:tc>
          <w:tcPr>
            <w:tcW w:w="1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Grow turret share at</w:t>
            </w:r>
          </w:p>
        </w:tc>
      </w:tr>
      <w:tr>
        <w:trPr>
          <w:trHeight w:val="216"/>
        </w:trPr>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products aligned to end-</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systems to simplify</w:t>
            </w:r>
          </w:p>
        </w:tc>
        <w:tc>
          <w:tcPr>
            <w:tcW w:w="1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generation pick &amp;</w:t>
            </w:r>
          </w:p>
        </w:tc>
        <w:tc>
          <w:tcPr>
            <w:tcW w:w="1540" w:type="dxa"/>
            <w:vAlign w:val="bottom"/>
          </w:tcPr>
          <w:p>
            <w:pPr>
              <w:spacing w:after="0"/>
              <w:rPr>
                <w:sz w:val="20"/>
                <w:szCs w:val="20"/>
                <w:color w:val="auto"/>
              </w:rPr>
            </w:pPr>
            <w:r>
              <w:rPr>
                <w:rFonts w:ascii="Arial" w:cs="Arial" w:eastAsia="Arial" w:hAnsi="Arial"/>
                <w:sz w:val="18"/>
                <w:szCs w:val="18"/>
                <w:color w:val="auto"/>
              </w:rPr>
              <w:t>development</w:t>
            </w:r>
          </w:p>
        </w:tc>
        <w:tc>
          <w:tcPr>
            <w:tcW w:w="1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existing and target new</w:t>
            </w:r>
          </w:p>
        </w:tc>
      </w:tr>
      <w:tr>
        <w:trPr>
          <w:trHeight w:val="230"/>
        </w:trPr>
        <w:tc>
          <w:tcPr>
            <w:tcW w:w="18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application markets.</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business</w:t>
            </w: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place handler.</w:t>
            </w: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projects.</w:t>
            </w: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customers.</w:t>
            </w:r>
          </w:p>
        </w:tc>
      </w:tr>
      <w:tr>
        <w:trPr>
          <w:trHeight w:val="195"/>
        </w:trPr>
        <w:tc>
          <w:tcPr>
            <w:tcW w:w="2480" w:type="dxa"/>
            <w:vAlign w:val="bottom"/>
            <w:tcBorders>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Personal Objective #2</w:t>
            </w:r>
          </w:p>
        </w:tc>
        <w:tc>
          <w:tcPr>
            <w:tcW w:w="2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Execute operational</w:t>
            </w:r>
          </w:p>
        </w:tc>
        <w:tc>
          <w:tcPr>
            <w:tcW w:w="1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Optimize financial</w:t>
            </w:r>
          </w:p>
        </w:tc>
        <w:tc>
          <w:tcPr>
            <w:tcW w:w="15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Secure pick &amp; place</w:t>
            </w:r>
          </w:p>
        </w:tc>
        <w:tc>
          <w:tcPr>
            <w:tcW w:w="1540" w:type="dxa"/>
            <w:vAlign w:val="bottom"/>
          </w:tcPr>
          <w:p>
            <w:pPr>
              <w:spacing w:after="0" w:line="195" w:lineRule="exact"/>
              <w:rPr>
                <w:sz w:val="20"/>
                <w:szCs w:val="20"/>
                <w:color w:val="auto"/>
              </w:rPr>
            </w:pPr>
            <w:r>
              <w:rPr>
                <w:rFonts w:ascii="Arial" w:cs="Arial" w:eastAsia="Arial" w:hAnsi="Arial"/>
                <w:sz w:val="18"/>
                <w:szCs w:val="18"/>
                <w:color w:val="auto"/>
              </w:rPr>
              <w:t>Harmonize global</w:t>
            </w:r>
          </w:p>
        </w:tc>
        <w:tc>
          <w:tcPr>
            <w:tcW w:w="1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Successfully introduce</w:t>
            </w:r>
          </w:p>
        </w:tc>
      </w:tr>
      <w:tr>
        <w:trPr>
          <w:trHeight w:val="216"/>
        </w:trPr>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standardization and quality</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processes.</w:t>
            </w:r>
          </w:p>
        </w:tc>
        <w:tc>
          <w:tcPr>
            <w:tcW w:w="1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 at key and</w:t>
            </w:r>
          </w:p>
        </w:tc>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policies and optimizenew WLCSP prober.</w:t>
            </w:r>
          </w:p>
        </w:tc>
      </w:tr>
      <w:tr>
        <w:trPr>
          <w:trHeight w:val="230"/>
        </w:trPr>
        <w:tc>
          <w:tcPr>
            <w:tcW w:w="18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excellence.</w:t>
            </w: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focus accounts.</w:t>
            </w: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legal function.</w:t>
            </w:r>
          </w:p>
        </w:tc>
        <w:tc>
          <w:tcPr>
            <w:tcW w:w="1820" w:type="dxa"/>
            <w:vAlign w:val="bottom"/>
            <w:tcBorders>
              <w:bottom w:val="single" w:sz="8" w:color="auto"/>
              <w:right w:val="single" w:sz="8" w:color="auto"/>
            </w:tcBorders>
          </w:tcPr>
          <w:p>
            <w:pPr>
              <w:spacing w:after="0"/>
              <w:rPr>
                <w:sz w:val="20"/>
                <w:szCs w:val="20"/>
                <w:color w:val="auto"/>
              </w:rPr>
            </w:pPr>
          </w:p>
        </w:tc>
      </w:tr>
      <w:tr>
        <w:trPr>
          <w:trHeight w:val="195"/>
        </w:trPr>
        <w:tc>
          <w:tcPr>
            <w:tcW w:w="2480" w:type="dxa"/>
            <w:vAlign w:val="bottom"/>
            <w:tcBorders>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Personal Objective #3</w:t>
            </w:r>
          </w:p>
        </w:tc>
        <w:tc>
          <w:tcPr>
            <w:tcW w:w="2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Drive strategic corporate</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Grow pick &amp; place</w:t>
            </w:r>
          </w:p>
        </w:tc>
        <w:tc>
          <w:tcPr>
            <w:tcW w:w="154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216"/>
        </w:trPr>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development projects.</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 with new</w:t>
            </w:r>
          </w:p>
        </w:tc>
        <w:tc>
          <w:tcPr>
            <w:tcW w:w="1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Eclipse</w:t>
            </w:r>
          </w:p>
        </w:tc>
        <w:tc>
          <w:tcPr>
            <w:tcW w:w="1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30"/>
        </w:trPr>
        <w:tc>
          <w:tcPr>
            <w:tcW w:w="18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configurations.</w:t>
            </w:r>
          </w:p>
        </w:tc>
        <w:tc>
          <w:tcPr>
            <w:tcW w:w="1540" w:type="dxa"/>
            <w:vAlign w:val="bottom"/>
            <w:tcBorders>
              <w:bottom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r>
      <w:tr>
        <w:trPr>
          <w:trHeight w:val="385"/>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Annual Bonus Decisions</w:t>
            </w: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-2231390</wp:posOffset>
            </wp:positionV>
            <wp:extent cx="8890" cy="19742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974215"/>
                    </a:xfrm>
                    <a:prstGeom prst="rect">
                      <a:avLst/>
                    </a:prstGeom>
                    <a:noFill/>
                  </pic:spPr>
                </pic:pic>
              </a:graphicData>
            </a:graphic>
          </wp:anchor>
        </w:drawing>
      </w:r>
    </w:p>
    <w:p>
      <w:pPr>
        <w:spacing w:after="0" w:line="20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Following the end of 2017, the Compensation Committee compared our actual financial performance to the target performance levels established for the year, and applied the bonus formula under the 2017 MIP to this actual performance. In addition, the Compensation Committee determined that the NEOs had achieved a majority of their individual performance objectives for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Based on these determinations, the annual cash incentive bonuses paid to the NEOs for 2017 were as follows:</w:t>
      </w:r>
    </w:p>
    <w:p>
      <w:pPr>
        <w:spacing w:after="0" w:line="23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Actual Achievement of 2017 MIP Performance Measures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061835" cy="295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61835" cy="295910"/>
                    </a:xfrm>
                    <a:prstGeom prst="rect">
                      <a:avLst/>
                    </a:prstGeom>
                    <a:noFill/>
                  </pic:spPr>
                </pic:pic>
              </a:graphicData>
            </a:graphic>
          </wp:anchor>
        </w:drawing>
      </w:r>
    </w:p>
    <w:p>
      <w:pPr>
        <w:spacing w:after="0" w:line="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(as defined)</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298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Dr. Müller</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Mr. Jones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Mr. Bohrson</w:t>
            </w: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7"/>
              </w:rPr>
              <w:t>Mr. Kampfer</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Mr. von Fellenberg</w:t>
            </w:r>
          </w:p>
        </w:tc>
        <w:tc>
          <w:tcPr>
            <w:tcW w:w="0" w:type="dxa"/>
            <w:vAlign w:val="bottom"/>
          </w:tcPr>
          <w:p>
            <w:pPr>
              <w:spacing w:after="0"/>
              <w:rPr>
                <w:sz w:val="1"/>
                <w:szCs w:val="1"/>
                <w:color w:val="auto"/>
              </w:rPr>
            </w:pPr>
          </w:p>
        </w:tc>
      </w:tr>
      <w:tr>
        <w:trPr>
          <w:trHeight w:val="195"/>
        </w:trPr>
        <w:tc>
          <w:tcPr>
            <w:tcW w:w="29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Sales (Actual)</w:t>
            </w:r>
          </w:p>
        </w:tc>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$352.7 million</w:t>
            </w:r>
          </w:p>
        </w:tc>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$352.7 million</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Confidential</w:t>
            </w:r>
          </w:p>
        </w:tc>
        <w:tc>
          <w:tcPr>
            <w:tcW w:w="160" w:type="dxa"/>
            <w:vAlign w:val="bottom"/>
          </w:tcPr>
          <w:p>
            <w:pPr>
              <w:spacing w:after="0"/>
              <w:rPr>
                <w:sz w:val="16"/>
                <w:szCs w:val="16"/>
                <w:color w:val="auto"/>
              </w:rPr>
            </w:pPr>
          </w:p>
        </w:tc>
        <w:tc>
          <w:tcPr>
            <w:tcW w:w="1420" w:type="dxa"/>
            <w:vAlign w:val="bottom"/>
            <w:tcBorders>
              <w:right w:val="single" w:sz="8" w:color="auto"/>
            </w:tcBorders>
          </w:tcPr>
          <w:p>
            <w:pPr>
              <w:jc w:val="center"/>
              <w:ind w:right="110"/>
              <w:spacing w:after="0" w:line="195" w:lineRule="exact"/>
              <w:rPr>
                <w:sz w:val="20"/>
                <w:szCs w:val="20"/>
                <w:color w:val="auto"/>
              </w:rPr>
            </w:pPr>
            <w:r>
              <w:rPr>
                <w:rFonts w:ascii="Arial" w:cs="Arial" w:eastAsia="Arial" w:hAnsi="Arial"/>
                <w:sz w:val="18"/>
                <w:szCs w:val="18"/>
                <w:color w:val="auto"/>
                <w:w w:val="95"/>
              </w:rPr>
              <w:t>$352.7 million</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Confidential</w:t>
            </w:r>
          </w:p>
        </w:tc>
        <w:tc>
          <w:tcPr>
            <w:tcW w:w="0" w:type="dxa"/>
            <w:vAlign w:val="bottom"/>
          </w:tcPr>
          <w:p>
            <w:pPr>
              <w:spacing w:after="0"/>
              <w:rPr>
                <w:sz w:val="1"/>
                <w:szCs w:val="1"/>
                <w:color w:val="auto"/>
              </w:rPr>
            </w:pPr>
          </w:p>
        </w:tc>
      </w:tr>
      <w:tr>
        <w:trPr>
          <w:trHeight w:val="230"/>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Goal Payout %</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156%</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164%</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156%</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160%</w:t>
            </w:r>
          </w:p>
        </w:tc>
        <w:tc>
          <w:tcPr>
            <w:tcW w:w="0" w:type="dxa"/>
            <w:vAlign w:val="bottom"/>
          </w:tcPr>
          <w:p>
            <w:pPr>
              <w:spacing w:after="0"/>
              <w:rPr>
                <w:sz w:val="1"/>
                <w:szCs w:val="1"/>
                <w:color w:val="auto"/>
              </w:rPr>
            </w:pPr>
          </w:p>
        </w:tc>
      </w:tr>
      <w:tr>
        <w:trPr>
          <w:trHeight w:val="195"/>
        </w:trPr>
        <w:tc>
          <w:tcPr>
            <w:tcW w:w="29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Non-GAAP Operating</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Income (Actual)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$50.9 million</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$50.9 million</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$50.9 million</w:t>
            </w:r>
          </w:p>
        </w:tc>
        <w:tc>
          <w:tcPr>
            <w:tcW w:w="160" w:type="dxa"/>
            <w:vAlign w:val="bottom"/>
          </w:tcPr>
          <w:p>
            <w:pPr>
              <w:spacing w:after="0"/>
              <w:rPr>
                <w:sz w:val="18"/>
                <w:szCs w:val="18"/>
                <w:color w:val="auto"/>
              </w:rPr>
            </w:pPr>
          </w:p>
        </w:tc>
        <w:tc>
          <w:tcPr>
            <w:tcW w:w="14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4"/>
              </w:rPr>
              <w:t>$50.9 million</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$50.9 million</w:t>
            </w:r>
          </w:p>
        </w:tc>
        <w:tc>
          <w:tcPr>
            <w:tcW w:w="0" w:type="dxa"/>
            <w:vAlign w:val="bottom"/>
          </w:tcPr>
          <w:p>
            <w:pPr>
              <w:spacing w:after="0"/>
              <w:rPr>
                <w:sz w:val="1"/>
                <w:szCs w:val="1"/>
                <w:color w:val="auto"/>
              </w:rPr>
            </w:pPr>
          </w:p>
        </w:tc>
      </w:tr>
      <w:tr>
        <w:trPr>
          <w:trHeight w:val="230"/>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Goal Payout %</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200%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95"/>
        </w:trPr>
        <w:tc>
          <w:tcPr>
            <w:tcW w:w="29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Personal Goal #1</w:t>
            </w:r>
          </w:p>
        </w:tc>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81%</w:t>
            </w:r>
          </w:p>
        </w:tc>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75%</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90%</w:t>
            </w:r>
          </w:p>
        </w:tc>
        <w:tc>
          <w:tcPr>
            <w:tcW w:w="160" w:type="dxa"/>
            <w:vAlign w:val="bottom"/>
          </w:tcPr>
          <w:p>
            <w:pPr>
              <w:spacing w:after="0"/>
              <w:rPr>
                <w:sz w:val="16"/>
                <w:szCs w:val="16"/>
                <w:color w:val="auto"/>
              </w:rPr>
            </w:pPr>
          </w:p>
        </w:tc>
        <w:tc>
          <w:tcPr>
            <w:tcW w:w="1420" w:type="dxa"/>
            <w:vAlign w:val="bottom"/>
            <w:tcBorders>
              <w:right w:val="single" w:sz="8" w:color="auto"/>
            </w:tcBorders>
          </w:tcPr>
          <w:p>
            <w:pPr>
              <w:jc w:val="center"/>
              <w:ind w:right="90"/>
              <w:spacing w:after="0" w:line="195" w:lineRule="exact"/>
              <w:rPr>
                <w:sz w:val="20"/>
                <w:szCs w:val="20"/>
                <w:color w:val="auto"/>
              </w:rPr>
            </w:pPr>
            <w:r>
              <w:rPr>
                <w:rFonts w:ascii="Arial" w:cs="Arial" w:eastAsia="Arial" w:hAnsi="Arial"/>
                <w:sz w:val="18"/>
                <w:szCs w:val="18"/>
                <w:color w:val="auto"/>
                <w:w w:val="88"/>
              </w:rPr>
              <w:t>95%</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Personal Goal #2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93%</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w:t>
            </w:r>
          </w:p>
        </w:tc>
        <w:tc>
          <w:tcPr>
            <w:tcW w:w="160" w:type="dxa"/>
            <w:vAlign w:val="bottom"/>
          </w:tcPr>
          <w:p>
            <w:pPr>
              <w:spacing w:after="0"/>
              <w:rPr>
                <w:sz w:val="18"/>
                <w:szCs w:val="18"/>
                <w:color w:val="auto"/>
              </w:rPr>
            </w:pPr>
          </w:p>
        </w:tc>
        <w:tc>
          <w:tcPr>
            <w:tcW w:w="14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230"/>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Personal Goal #3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95%</w:t>
            </w:r>
          </w:p>
        </w:tc>
        <w:tc>
          <w:tcPr>
            <w:tcW w:w="1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Personal Goal Achievement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88%</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92%</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8"/>
              </w:rPr>
              <w:t>98%</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90%</w:t>
            </w:r>
          </w:p>
        </w:tc>
        <w:tc>
          <w:tcPr>
            <w:tcW w:w="0" w:type="dxa"/>
            <w:vAlign w:val="bottom"/>
          </w:tcPr>
          <w:p>
            <w:pPr>
              <w:spacing w:after="0"/>
              <w:rPr>
                <w:sz w:val="1"/>
                <w:szCs w:val="1"/>
                <w:color w:val="auto"/>
              </w:rPr>
            </w:pPr>
          </w:p>
        </w:tc>
      </w:tr>
      <w:tr>
        <w:trPr>
          <w:trHeight w:val="210"/>
        </w:trPr>
        <w:tc>
          <w:tcPr>
            <w:tcW w:w="2980" w:type="dxa"/>
            <w:vAlign w:val="bottom"/>
            <w:tcBorders>
              <w:left w:val="single" w:sz="8" w:color="CCEEFF"/>
              <w:bottom w:val="single" w:sz="8" w:color="auto"/>
              <w:right w:val="single" w:sz="8" w:color="CCEEFF"/>
            </w:tcBorders>
            <w:shd w:val="clear" w:color="auto" w:fill="CCEEFF"/>
          </w:tcPr>
          <w:p>
            <w:pPr>
              <w:spacing w:after="0"/>
              <w:rPr>
                <w:sz w:val="18"/>
                <w:szCs w:val="18"/>
                <w:color w:val="auto"/>
              </w:rPr>
            </w:pPr>
          </w:p>
        </w:tc>
        <w:tc>
          <w:tcPr>
            <w:tcW w:w="5040" w:type="dxa"/>
            <w:vAlign w:val="bottom"/>
            <w:tcBorders>
              <w:bottom w:val="single" w:sz="8" w:color="auto"/>
            </w:tcBorders>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Actual Amount of Fiscal 2017 Annual Cash Incentive Bonuses</w:t>
            </w:r>
          </w:p>
        </w:tc>
        <w:tc>
          <w:tcPr>
            <w:tcW w:w="1420" w:type="dxa"/>
            <w:vAlign w:val="bottom"/>
            <w:tcBorders>
              <w:bottom w:val="single" w:sz="8" w:color="auto"/>
              <w:right w:val="single" w:sz="8" w:color="CCEEFF"/>
            </w:tcBorders>
            <w:shd w:val="clear" w:color="auto" w:fill="CCEEFF"/>
          </w:tcPr>
          <w:p>
            <w:pPr>
              <w:spacing w:after="0"/>
              <w:rPr>
                <w:sz w:val="18"/>
                <w:szCs w:val="18"/>
                <w:color w:val="auto"/>
              </w:rPr>
            </w:pPr>
          </w:p>
        </w:tc>
        <w:tc>
          <w:tcPr>
            <w:tcW w:w="1680" w:type="dxa"/>
            <w:vAlign w:val="bottom"/>
            <w:tcBorders>
              <w:bottom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Annual Cash Incentive</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4"/>
              </w:rPr>
              <w:t xml:space="preserve">$114,803 </w:t>
            </w:r>
            <w:r>
              <w:rPr>
                <w:rFonts w:ascii="Arial" w:cs="Arial" w:eastAsia="Arial" w:hAnsi="Arial"/>
                <w:sz w:val="30"/>
                <w:szCs w:val="30"/>
                <w:color w:val="auto"/>
                <w:w w:val="84"/>
                <w:vertAlign w:val="superscript"/>
              </w:rPr>
              <w:t>(1)</w:t>
            </w: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Bonus Payment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$794,361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$292,884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$190,171</w:t>
            </w:r>
          </w:p>
        </w:tc>
        <w:tc>
          <w:tcPr>
            <w:tcW w:w="160" w:type="dxa"/>
            <w:vAlign w:val="bottom"/>
          </w:tcPr>
          <w:p>
            <w:pPr>
              <w:spacing w:after="0"/>
              <w:rPr>
                <w:sz w:val="18"/>
                <w:szCs w:val="18"/>
                <w:color w:val="auto"/>
              </w:rPr>
            </w:pPr>
          </w:p>
        </w:tc>
        <w:tc>
          <w:tcPr>
            <w:tcW w:w="1420" w:type="dxa"/>
            <w:vAlign w:val="bottom"/>
            <w:tcBorders>
              <w:right w:val="single" w:sz="8" w:color="auto"/>
            </w:tcBorders>
            <w:vMerge w:val="continue"/>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$188,849</w:t>
            </w: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of target annual cash</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incentive bonus opportunity</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148%</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152%</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138%</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Bonus payment was pro-rated based on start date of May 30,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annual cash incentive bonuses paid to the NEOs for 2017 are set forth in the “2017 Summary Compensation Table”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Incentive Compensation</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spacing w:after="0" w:line="173"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2012, based in part upon a review of competitive market practices and the recommendation of its compensation consultant, the Compensation Committee determined that it was in the best interests of our stockholders to add a performance-based component to our long-term incentive compensation program and introduced the grant of PSU awards beginning in 2013. The Compensation Committee believes that the combination of time-based and performance-based stock unit awards provides an appropriate balance between awards of high incentive value (in the form of PSU awards which are earned only if pre-established corporate performance objectives and additional service requirements are met) and awards that provide high retention value (in the form of time-based RSU awards with continued service requirements).</w:t>
      </w:r>
    </w:p>
    <w:p>
      <w:pPr>
        <w:spacing w:after="0" w:line="17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In 2013, based in part upon a review of competitive market practices and the recommendation of its compensation consultant, the Compensation Committee determined that it was in the best interests of our stockholders to discontinue the use of stock options as part of our long-term incentive compensation program. RSU and PSU awards are typically a more efficient vehicle with respect to the use of our equity plan’s share reserve because fewer shares of our common stock are needed to achieve our incentive and retention goals than using a stock option award.</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Generally, in determining the size of the equity awards granted to our executive officers, including the NEOs, the Compensation Committee takes into consideration the recommendations of our CEO (except with respect to his own equity awards), competitive market data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or a combination thereof.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2" w:name="page33"/>
    <w:bookmarkEnd w:id="32"/>
    <w:p>
      <w:pPr>
        <w:ind w:right="360" w:firstLine="324"/>
        <w:spacing w:after="0" w:line="302" w:lineRule="auto"/>
        <w:rPr>
          <w:sz w:val="20"/>
          <w:szCs w:val="20"/>
          <w:color w:val="auto"/>
        </w:rPr>
      </w:pPr>
      <w:r>
        <w:rPr>
          <w:rFonts w:ascii="Arial" w:cs="Arial" w:eastAsia="Arial" w:hAnsi="Arial"/>
          <w:sz w:val="16"/>
          <w:szCs w:val="16"/>
          <w:color w:val="auto"/>
        </w:rPr>
        <w:t>On March 22, 2017, the Compensation Committee, based on the factors described above, approved the grant of RSU awards and PSU awards to our executive officers, including the NEOs. The Compensation Committee also determined that, to balance the retention value of the RSU awards with the performance focus of the PSU awards, the total dollar value of the equity awards should be equally weighted between RSU awards and PSU awards. The equity awards granted to the NEOs in 2017, excluding Mr. Kampfer’s equity award grants discussed above, were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Restricted</w:t>
            </w: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Performance</w:t>
            </w:r>
          </w:p>
        </w:tc>
      </w:tr>
      <w:tr>
        <w:trPr>
          <w:trHeight w:val="220"/>
        </w:trPr>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Stock Units</w:t>
            </w: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Stock Units</w:t>
            </w:r>
          </w:p>
        </w:tc>
      </w:tr>
      <w:tr>
        <w:trPr>
          <w:trHeight w:val="271"/>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Named Executive Officer</w:t>
            </w:r>
          </w:p>
        </w:tc>
        <w:tc>
          <w:tcPr>
            <w:tcW w:w="120" w:type="dxa"/>
            <w:vAlign w:val="bottom"/>
          </w:tcPr>
          <w:p>
            <w:pPr>
              <w:spacing w:after="0"/>
              <w:rPr>
                <w:sz w:val="23"/>
                <w:szCs w:val="2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220" w:type="dxa"/>
            <w:vAlign w:val="bottom"/>
          </w:tcPr>
          <w:p>
            <w:pPr>
              <w:spacing w:after="0"/>
              <w:rPr>
                <w:sz w:val="23"/>
                <w:szCs w:val="23"/>
                <w:color w:val="auto"/>
              </w:rPr>
            </w:pPr>
          </w:p>
        </w:tc>
        <w:tc>
          <w:tcPr>
            <w:tcW w:w="16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7"/>
              </w:rPr>
              <w:t xml:space="preserve">Granted </w:t>
            </w:r>
            <w:r>
              <w:rPr>
                <w:rFonts w:ascii="Arial" w:cs="Arial" w:eastAsia="Arial" w:hAnsi="Arial"/>
                <w:sz w:val="30"/>
                <w:szCs w:val="30"/>
                <w:b w:val="1"/>
                <w:bCs w:val="1"/>
                <w:color w:val="auto"/>
                <w:w w:val="87"/>
                <w:vertAlign w:val="superscript"/>
              </w:rPr>
              <w:t>(1)</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37,492</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37,492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Jeffrey D. Jones</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16,196</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16,196</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Christopher G. Bohrson</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8,998</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8,998</w:t>
            </w:r>
          </w:p>
        </w:tc>
      </w:tr>
      <w:tr>
        <w:trPr>
          <w:trHeight w:val="230"/>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Ian von Fellenberg</w:t>
            </w: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8,998</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8,998</w:t>
            </w:r>
          </w:p>
        </w:tc>
      </w:tr>
      <w:tr>
        <w:trPr>
          <w:trHeight w:val="224"/>
        </w:trPr>
        <w:tc>
          <w:tcPr>
            <w:tcW w:w="7360" w:type="dxa"/>
            <w:vAlign w:val="bottom"/>
          </w:tcPr>
          <w:p>
            <w:pPr>
              <w:ind w:left="160"/>
              <w:spacing w:after="0"/>
              <w:rPr>
                <w:sz w:val="20"/>
                <w:szCs w:val="20"/>
                <w:color w:val="auto"/>
              </w:rPr>
            </w:pPr>
            <w:r>
              <w:rPr>
                <w:rFonts w:ascii="Arial" w:cs="Arial" w:eastAsia="Arial" w:hAnsi="Arial"/>
                <w:sz w:val="18"/>
                <w:szCs w:val="18"/>
                <w:color w:val="auto"/>
              </w:rPr>
              <w:t>(1) PSUs granted at the target award level.</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 Awards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Consistent with our other employee equity awards, the RSU awards granted to our executive officers in 2017 vest at the rate of 25% of the shares of our common stock subject to the awards per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Stock Unit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2017 PSU Awards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PSU awards granted to our executive officers in March 2017, and to Mr. Kampfer in May 2017, will be earned based on our TSR as compared to a pre-established comparator group measured over a three-year performance period beginning on the first day of 2017, with earned shares vesting fully at the end of three years from the date of grant. The performance period for the 2017 PSU Awards was set at three years (rather than the two-year performance period used in the 2015 PSU awards) to enhance the long-term focus of the program.</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number of shares of our common stock that may be earned under the 2017 PSU Awards range from a minimum award level of 25% of the target number of shares subject to the awards, up to a maximum of 200% of the target number of shares as follows: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5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TSR Ranking Relative to Comparator Group</w:t>
            </w:r>
          </w:p>
        </w:tc>
        <w:tc>
          <w:tcPr>
            <w:tcW w:w="532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Percentage of Target Number of Shares Earned</w:t>
            </w:r>
          </w:p>
        </w:tc>
      </w:tr>
      <w:tr>
        <w:trPr>
          <w:trHeight w:val="233"/>
        </w:trPr>
        <w:tc>
          <w:tcPr>
            <w:tcW w:w="5520" w:type="dxa"/>
            <w:vAlign w:val="bottom"/>
            <w:tcBorders>
              <w:top w:val="single" w:sz="8" w:color="auto"/>
              <w:left w:val="single" w:sz="8" w:color="auto"/>
              <w:bottom w:val="single" w:sz="8" w:color="auto"/>
              <w:right w:val="single" w:sz="8" w:color="auto"/>
            </w:tcBorders>
            <w:shd w:val="clear" w:color="auto" w:fill="CCEEFF"/>
          </w:tcPr>
          <w:p>
            <w:pPr>
              <w:jc w:val="center"/>
              <w:spacing w:after="0" w:line="233" w:lineRule="exact"/>
              <w:rPr>
                <w:sz w:val="20"/>
                <w:szCs w:val="20"/>
                <w:color w:val="auto"/>
              </w:rPr>
            </w:pPr>
            <w:r>
              <w:rPr>
                <w:rFonts w:ascii="Arial" w:cs="Arial" w:eastAsia="Arial" w:hAnsi="Arial"/>
                <w:sz w:val="17"/>
                <w:szCs w:val="17"/>
                <w:color w:val="auto"/>
                <w:w w:val="95"/>
              </w:rPr>
              <w:t>Below 25</w:t>
            </w:r>
            <w:r>
              <w:rPr>
                <w:rFonts w:ascii="Arial" w:cs="Arial" w:eastAsia="Arial" w:hAnsi="Arial"/>
                <w:sz w:val="27"/>
                <w:szCs w:val="27"/>
                <w:color w:val="auto"/>
                <w:w w:val="95"/>
                <w:vertAlign w:val="superscript"/>
              </w:rPr>
              <w:t>th</w:t>
            </w:r>
            <w:r>
              <w:rPr>
                <w:rFonts w:ascii="Arial" w:cs="Arial" w:eastAsia="Arial" w:hAnsi="Arial"/>
                <w:sz w:val="17"/>
                <w:szCs w:val="17"/>
                <w:color w:val="auto"/>
                <w:w w:val="95"/>
              </w:rPr>
              <w:t xml:space="preserve"> Percentile</w:t>
            </w:r>
          </w:p>
        </w:tc>
        <w:tc>
          <w:tcPr>
            <w:tcW w:w="532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50"/>
        </w:trPr>
        <w:tc>
          <w:tcPr>
            <w:tcW w:w="552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92"/>
              </w:rPr>
              <w:t>25</w:t>
            </w:r>
            <w:r>
              <w:rPr>
                <w:rFonts w:ascii="Arial" w:cs="Arial" w:eastAsia="Arial" w:hAnsi="Arial"/>
                <w:sz w:val="28"/>
                <w:szCs w:val="28"/>
                <w:color w:val="auto"/>
                <w:w w:val="92"/>
                <w:vertAlign w:val="superscript"/>
              </w:rPr>
              <w:t>th</w:t>
            </w:r>
            <w:r>
              <w:rPr>
                <w:rFonts w:ascii="Arial" w:cs="Arial" w:eastAsia="Arial" w:hAnsi="Arial"/>
                <w:sz w:val="17"/>
                <w:szCs w:val="17"/>
                <w:color w:val="auto"/>
                <w:w w:val="92"/>
              </w:rPr>
              <w:t xml:space="preserve"> Percentile</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50"/>
        </w:trPr>
        <w:tc>
          <w:tcPr>
            <w:tcW w:w="5520" w:type="dxa"/>
            <w:vAlign w:val="bottom"/>
            <w:tcBorders>
              <w:left w:val="single" w:sz="8" w:color="auto"/>
              <w:bottom w:val="single" w:sz="8" w:color="auto"/>
              <w:right w:val="single" w:sz="8" w:color="auto"/>
            </w:tcBorders>
            <w:shd w:val="clear" w:color="auto" w:fill="CCEEFF"/>
          </w:tcPr>
          <w:p>
            <w:pPr>
              <w:jc w:val="center"/>
              <w:spacing w:after="0" w:line="250" w:lineRule="exact"/>
              <w:rPr>
                <w:sz w:val="20"/>
                <w:szCs w:val="20"/>
                <w:color w:val="auto"/>
              </w:rPr>
            </w:pPr>
            <w:r>
              <w:rPr>
                <w:rFonts w:ascii="Arial" w:cs="Arial" w:eastAsia="Arial" w:hAnsi="Arial"/>
                <w:sz w:val="17"/>
                <w:szCs w:val="17"/>
                <w:color w:val="auto"/>
                <w:w w:val="92"/>
              </w:rPr>
              <w:t>57</w:t>
            </w:r>
            <w:r>
              <w:rPr>
                <w:rFonts w:ascii="Arial" w:cs="Arial" w:eastAsia="Arial" w:hAnsi="Arial"/>
                <w:sz w:val="28"/>
                <w:szCs w:val="28"/>
                <w:color w:val="auto"/>
                <w:w w:val="92"/>
                <w:vertAlign w:val="superscript"/>
              </w:rPr>
              <w:t>th</w:t>
            </w:r>
            <w:r>
              <w:rPr>
                <w:rFonts w:ascii="Arial" w:cs="Arial" w:eastAsia="Arial" w:hAnsi="Arial"/>
                <w:sz w:val="17"/>
                <w:szCs w:val="17"/>
                <w:color w:val="auto"/>
                <w:w w:val="92"/>
              </w:rPr>
              <w:t xml:space="preserve"> Percentile</w:t>
            </w:r>
          </w:p>
        </w:tc>
        <w:tc>
          <w:tcPr>
            <w:tcW w:w="5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50"/>
        </w:trPr>
        <w:tc>
          <w:tcPr>
            <w:tcW w:w="552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91"/>
              </w:rPr>
              <w:t>100</w:t>
            </w:r>
            <w:r>
              <w:rPr>
                <w:rFonts w:ascii="Arial" w:cs="Arial" w:eastAsia="Arial" w:hAnsi="Arial"/>
                <w:sz w:val="28"/>
                <w:szCs w:val="28"/>
                <w:color w:val="auto"/>
                <w:w w:val="91"/>
                <w:vertAlign w:val="superscript"/>
              </w:rPr>
              <w:t>th</w:t>
            </w:r>
            <w:r>
              <w:rPr>
                <w:rFonts w:ascii="Arial" w:cs="Arial" w:eastAsia="Arial" w:hAnsi="Arial"/>
                <w:sz w:val="17"/>
                <w:szCs w:val="17"/>
                <w:color w:val="auto"/>
                <w:w w:val="91"/>
              </w:rPr>
              <w:t xml:space="preserve"> Percentile</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bl>
    <w:p>
      <w:pPr>
        <w:spacing w:after="0" w:line="20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performance between the percentile rankings listed above, the 2017 PSU Awards operate on a linear basis with an additional 7% of the target number of shares earned for each 3% increase in our TSR performance above the threshold performance level of 25%. TSR performance is calculated by an outside firm, Research Data Group, Inc.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ind w:left="340"/>
        <w:spacing w:after="0"/>
        <w:rPr>
          <w:sz w:val="20"/>
          <w:szCs w:val="20"/>
          <w:color w:val="auto"/>
        </w:rPr>
      </w:pPr>
      <w:r>
        <w:rPr>
          <w:rFonts w:ascii="Arial" w:cs="Arial" w:eastAsia="Arial" w:hAnsi="Arial"/>
          <w:sz w:val="17"/>
          <w:szCs w:val="17"/>
          <w:color w:val="auto"/>
        </w:rPr>
        <w:t>The following graph illustrates how the number of shares of common stock subject to the 2017 PSU awards that are earned will be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159385</wp:posOffset>
            </wp:positionV>
            <wp:extent cx="4116705" cy="3009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1670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For purposes of the 2017 PSU awards, the comparator group as of March 2017 consisted of the following companies that the Compensation Committee believes represent competition for our stockholders’ investments. Ultratech was acquired in May 2017 and was removed from the comparator group at that point.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Advanced Energy Industries</w:t>
            </w:r>
          </w:p>
        </w:tc>
        <w:tc>
          <w:tcPr>
            <w:tcW w:w="3340" w:type="dxa"/>
            <w:vAlign w:val="bottom"/>
          </w:tcPr>
          <w:p>
            <w:pPr>
              <w:ind w:left="580"/>
              <w:spacing w:after="0"/>
              <w:rPr>
                <w:sz w:val="20"/>
                <w:szCs w:val="20"/>
                <w:color w:val="auto"/>
              </w:rPr>
            </w:pPr>
            <w:r>
              <w:rPr>
                <w:rFonts w:ascii="Arial" w:cs="Arial" w:eastAsia="Arial" w:hAnsi="Arial"/>
                <w:sz w:val="18"/>
                <w:szCs w:val="18"/>
                <w:color w:val="auto"/>
              </w:rPr>
              <w:t>Camtek</w:t>
            </w:r>
          </w:p>
        </w:tc>
        <w:tc>
          <w:tcPr>
            <w:tcW w:w="2360" w:type="dxa"/>
            <w:vAlign w:val="bottom"/>
          </w:tcPr>
          <w:p>
            <w:pPr>
              <w:ind w:left="740"/>
              <w:spacing w:after="0"/>
              <w:rPr>
                <w:sz w:val="20"/>
                <w:szCs w:val="20"/>
                <w:color w:val="auto"/>
              </w:rPr>
            </w:pPr>
            <w:r>
              <w:rPr>
                <w:rFonts w:ascii="Arial" w:cs="Arial" w:eastAsia="Arial" w:hAnsi="Arial"/>
                <w:sz w:val="18"/>
                <w:szCs w:val="18"/>
                <w:color w:val="auto"/>
              </w:rPr>
              <w:t>Photronics</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Advantest</w:t>
            </w:r>
          </w:p>
        </w:tc>
        <w:tc>
          <w:tcPr>
            <w:tcW w:w="3340" w:type="dxa"/>
            <w:vAlign w:val="bottom"/>
          </w:tcPr>
          <w:p>
            <w:pPr>
              <w:ind w:left="580"/>
              <w:spacing w:after="0"/>
              <w:rPr>
                <w:sz w:val="20"/>
                <w:szCs w:val="20"/>
                <w:color w:val="auto"/>
              </w:rPr>
            </w:pPr>
            <w:r>
              <w:rPr>
                <w:rFonts w:ascii="Arial" w:cs="Arial" w:eastAsia="Arial" w:hAnsi="Arial"/>
                <w:sz w:val="18"/>
                <w:szCs w:val="18"/>
                <w:color w:val="auto"/>
              </w:rPr>
              <w:t>Electro Scientific Industries</w:t>
            </w:r>
          </w:p>
        </w:tc>
        <w:tc>
          <w:tcPr>
            <w:tcW w:w="2360" w:type="dxa"/>
            <w:vAlign w:val="bottom"/>
          </w:tcPr>
          <w:p>
            <w:pPr>
              <w:ind w:left="740"/>
              <w:spacing w:after="0"/>
              <w:rPr>
                <w:sz w:val="20"/>
                <w:szCs w:val="20"/>
                <w:color w:val="auto"/>
              </w:rPr>
            </w:pPr>
            <w:r>
              <w:rPr>
                <w:rFonts w:ascii="Arial" w:cs="Arial" w:eastAsia="Arial" w:hAnsi="Arial"/>
                <w:sz w:val="18"/>
                <w:szCs w:val="18"/>
                <w:color w:val="auto"/>
                <w:w w:val="89"/>
              </w:rPr>
              <w:t>Rudolph Technologies</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ASM Pacific</w:t>
            </w:r>
          </w:p>
        </w:tc>
        <w:tc>
          <w:tcPr>
            <w:tcW w:w="3340" w:type="dxa"/>
            <w:vAlign w:val="bottom"/>
          </w:tcPr>
          <w:p>
            <w:pPr>
              <w:ind w:left="580"/>
              <w:spacing w:after="0"/>
              <w:rPr>
                <w:sz w:val="20"/>
                <w:szCs w:val="20"/>
                <w:color w:val="auto"/>
              </w:rPr>
            </w:pPr>
            <w:r>
              <w:rPr>
                <w:rFonts w:ascii="Arial" w:cs="Arial" w:eastAsia="Arial" w:hAnsi="Arial"/>
                <w:sz w:val="18"/>
                <w:szCs w:val="18"/>
                <w:color w:val="auto"/>
              </w:rPr>
              <w:t>FormFactor</w:t>
            </w:r>
          </w:p>
        </w:tc>
        <w:tc>
          <w:tcPr>
            <w:tcW w:w="2360" w:type="dxa"/>
            <w:vAlign w:val="bottom"/>
          </w:tcPr>
          <w:p>
            <w:pPr>
              <w:ind w:left="740"/>
              <w:spacing w:after="0"/>
              <w:rPr>
                <w:sz w:val="20"/>
                <w:szCs w:val="20"/>
                <w:color w:val="auto"/>
              </w:rPr>
            </w:pPr>
            <w:r>
              <w:rPr>
                <w:rFonts w:ascii="Arial" w:cs="Arial" w:eastAsia="Arial" w:hAnsi="Arial"/>
                <w:sz w:val="18"/>
                <w:szCs w:val="18"/>
                <w:color w:val="auto"/>
              </w:rPr>
              <w:t>Teradyne</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Axcelis Technologies</w:t>
            </w:r>
          </w:p>
        </w:tc>
        <w:tc>
          <w:tcPr>
            <w:tcW w:w="3340" w:type="dxa"/>
            <w:vAlign w:val="bottom"/>
          </w:tcPr>
          <w:p>
            <w:pPr>
              <w:ind w:left="580"/>
              <w:spacing w:after="0"/>
              <w:rPr>
                <w:sz w:val="20"/>
                <w:szCs w:val="20"/>
                <w:color w:val="auto"/>
              </w:rPr>
            </w:pPr>
            <w:r>
              <w:rPr>
                <w:rFonts w:ascii="Arial" w:cs="Arial" w:eastAsia="Arial" w:hAnsi="Arial"/>
                <w:sz w:val="18"/>
                <w:szCs w:val="18"/>
                <w:color w:val="auto"/>
              </w:rPr>
              <w:t>Kulicke &amp; Soffa</w:t>
            </w:r>
          </w:p>
        </w:tc>
        <w:tc>
          <w:tcPr>
            <w:tcW w:w="2360" w:type="dxa"/>
            <w:vAlign w:val="bottom"/>
          </w:tcPr>
          <w:p>
            <w:pPr>
              <w:ind w:left="740"/>
              <w:spacing w:after="0"/>
              <w:rPr>
                <w:sz w:val="20"/>
                <w:szCs w:val="20"/>
                <w:color w:val="auto"/>
              </w:rPr>
            </w:pPr>
            <w:r>
              <w:rPr>
                <w:rFonts w:ascii="Arial" w:cs="Arial" w:eastAsia="Arial" w:hAnsi="Arial"/>
                <w:sz w:val="18"/>
                <w:szCs w:val="18"/>
                <w:color w:val="auto"/>
                <w:w w:val="96"/>
              </w:rPr>
              <w:t>Ultra Clean Holdings</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Besi</w:t>
            </w:r>
          </w:p>
        </w:tc>
        <w:tc>
          <w:tcPr>
            <w:tcW w:w="3340" w:type="dxa"/>
            <w:vAlign w:val="bottom"/>
          </w:tcPr>
          <w:p>
            <w:pPr>
              <w:ind w:left="580"/>
              <w:spacing w:after="0"/>
              <w:rPr>
                <w:sz w:val="20"/>
                <w:szCs w:val="20"/>
                <w:color w:val="auto"/>
              </w:rPr>
            </w:pPr>
            <w:r>
              <w:rPr>
                <w:rFonts w:ascii="Arial" w:cs="Arial" w:eastAsia="Arial" w:hAnsi="Arial"/>
                <w:sz w:val="18"/>
                <w:szCs w:val="18"/>
                <w:color w:val="auto"/>
              </w:rPr>
              <w:t>Micronics</w:t>
            </w:r>
          </w:p>
        </w:tc>
        <w:tc>
          <w:tcPr>
            <w:tcW w:w="2360" w:type="dxa"/>
            <w:vAlign w:val="bottom"/>
          </w:tcPr>
          <w:p>
            <w:pPr>
              <w:ind w:left="740"/>
              <w:spacing w:after="0"/>
              <w:rPr>
                <w:sz w:val="20"/>
                <w:szCs w:val="20"/>
                <w:color w:val="auto"/>
              </w:rPr>
            </w:pPr>
            <w:r>
              <w:rPr>
                <w:rFonts w:ascii="Arial" w:cs="Arial" w:eastAsia="Arial" w:hAnsi="Arial"/>
                <w:sz w:val="18"/>
                <w:szCs w:val="18"/>
                <w:color w:val="auto"/>
              </w:rPr>
              <w:t>Ultratech</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Brooks Automation</w:t>
            </w:r>
          </w:p>
        </w:tc>
        <w:tc>
          <w:tcPr>
            <w:tcW w:w="3340" w:type="dxa"/>
            <w:vAlign w:val="bottom"/>
          </w:tcPr>
          <w:p>
            <w:pPr>
              <w:ind w:left="580"/>
              <w:spacing w:after="0"/>
              <w:rPr>
                <w:sz w:val="20"/>
                <w:szCs w:val="20"/>
                <w:color w:val="auto"/>
              </w:rPr>
            </w:pPr>
            <w:r>
              <w:rPr>
                <w:rFonts w:ascii="Arial" w:cs="Arial" w:eastAsia="Arial" w:hAnsi="Arial"/>
                <w:sz w:val="18"/>
                <w:szCs w:val="18"/>
                <w:color w:val="auto"/>
              </w:rPr>
              <w:t>MKS Instruments</w:t>
            </w:r>
          </w:p>
        </w:tc>
        <w:tc>
          <w:tcPr>
            <w:tcW w:w="2360" w:type="dxa"/>
            <w:vAlign w:val="bottom"/>
          </w:tcPr>
          <w:p>
            <w:pPr>
              <w:ind w:left="740"/>
              <w:spacing w:after="0"/>
              <w:rPr>
                <w:sz w:val="20"/>
                <w:szCs w:val="20"/>
                <w:color w:val="auto"/>
              </w:rPr>
            </w:pPr>
            <w:r>
              <w:rPr>
                <w:rFonts w:ascii="Arial" w:cs="Arial" w:eastAsia="Arial" w:hAnsi="Arial"/>
                <w:sz w:val="18"/>
                <w:szCs w:val="18"/>
                <w:color w:val="auto"/>
              </w:rPr>
              <w:t>Veeco</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Cabot Microelectronics</w:t>
            </w:r>
          </w:p>
        </w:tc>
        <w:tc>
          <w:tcPr>
            <w:tcW w:w="3340" w:type="dxa"/>
            <w:vAlign w:val="bottom"/>
          </w:tcPr>
          <w:p>
            <w:pPr>
              <w:ind w:left="580"/>
              <w:spacing w:after="0"/>
              <w:rPr>
                <w:sz w:val="20"/>
                <w:szCs w:val="20"/>
                <w:color w:val="auto"/>
              </w:rPr>
            </w:pPr>
            <w:r>
              <w:rPr>
                <w:rFonts w:ascii="Arial" w:cs="Arial" w:eastAsia="Arial" w:hAnsi="Arial"/>
                <w:sz w:val="18"/>
                <w:szCs w:val="18"/>
                <w:color w:val="auto"/>
              </w:rPr>
              <w:t>Nanometrics</w:t>
            </w:r>
          </w:p>
        </w:tc>
        <w:tc>
          <w:tcPr>
            <w:tcW w:w="2360" w:type="dxa"/>
            <w:vAlign w:val="bottom"/>
          </w:tcPr>
          <w:p>
            <w:pPr>
              <w:ind w:left="740"/>
              <w:spacing w:after="0"/>
              <w:rPr>
                <w:sz w:val="20"/>
                <w:szCs w:val="20"/>
                <w:color w:val="auto"/>
              </w:rPr>
            </w:pPr>
            <w:r>
              <w:rPr>
                <w:rFonts w:ascii="Arial" w:cs="Arial" w:eastAsia="Arial" w:hAnsi="Arial"/>
                <w:sz w:val="18"/>
                <w:szCs w:val="18"/>
                <w:color w:val="auto"/>
              </w:rPr>
              <w:t>Xcerra</w:t>
            </w: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equity awards granted to the NEOs in 2017 are set forth in the “2017 Summary Compensation Table” and the “2017 Grants of Plan-Based Awards Table”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Benefits and 401(k) Plan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bonus payment, thereby allowing them to defer taxation on such amounts.</w:t>
      </w:r>
    </w:p>
    <w:p>
      <w:pPr>
        <w:spacing w:after="0" w:line="18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may match participant contributions to the Deferred Compensation Plan up to 4% of the participant’s annual base salary in excess of the specified annual compensation limit allowed under the Code for contributions under the Section 401(k) plan. The annual limit, which is indexed, was $270,000 for 2017. Our matching contributions and any deemed investment earnings attributable to these contributions will be 100% vested when the participant has two years of service with us. Prior to that time, such amounts are unvested. Participant contributions and deemed investment earnings are 100% vested at all times. We have not matched any participant contributions to the Deferred Compensation Plan since 2008.</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on the Deferred Compensation Plan, see “2017 Nonqualified Deferred Compensation” below.</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800" w:right="359" w:bottom="1440" w:gutter="0" w:footer="0" w:header="0"/>
        </w:sectPr>
      </w:pPr>
    </w:p>
    <w:bookmarkStart w:id="34" w:name="page35"/>
    <w:bookmarkEnd w:id="34"/>
    <w:p>
      <w:pPr>
        <w:ind w:right="40" w:firstLine="324"/>
        <w:spacing w:after="0" w:line="271" w:lineRule="auto"/>
        <w:rPr>
          <w:sz w:val="20"/>
          <w:szCs w:val="20"/>
          <w:color w:val="auto"/>
        </w:rPr>
      </w:pPr>
      <w:r>
        <w:rPr>
          <w:rFonts w:ascii="Arial" w:cs="Arial" w:eastAsia="Arial" w:hAnsi="Arial"/>
          <w:sz w:val="17"/>
          <w:szCs w:val="17"/>
          <w:color w:val="auto"/>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2017 are vested 10% after one year of participation, another 20% after two years, another 20% after three years, and an additional 50% after four years and our matching contribution was at the rate of 50% of the first 6% of employee pre-tax contributions to the plan. Generally, during 2017 the maximum annual amount that any participant could contribute to the 401(k) Plan was $18,000 unless aged 50 or more which allows participants to make an additional $6,000 in “catch-up” contributions and our maximum matching contribution was $8,100.</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Welfare and Health Benefits</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 2017, our executive officers, including the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5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In accordance with agreements executed prior to 1997, we pay certain health care-related costs for certain retired executive officers of the Company and their dependents, including insurance premiums and non-insurance covered costs, such as prescription copays and other health care costs. These health benefits continue after retirement if certain lengths of service and age requirements are satisfied at the time of retirement.</w:t>
      </w:r>
    </w:p>
    <w:p>
      <w:pPr>
        <w:spacing w:after="0" w:line="166"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The 401(k) Plan and other generally-available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generally-available benefits do not specifically factor into decisions regarding an individual executive officer’s total compensation or equity awards.</w:t>
      </w:r>
    </w:p>
    <w:p>
      <w:pPr>
        <w:spacing w:after="0" w:line="173"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Each year, we informally review our U.S. based benefit programs against our peers with data provided by Aon, our health and welfare benefits broker of record, and by Retirement Benefits Group, our independent 401(k) Plan consultant. Similar evaluations are made in other regions with local benefit consultants. We also evaluate the competitiveness of the 401(k) Plan against the companies in the compensation peer group, including an analysis of the dollar value to an employee and the dollar cost to us for the benefits under the applicable plan using a standard population of employees. We analyze changes to our benefit programs in light of the overall objectives of the programs, including the effectiveness of their incentive and retention features.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duties, to make our executive officers more efficient and effective, and for recruitment and retention purposes.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During 2017, we provided the NEOs with automobile expense reimbursement or allowances as follows: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4"/>
        </w:trPr>
        <w:tc>
          <w:tcPr>
            <w:tcW w:w="24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Annual</w:t>
            </w:r>
          </w:p>
        </w:tc>
      </w:tr>
      <w:tr>
        <w:trPr>
          <w:trHeight w:val="230"/>
        </w:trPr>
        <w:tc>
          <w:tcPr>
            <w:tcW w:w="24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Auto</w:t>
            </w:r>
          </w:p>
        </w:tc>
      </w:tr>
      <w:tr>
        <w:trPr>
          <w:trHeight w:val="234"/>
        </w:trPr>
        <w:tc>
          <w:tcPr>
            <w:tcW w:w="2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Named Executive Officer</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Allowance</w:t>
            </w:r>
          </w:p>
        </w:tc>
      </w:tr>
      <w:tr>
        <w:trPr>
          <w:trHeight w:val="210"/>
        </w:trPr>
        <w:tc>
          <w:tcPr>
            <w:tcW w:w="24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$9,000</w:t>
            </w:r>
          </w:p>
        </w:tc>
      </w:tr>
      <w:tr>
        <w:trPr>
          <w:trHeight w:val="216"/>
        </w:trPr>
        <w:tc>
          <w:tcPr>
            <w:tcW w:w="24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Jeffrey D. Jones</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7"/>
              </w:rPr>
              <w:t>$6,000</w:t>
            </w:r>
          </w:p>
        </w:tc>
      </w:tr>
      <w:tr>
        <w:trPr>
          <w:trHeight w:val="216"/>
        </w:trPr>
        <w:tc>
          <w:tcPr>
            <w:tcW w:w="24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Thomas D. Kampfer</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$6,000</w:t>
            </w:r>
          </w:p>
        </w:tc>
      </w:tr>
      <w:tr>
        <w:trPr>
          <w:trHeight w:val="216"/>
        </w:trPr>
        <w:tc>
          <w:tcPr>
            <w:tcW w:w="24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Christopher G. Bohrson</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7"/>
              </w:rPr>
              <w:t>$6,000</w:t>
            </w:r>
          </w:p>
        </w:tc>
      </w:tr>
      <w:tr>
        <w:trPr>
          <w:trHeight w:val="257"/>
        </w:trPr>
        <w:tc>
          <w:tcPr>
            <w:tcW w:w="240" w:type="dxa"/>
            <w:vAlign w:val="bottom"/>
          </w:tcPr>
          <w:p>
            <w:pPr>
              <w:spacing w:after="0"/>
              <w:rPr>
                <w:sz w:val="22"/>
                <w:szCs w:val="22"/>
                <w:color w:val="auto"/>
              </w:rPr>
            </w:pPr>
          </w:p>
        </w:tc>
        <w:tc>
          <w:tcPr>
            <w:tcW w:w="9200" w:type="dxa"/>
            <w:vAlign w:val="bottom"/>
            <w:tcBorders>
              <w:bottom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Ian von Fellenberg </w:t>
            </w:r>
            <w:r>
              <w:rPr>
                <w:rFonts w:ascii="Arial" w:cs="Arial" w:eastAsia="Arial" w:hAnsi="Arial"/>
                <w:sz w:val="29"/>
                <w:szCs w:val="29"/>
                <w:color w:val="auto"/>
                <w:vertAlign w:val="superscript"/>
              </w:rPr>
              <w:t>(1)</w:t>
            </w:r>
          </w:p>
        </w:tc>
        <w:tc>
          <w:tcPr>
            <w:tcW w:w="16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6"/>
              </w:rPr>
              <w:t>$11,483</w:t>
            </w:r>
          </w:p>
        </w:tc>
      </w:tr>
    </w:tbl>
    <w:p>
      <w:pPr>
        <w:ind w:left="920" w:right="220" w:hanging="277"/>
        <w:spacing w:after="0" w:line="261"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von Fellenberg is not provided an auto allowance. The amount presented above represents non-taxable mileage expense reimbursement he received during 2017.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5" w:name="page36"/>
    <w:bookmarkEnd w:id="35"/>
    <w:p>
      <w:pPr>
        <w:ind w:right="160" w:firstLine="324"/>
        <w:spacing w:after="0" w:line="257" w:lineRule="auto"/>
        <w:rPr>
          <w:sz w:val="20"/>
          <w:szCs w:val="20"/>
          <w:color w:val="auto"/>
        </w:rPr>
      </w:pPr>
      <w:r>
        <w:rPr>
          <w:rFonts w:ascii="Arial" w:cs="Arial" w:eastAsia="Arial" w:hAnsi="Arial"/>
          <w:sz w:val="18"/>
          <w:szCs w:val="18"/>
          <w:color w:val="auto"/>
        </w:rPr>
        <w:t>In the future, we may provide perquisites or other personal benefits to our executive officers in limited circumstances, such as where we believe it is appropriate to assist an individual executive officer in the performance of his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With the exception of Dr. Müller and Mr. von Fellenberg, we do not have any employment agreements or other arrangements with any of the NEOs, except as described under “Potential Payments Upon Termination or Change in Control” below. In connection with his appointment as our President and Chief Executive Officer on October 7, 2014, we entered into an “at-will” employment agreement with Dr. Müller effective December 28, 2014. We revised Mr. von Fellenberg’s standard Swiss employment contract effective June 1, 2017, to reflect his new responsibilities related to his promotion to Vice President and General Manager, Analog Test Handlers.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With the exception of Dr. Müller and Messrs. Jones and Kampfer, we do not have an employment or other arrangement providing for post-employment compensation with any NEO. In the case of Dr. Müller and Messrs. Jones and Kampfer, their arrangements provide, under certain circumstances, for payments and benefits upon certain terminations of employment, including a termination of employment following a change in control of the Company.</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payments and benefits payable under these arrangements in the event of a change in control of the Company are subject to a “double trigger,” meaning that both a change in control of the Company and a subsequent involuntary termination of employment are required. In other words, the change in control of the Company does not by itself trigger any payments or benefits; rather, payments and benefits are paid only if the employment of Dr. Müller and Messrs. Jones and Kampfer are subsequently terminated without “cause” (or he resigns for “good reason”) during a specified period following the change in control. We believe that a “double trigger” arrangement maximizes stockholder value because it prevents an unintended windfall to these executive officers in the event of a change in control of the Company, while still providing them appropriate incentives to cooperate in negotiating a transaction involving a potential change in control of the Company in which they believe they may lose their jobs.</w:t>
      </w:r>
    </w:p>
    <w:p>
      <w:pPr>
        <w:spacing w:after="0" w:line="178"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We believe providing these arrangements help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post-employment payments and benefits which Dr. Müller and Messrs. Jones and Kampfer are eligible to receive are described in more detail in “Potential Payments upon Termination or Change in Control”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Ownership Policy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spacing w:after="0" w:line="189" w:lineRule="exact"/>
        <w:rPr>
          <w:sz w:val="20"/>
          <w:szCs w:val="20"/>
          <w:color w:val="auto"/>
        </w:rPr>
      </w:pPr>
    </w:p>
    <w:p>
      <w:pPr>
        <w:ind w:left="1640"/>
        <w:spacing w:after="0"/>
        <w:tabs>
          <w:tab w:leader="none" w:pos="6300" w:val="left"/>
        </w:tabs>
        <w:rPr>
          <w:sz w:val="20"/>
          <w:szCs w:val="20"/>
          <w:color w:val="auto"/>
        </w:rPr>
      </w:pPr>
      <w:r>
        <w:rPr>
          <w:rFonts w:ascii="Arial" w:cs="Arial" w:eastAsia="Arial" w:hAnsi="Arial"/>
          <w:sz w:val="18"/>
          <w:szCs w:val="18"/>
          <w:b w:val="1"/>
          <w:bCs w:val="1"/>
          <w:color w:val="auto"/>
        </w:rPr>
        <w:t>Individual Subject to Stock Ownership Policy</w:t>
      </w:r>
      <w:r>
        <w:rPr>
          <w:sz w:val="20"/>
          <w:szCs w:val="20"/>
          <w:color w:val="auto"/>
        </w:rPr>
        <w:tab/>
      </w:r>
      <w:r>
        <w:rPr>
          <w:rFonts w:ascii="Arial" w:cs="Arial" w:eastAsia="Arial" w:hAnsi="Arial"/>
          <w:sz w:val="16"/>
          <w:szCs w:val="16"/>
          <w:b w:val="1"/>
          <w:bCs w:val="1"/>
          <w:color w:val="auto"/>
        </w:rPr>
        <w:t>Minimum Required Level of Stock Ownership</w:t>
      </w:r>
    </w:p>
    <w:p>
      <w:pPr>
        <w:sectPr>
          <w:pgSz w:w="11900" w:h="16838" w:orient="portrait"/>
          <w:cols w:equalWidth="0" w:num="1">
            <w:col w:w="11380"/>
          </w:cols>
          <w:pgMar w:left="240" w:top="584" w:right="279" w:bottom="1440" w:gutter="0" w:footer="0" w:header="0"/>
        </w:sectPr>
      </w:pP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28473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All other executive officers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ind w:right="2180"/>
        <w:spacing w:after="0"/>
        <w:rPr>
          <w:sz w:val="20"/>
          <w:szCs w:val="20"/>
          <w:color w:val="auto"/>
        </w:rPr>
      </w:pPr>
      <w:r>
        <w:rPr>
          <w:rFonts w:ascii="Arial" w:cs="Arial" w:eastAsia="Arial" w:hAnsi="Arial"/>
          <w:sz w:val="18"/>
          <w:szCs w:val="18"/>
          <w:color w:val="auto"/>
        </w:rPr>
        <w:t>Three times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579755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Two times annual base salary</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One times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57975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900" w:space="720"/>
            <w:col w:w="5760"/>
          </w:cols>
          <w:pgMar w:left="240" w:top="584" w:right="279" w:bottom="1440" w:gutter="0" w:footer="0" w:header="0"/>
          <w:type w:val="continuous"/>
        </w:sectPr>
      </w:pPr>
    </w:p>
    <w:bookmarkStart w:id="36" w:name="page37"/>
    <w:bookmarkEnd w:id="36"/>
    <w:p>
      <w:pPr>
        <w:ind w:right="40" w:firstLine="324"/>
        <w:spacing w:after="0" w:line="279" w:lineRule="auto"/>
        <w:rPr>
          <w:sz w:val="20"/>
          <w:szCs w:val="20"/>
          <w:color w:val="auto"/>
        </w:rPr>
      </w:pPr>
      <w:r>
        <w:rPr>
          <w:rFonts w:ascii="Arial" w:cs="Arial" w:eastAsia="Arial" w:hAnsi="Arial"/>
          <w:sz w:val="17"/>
          <w:szCs w:val="17"/>
          <w:color w:val="auto"/>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Compensation Committee monitors compliance with these stock ownership levels on an annual basis using the average closing price of our common stock during the preceding fiscal year. As of December 30, 2017, each of the NEOs was compliant with the policy.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Recoupment Policy</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have adopted a formal compensation recoupment (“clawback”) policy under which our Board of Directors may seek reimbursement of the amount paid, awarded or granted to any executive officer if, as a result of their fraud or misconduct, we restate our financial results due to our material noncompliance with any financial reporting requirements under the federal securities laws.</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we will comply with the requirements of Section 954 of the Dodd-Frank Wall Street Reform and Consumer Protection Act and will amend our compensation recoupment policy once final regulations implementing this provision have been adopted.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 Grant Policy</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grant equity awards to our executive officers under our stockholder-approved 2005 Plan. Pursuant to this plan, all stock option grants must have a per share exercise price at least equal to the fair market value of our common stock on the grant date.</w:t>
      </w:r>
    </w:p>
    <w:p>
      <w:pPr>
        <w:spacing w:after="0" w:line="170"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the NEOs, will be approved on an annual basis at a meeting of the Compensation Committee or our Board of Directors, as applicable, which is typically held in the first quarter of each fiscal year.</w:t>
      </w:r>
    </w:p>
    <w:p>
      <w:pPr>
        <w:spacing w:after="0" w:line="18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the Company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designing our executive compensation program, the Compensation Committee takes into consideration the tax and accounting effects that each element of compensation will or may have on the Company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costs under another plan or arrangement to avoid compensation expense that is above the desired level.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Prior to January 1, 2018, Section 162(m) of the Code generally disallowed a deduction for federal income tax purposes to any publicly-traded corporation for any remuneration in excess of $1 million paid in any taxable year to its chief executive officer and each of the three other most highly-compensated executive officers (other than its chief financial officer). Generally, remuneration in excess of $1 million could be deducted if, among other things, it qualified as “performance-based compensation” within the meaning of the Code.</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Pursuant to the Tax Cuts and Jobs Act of 2017, which was signed into law on December 22, 2017 (the “Tax Act”), for taxable years beginning after December 31, 2017, the remuneration of a publicly-traded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Consequently, for fiscal years beginning after December 31, 2017, all remuneration in excess of $1 million paid to a specified executive will not be deductible.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right="80" w:firstLine="324"/>
        <w:spacing w:after="0" w:line="279" w:lineRule="auto"/>
        <w:rPr>
          <w:sz w:val="20"/>
          <w:szCs w:val="20"/>
          <w:color w:val="auto"/>
        </w:rPr>
      </w:pPr>
      <w:r>
        <w:rPr>
          <w:rFonts w:ascii="Arial" w:cs="Arial" w:eastAsia="Arial" w:hAnsi="Arial"/>
          <w:sz w:val="17"/>
          <w:szCs w:val="17"/>
          <w:color w:val="auto"/>
        </w:rPr>
        <w:t>In the case of stock options and performance stock unit awards which were outstanding on November 2, 2017 and which are not subsequently modified in any material respect, the compensation income realized upon the exercise of such stock options or upon the vesting of such performance stock unit awards granted under a stockholder-approved employee stock plan generally are expected to be deductible as long as the options or awards, as applicable, were granted by a committee whose members are outside directors and certain other conditions are satisfied.</w:t>
      </w:r>
    </w:p>
    <w:p>
      <w:pPr>
        <w:spacing w:after="0" w:line="17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the Company and our stockholders.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Taxation of Nonqualified Deferred Compensation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the Company. From time to time, we may be required to amend some of our compensation plans and arrangements to ensure that they are either exempt from, or compliant with, Section 409A.</w:t>
      </w:r>
    </w:p>
    <w:p>
      <w:pPr>
        <w:spacing w:after="0" w:line="19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not obligated under any compensation plan or arrangement to prevent or minimize any negative tax consequences that may affect our executive officers, nor are we required to pay any “gross-up” should any such consequences arise.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Taxation of “Parachute” Payments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are not obligated to provide any NEO with a “gross-up” or other reimbursement payment for any tax liability that he or she may owe as a result of the application of Sections 280G or 4999 in the event of a change in control of the Company.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 xml:space="preserve">The Compensation Committee takes accounting implications into consideration in designing compensation plans and arrangements for our executive officers and other employees. Chief among these is Financial Accounting Standards Board Accounting Standards Codification Topic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(“ASC Topic 718”), the standard which governs the accounting treatment of stock-based compensation awards.</w:t>
      </w:r>
    </w:p>
    <w:p>
      <w:pPr>
        <w:spacing w:after="0" w:line="14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ASC Topic 718 requires us to measure and recognize in our financial statements all share-based payment awards to employees, directors and consultants, including stock option grants, restricted stock unit awards, and performance stock unit awards to our executive officers, under the fair value method.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We estimate the fair value of each share-based payment award on the grant date using either the Black-Scholes or the Monte Carlo simulation valuation model.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8" w:name="page39"/>
    <w:bookmarkEnd w:id="38"/>
    <w:p>
      <w:pPr>
        <w:ind w:firstLine="324"/>
        <w:spacing w:after="0" w:line="289" w:lineRule="auto"/>
        <w:rPr>
          <w:sz w:val="20"/>
          <w:szCs w:val="20"/>
          <w:color w:val="auto"/>
        </w:rPr>
      </w:pPr>
      <w:r>
        <w:rPr>
          <w:rFonts w:ascii="Arial" w:cs="Arial" w:eastAsia="Arial" w:hAnsi="Arial"/>
          <w:sz w:val="16"/>
          <w:szCs w:val="16"/>
          <w:color w:val="auto"/>
        </w:rPr>
        <w:t xml:space="preserve">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Through 2015, estimated forfeitures were required to be included as a part of the grant date expense estimate. In 2016, we adopted Financial Accounting Standards Board (“FASB”) Accounting Standards Update (“ASU”) No. 2016-09, Compensation - Stock Compensation (Topic 718): </w:t>
      </w:r>
      <w:r>
        <w:rPr>
          <w:rFonts w:ascii="Arial" w:cs="Arial" w:eastAsia="Arial" w:hAnsi="Arial"/>
          <w:sz w:val="16"/>
          <w:szCs w:val="16"/>
          <w:i w:val="1"/>
          <w:iCs w:val="1"/>
          <w:color w:val="auto"/>
        </w:rPr>
        <w:t>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and elected to eliminate the use of an estimated forfeiture rate and recognize actual forfeitures as they occur. Prior to 2016, we used</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data to estimate expected employee behaviors related to option exercises and forfeitures.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Committee has reviewed and discussed with management the Compensation Discussion and Analysis for fiscal 2017. Based on such review and discussions, the Committee recommended to the Board, and the Board has approved, that the Compensation Discussion and Analysis be included in Cohu’s proxy statement for its 2018 Annual Meeting of Stockholders.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report is submitted by the Compensation Committee.</w:t>
      </w:r>
    </w:p>
    <w:p>
      <w:pPr>
        <w:spacing w:after="0" w:line="225" w:lineRule="exact"/>
        <w:rPr>
          <w:sz w:val="20"/>
          <w:szCs w:val="20"/>
          <w:color w:val="auto"/>
        </w:rPr>
      </w:pPr>
    </w:p>
    <w:p>
      <w:pPr>
        <w:ind w:left="440"/>
        <w:spacing w:after="0"/>
        <w:tabs>
          <w:tab w:leader="none" w:pos="2920" w:val="left"/>
          <w:tab w:leader="none" w:pos="4700" w:val="left"/>
        </w:tabs>
        <w:rPr>
          <w:sz w:val="20"/>
          <w:szCs w:val="20"/>
          <w:color w:val="auto"/>
        </w:rPr>
      </w:pPr>
      <w:r>
        <w:rPr>
          <w:rFonts w:ascii="Arial" w:cs="Arial" w:eastAsia="Arial" w:hAnsi="Arial"/>
          <w:sz w:val="18"/>
          <w:szCs w:val="18"/>
          <w:color w:val="auto"/>
        </w:rPr>
        <w:t>Steven J. Bilodeau (Chairman)</w:t>
      </w:r>
      <w:r>
        <w:rPr>
          <w:sz w:val="20"/>
          <w:szCs w:val="20"/>
          <w:color w:val="auto"/>
        </w:rPr>
        <w:tab/>
      </w:r>
      <w:r>
        <w:rPr>
          <w:rFonts w:ascii="Arial" w:cs="Arial" w:eastAsia="Arial" w:hAnsi="Arial"/>
          <w:sz w:val="18"/>
          <w:szCs w:val="18"/>
          <w:color w:val="auto"/>
        </w:rPr>
        <w:t>William E. Bendush</w:t>
      </w:r>
      <w:r>
        <w:rPr>
          <w:sz w:val="20"/>
          <w:szCs w:val="20"/>
          <w:color w:val="auto"/>
        </w:rPr>
        <w:tab/>
      </w:r>
      <w:r>
        <w:rPr>
          <w:rFonts w:ascii="Arial" w:cs="Arial" w:eastAsia="Arial" w:hAnsi="Arial"/>
          <w:sz w:val="16"/>
          <w:szCs w:val="16"/>
          <w:color w:val="auto"/>
        </w:rPr>
        <w:t>Karl H. Funke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8"/>
          </w:tcPr>
          <w:p>
            <w:pPr>
              <w:ind w:left="380"/>
              <w:spacing w:after="0"/>
              <w:rPr>
                <w:sz w:val="20"/>
                <w:szCs w:val="20"/>
                <w:color w:val="auto"/>
              </w:rPr>
            </w:pPr>
            <w:r>
              <w:rPr>
                <w:rFonts w:ascii="Arial" w:cs="Arial" w:eastAsia="Arial" w:hAnsi="Arial"/>
                <w:sz w:val="18"/>
                <w:szCs w:val="18"/>
                <w:b w:val="1"/>
                <w:bCs w:val="1"/>
                <w:color w:val="auto"/>
              </w:rPr>
              <w:t>2017 SUMMARY COMPENSATION TABLE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40" w:type="dxa"/>
            <w:vAlign w:val="bottom"/>
            <w:gridSpan w:val="10"/>
          </w:tcPr>
          <w:p>
            <w:pPr>
              <w:jc w:val="right"/>
              <w:ind w:right="200"/>
              <w:spacing w:after="0"/>
              <w:rPr>
                <w:sz w:val="20"/>
                <w:szCs w:val="20"/>
                <w:color w:val="auto"/>
              </w:rPr>
            </w:pPr>
            <w:r>
              <w:rPr>
                <w:rFonts w:ascii="Arial" w:cs="Arial" w:eastAsia="Arial" w:hAnsi="Arial"/>
                <w:sz w:val="18"/>
                <w:szCs w:val="18"/>
                <w:color w:val="auto"/>
                <w:w w:val="95"/>
              </w:rPr>
              <w:t>The following table shows compensation information for fiscal 2017 for the NEOs.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Non-Equity</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Nonqualified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Incentive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Deferred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Comp.</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All Other</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Name and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Bonus</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Comp.</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Earnings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Comp.</w:t>
            </w: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1"/>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Principal Position</w:t>
            </w:r>
          </w:p>
        </w:tc>
        <w:tc>
          <w:tcPr>
            <w:tcW w:w="12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Year</w:t>
            </w:r>
          </w:p>
        </w:tc>
        <w:tc>
          <w:tcPr>
            <w:tcW w:w="8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680" w:type="dxa"/>
            <w:vAlign w:val="bottom"/>
          </w:tcPr>
          <w:p>
            <w:pPr>
              <w:jc w:val="center"/>
              <w:ind w:right="30"/>
              <w:spacing w:after="0" w:line="27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tc>
        <w:tc>
          <w:tcPr>
            <w:tcW w:w="120" w:type="dxa"/>
            <w:vAlign w:val="bottom"/>
          </w:tcPr>
          <w:p>
            <w:pPr>
              <w:spacing w:after="0"/>
              <w:rPr>
                <w:sz w:val="23"/>
                <w:szCs w:val="23"/>
                <w:color w:val="auto"/>
              </w:rPr>
            </w:pPr>
          </w:p>
        </w:tc>
        <w:tc>
          <w:tcPr>
            <w:tcW w:w="92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(2)</w:t>
            </w:r>
          </w:p>
        </w:tc>
        <w:tc>
          <w:tcPr>
            <w:tcW w:w="120" w:type="dxa"/>
            <w:vAlign w:val="bottom"/>
          </w:tcPr>
          <w:p>
            <w:pPr>
              <w:spacing w:after="0"/>
              <w:rPr>
                <w:sz w:val="23"/>
                <w:szCs w:val="23"/>
                <w:color w:val="auto"/>
              </w:rPr>
            </w:pPr>
          </w:p>
        </w:tc>
        <w:tc>
          <w:tcPr>
            <w:tcW w:w="136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(3)</w:t>
            </w:r>
          </w:p>
        </w:tc>
        <w:tc>
          <w:tcPr>
            <w:tcW w:w="100" w:type="dxa"/>
            <w:vAlign w:val="bottom"/>
          </w:tcPr>
          <w:p>
            <w:pPr>
              <w:spacing w:after="0"/>
              <w:rPr>
                <w:sz w:val="23"/>
                <w:szCs w:val="23"/>
                <w:color w:val="auto"/>
              </w:rPr>
            </w:pPr>
          </w:p>
        </w:tc>
        <w:tc>
          <w:tcPr>
            <w:tcW w:w="136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(4)</w:t>
            </w:r>
          </w:p>
        </w:tc>
        <w:tc>
          <w:tcPr>
            <w:tcW w:w="120" w:type="dxa"/>
            <w:vAlign w:val="bottom"/>
          </w:tcPr>
          <w:p>
            <w:pPr>
              <w:spacing w:after="0"/>
              <w:rPr>
                <w:sz w:val="23"/>
                <w:szCs w:val="23"/>
                <w:color w:val="auto"/>
              </w:rPr>
            </w:pPr>
          </w:p>
        </w:tc>
        <w:tc>
          <w:tcPr>
            <w:tcW w:w="90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(5)</w:t>
            </w:r>
          </w:p>
        </w:tc>
        <w:tc>
          <w:tcPr>
            <w:tcW w:w="10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527,308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1,386,829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794,361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2,726,079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&amp;</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485,000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1,048,309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577,485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410,000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879,050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436,709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17,036</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Jeffrey D. Jones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328,039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599,090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292,884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Finance &amp;</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320,000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534,619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Financial Officer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285,000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441,572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180,430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921,252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Thomas D. Kampfer </w:t>
            </w:r>
            <w:r>
              <w:rPr>
                <w:rFonts w:ascii="Arial" w:cs="Arial" w:eastAsia="Arial" w:hAnsi="Arial"/>
                <w:sz w:val="29"/>
                <w:szCs w:val="29"/>
                <w:b w:val="1"/>
                <w:bCs w:val="1"/>
                <w:color w:val="auto"/>
                <w:vertAlign w:val="superscript"/>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208,942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358,533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114,803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Vice President, Corp. Development,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General Counsel &amp; Secretary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Christopher G. Bohrson </w:t>
            </w:r>
            <w:r>
              <w:rPr>
                <w:rFonts w:ascii="Arial" w:cs="Arial" w:eastAsia="Arial" w:hAnsi="Arial"/>
                <w:sz w:val="29"/>
                <w:szCs w:val="29"/>
                <w:b w:val="1"/>
                <w:bCs w:val="1"/>
                <w:color w:val="auto"/>
                <w:vertAlign w:val="superscript"/>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248,077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332,836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190,171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12,952</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&amp; General Manager,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Digital Test Handlers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Ian von Fellenberg </w:t>
            </w:r>
            <w:r>
              <w:rPr>
                <w:rFonts w:ascii="Arial" w:cs="Arial" w:eastAsia="Arial" w:hAnsi="Arial"/>
                <w:sz w:val="29"/>
                <w:szCs w:val="29"/>
                <w:b w:val="1"/>
                <w:bCs w:val="1"/>
                <w:color w:val="auto"/>
                <w:vertAlign w:val="superscript"/>
              </w:rPr>
              <w:t>(6) (7)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249,431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332,836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188,849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198,049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55,693</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&amp; General Manager,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Analog Test Handlers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shown for Mr. Kampfer is a new-hire bonus of $50,000.</w:t>
      </w:r>
    </w:p>
    <w:p>
      <w:pPr>
        <w:spacing w:after="0" w:line="225" w:lineRule="exact"/>
        <w:rPr>
          <w:rFonts w:ascii="Arial" w:cs="Arial" w:eastAsia="Arial" w:hAnsi="Arial"/>
          <w:sz w:val="18"/>
          <w:szCs w:val="18"/>
          <w:color w:val="auto"/>
        </w:rPr>
      </w:pPr>
    </w:p>
    <w:p>
      <w:pPr>
        <w:ind w:left="380" w:right="40" w:hanging="318"/>
        <w:spacing w:after="0" w:line="255"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NEOs. Instead, the amounts shown above are the grant date fair value for stock awards issued in the form of RSUs and PSUs granted in fiscal 2017, 2016 and 2015. The assumptions used to calculate the grant date fair value of the stock awards are set forth in Note 6, “Employee Benefit Plans,” included in Part IV, Item 15(a) of Cohu’s Annual Report on Form 10-K for the year ended December 30, 2017, filed with the SEC. The derived grant date fair value for the stock award is recognized, for financial statement purposes, over the number of days of service required for the award to vest in full. No options were granted to the NEOs during the three -year period ended December 30, 2017.</w:t>
      </w:r>
    </w:p>
    <w:p>
      <w:pPr>
        <w:spacing w:after="0" w:line="193" w:lineRule="exact"/>
        <w:rPr>
          <w:rFonts w:ascii="Arial" w:cs="Arial" w:eastAsia="Arial" w:hAnsi="Arial"/>
          <w:sz w:val="18"/>
          <w:szCs w:val="18"/>
          <w:color w:val="auto"/>
        </w:rPr>
      </w:pPr>
    </w:p>
    <w:p>
      <w:pPr>
        <w:ind w:left="380" w:right="240" w:hanging="318"/>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consist of performance-based incentive cash bonuses received by the NEO earned for services rendered in fiscal 2017, 2016 and 2015. Such amounts were paid under the 2005 Plan in February of the following fiscal year.</w:t>
      </w:r>
    </w:p>
    <w:p>
      <w:pPr>
        <w:spacing w:after="0" w:line="170" w:lineRule="exact"/>
        <w:rPr>
          <w:rFonts w:ascii="Arial" w:cs="Arial" w:eastAsia="Arial" w:hAnsi="Arial"/>
          <w:sz w:val="18"/>
          <w:szCs w:val="18"/>
          <w:color w:val="auto"/>
        </w:rPr>
      </w:pPr>
    </w:p>
    <w:p>
      <w:pPr>
        <w:ind w:left="380" w:right="160" w:hanging="318"/>
        <w:spacing w:after="0" w:line="279"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Amounts reflect the aggregate change in the actuarial present value of each NEO’s accumulated benefits under defined benefit plans, during the fiscal year. The amounts reported in this column vary with a number of factors, including the discount rate applied. The assumptions used to calculate the present value of Mr. von Fellenberg’s accumulated benefit obligation are set forth in Note 6, “Employee Benefit Plans,” included in Part IV, Item 15(a) of Cohu’s Annual Report on Form 10-K for the year ended December 30, 2017, filed with the SEC.</w:t>
      </w:r>
    </w:p>
    <w:p>
      <w:pPr>
        <w:spacing w:after="0" w:line="171" w:lineRule="exact"/>
        <w:rPr>
          <w:rFonts w:ascii="Arial" w:cs="Arial" w:eastAsia="Arial" w:hAnsi="Arial"/>
          <w:sz w:val="17"/>
          <w:szCs w:val="17"/>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shown in this column reflect the following for each NEO:</w:t>
      </w:r>
    </w:p>
    <w:p>
      <w:pPr>
        <w:spacing w:after="0" w:line="225" w:lineRule="exact"/>
        <w:rPr>
          <w:rFonts w:ascii="Arial" w:cs="Arial" w:eastAsia="Arial" w:hAnsi="Arial"/>
          <w:sz w:val="18"/>
          <w:szCs w:val="18"/>
          <w:color w:val="auto"/>
        </w:rPr>
      </w:pPr>
    </w:p>
    <w:p>
      <w:pPr>
        <w:ind w:left="640" w:right="100" w:hanging="240"/>
        <w:spacing w:after="0" w:line="342" w:lineRule="auto"/>
        <w:tabs>
          <w:tab w:leader="none" w:pos="6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 U.S. based NEOs, includes amounts of Cohu’s matching contributions in fiscal 2017 under the Cohu 401(k) Plan (which is more fully described elsewhere herein under the heading “Retirement Benefits Under the 401(k) Plan, Executive Perquisites and Generally Available Benefits”).</w:t>
      </w:r>
    </w:p>
    <w:p>
      <w:pPr>
        <w:spacing w:after="0" w:line="123" w:lineRule="exact"/>
        <w:rPr>
          <w:rFonts w:ascii="Arial" w:cs="Arial" w:eastAsia="Arial" w:hAnsi="Arial"/>
          <w:sz w:val="16"/>
          <w:szCs w:val="16"/>
          <w:color w:val="auto"/>
        </w:rPr>
      </w:pPr>
    </w:p>
    <w:p>
      <w:pPr>
        <w:ind w:left="640" w:right="20" w:hanging="240"/>
        <w:spacing w:after="0" w:line="308" w:lineRule="auto"/>
        <w:tabs>
          <w:tab w:leader="none" w:pos="6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For Mr. von Fellenberg during 2017 Cohu made contributions totaling $30,693 to the Ismeca Europe Semiconductor BVG Pension Plan. The amount reported above also includes an estimate of $25,000 for tax preparation and tax equalization payments he is entitled to.</w:t>
      </w:r>
    </w:p>
    <w:p>
      <w:pPr>
        <w:spacing w:after="0" w:line="146" w:lineRule="exact"/>
        <w:rPr>
          <w:rFonts w:ascii="Arial" w:cs="Arial" w:eastAsia="Arial" w:hAnsi="Arial"/>
          <w:sz w:val="17"/>
          <w:szCs w:val="17"/>
          <w:color w:val="auto"/>
        </w:rPr>
      </w:pPr>
    </w:p>
    <w:p>
      <w:pPr>
        <w:ind w:left="640" w:right="20" w:hanging="240"/>
        <w:spacing w:after="0" w:line="277" w:lineRule="auto"/>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value attributable to life insurance benefits provided by Cohu (such amount is taxable to the recipient). No life insurance benefits are provided to Mr. von Fellenberg.</w:t>
      </w:r>
    </w:p>
    <w:p>
      <w:pPr>
        <w:spacing w:after="0" w:line="170" w:lineRule="exact"/>
        <w:rPr>
          <w:rFonts w:ascii="Arial" w:cs="Arial" w:eastAsia="Arial" w:hAnsi="Arial"/>
          <w:sz w:val="18"/>
          <w:szCs w:val="18"/>
          <w:color w:val="auto"/>
        </w:rPr>
      </w:pPr>
    </w:p>
    <w:p>
      <w:pPr>
        <w:ind w:left="640" w:right="280" w:hanging="240"/>
        <w:spacing w:after="0" w:line="277" w:lineRule="auto"/>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Monthly automobile expense allowance paid by Cohu (such amount is taxable to the recipient). Mr. von Fellenberg is not provided an automobile expense allowance.</w:t>
      </w:r>
    </w:p>
    <w:p>
      <w:pPr>
        <w:spacing w:after="0" w:line="170" w:lineRule="exact"/>
        <w:rPr>
          <w:sz w:val="20"/>
          <w:szCs w:val="20"/>
          <w:color w:val="auto"/>
        </w:rPr>
      </w:pPr>
    </w:p>
    <w:p>
      <w:pPr>
        <w:ind w:left="400" w:right="320"/>
        <w:spacing w:after="0" w:line="277" w:lineRule="auto"/>
        <w:rPr>
          <w:sz w:val="20"/>
          <w:szCs w:val="20"/>
          <w:color w:val="auto"/>
        </w:rPr>
      </w:pPr>
      <w:r>
        <w:rPr>
          <w:rFonts w:ascii="Arial" w:cs="Arial" w:eastAsia="Arial" w:hAnsi="Arial"/>
          <w:sz w:val="18"/>
          <w:szCs w:val="18"/>
          <w:color w:val="auto"/>
        </w:rPr>
        <w:t>Except as noted above, the amount attributable to each such perquisite or benefit for each NEO does not exceed the greater of $25,000 or 10% of the total amount of perquisites and personal benefits received by such NEO.</w:t>
      </w:r>
    </w:p>
    <w:p>
      <w:pPr>
        <w:spacing w:after="0" w:line="170" w:lineRule="exact"/>
        <w:rPr>
          <w:sz w:val="20"/>
          <w:szCs w:val="20"/>
          <w:color w:val="auto"/>
        </w:rPr>
      </w:pPr>
    </w:p>
    <w:p>
      <w:pPr>
        <w:ind w:left="380" w:right="100" w:hanging="318"/>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Kampfer joined Cohu on May 30, 2017, and Messrs. Bohrson and von Fellenberg were appointed officers during 2017, as such, information related to their compensation is only presented for 2017.</w:t>
      </w:r>
    </w:p>
    <w:p>
      <w:pPr>
        <w:spacing w:after="0" w:line="170" w:lineRule="exact"/>
        <w:rPr>
          <w:rFonts w:ascii="Arial" w:cs="Arial" w:eastAsia="Arial" w:hAnsi="Arial"/>
          <w:sz w:val="18"/>
          <w:szCs w:val="18"/>
          <w:color w:val="auto"/>
        </w:rPr>
      </w:pPr>
    </w:p>
    <w:p>
      <w:pPr>
        <w:ind w:left="380" w:right="240" w:hanging="318"/>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to Mr. von Fellenberg were made in Swiss Francs. Compensation amounts presented have been converted to U.S. Dollars using the average daily exchange rate for the annual period presented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275" w:gutter="0" w:footer="0" w:header="0"/>
        </w:sectPr>
      </w:pPr>
    </w:p>
    <w:bookmarkStart w:id="40" w:name="page41"/>
    <w:bookmarkEnd w:id="40"/>
    <w:p>
      <w:pPr>
        <w:ind w:right="40" w:firstLine="324"/>
        <w:spacing w:after="0" w:line="259" w:lineRule="auto"/>
        <w:rPr>
          <w:sz w:val="20"/>
          <w:szCs w:val="20"/>
          <w:color w:val="auto"/>
        </w:rPr>
      </w:pPr>
      <w:r>
        <w:rPr>
          <w:rFonts w:ascii="Arial" w:cs="Arial" w:eastAsia="Arial" w:hAnsi="Arial"/>
          <w:sz w:val="18"/>
          <w:szCs w:val="18"/>
          <w:color w:val="auto"/>
        </w:rPr>
        <w:t>We have not entered into any employment agreement with any of our NEOs, with the exception of Dr. Müller and Mr. von Fellenberg, whose employment agreements are described in more detail in “Employment Agreements” above. Similarly, the material terms of stock awards granted to our NEOs in 2017 and performance-based incentive cash bonuses earned by our NEOs for 2017 are described in more detail in “Long-Term Incentive Compensation” and “Annual Incentive Bonuses,” respectively,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CEO PAY RATIO</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401(u) of Regulation S-K, we are providing the following information about the relationship of the annual total compensation of our employees and the annual total compensation of Dr. Luis Müller, our CEO.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2017, our last completed fiscal year:</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$30,904; and</w:t>
      </w:r>
    </w:p>
    <w:p>
      <w:pPr>
        <w:spacing w:after="0" w:line="23"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presented elsewhere in this Proxy Statement, was $2,726,079.</w:t>
      </w:r>
    </w:p>
    <w:p>
      <w:pPr>
        <w:spacing w:after="0" w:line="193" w:lineRule="exact"/>
        <w:rPr>
          <w:sz w:val="20"/>
          <w:szCs w:val="20"/>
          <w:color w:val="auto"/>
        </w:rPr>
      </w:pPr>
    </w:p>
    <w:p>
      <w:pPr>
        <w:ind w:left="20" w:right="680" w:firstLine="324"/>
        <w:spacing w:after="0" w:line="282" w:lineRule="auto"/>
        <w:rPr>
          <w:sz w:val="20"/>
          <w:szCs w:val="20"/>
          <w:color w:val="auto"/>
        </w:rPr>
      </w:pPr>
      <w:r>
        <w:rPr>
          <w:rFonts w:ascii="Arial" w:cs="Arial" w:eastAsia="Arial" w:hAnsi="Arial"/>
          <w:sz w:val="18"/>
          <w:szCs w:val="18"/>
          <w:b w:val="1"/>
          <w:bCs w:val="1"/>
          <w:color w:val="auto"/>
        </w:rPr>
        <w:t>Based on this information, for 2017 the ratio of the annual total compensation of Dr. Müller, our CEO, to the median of the annual total compensation of all our employees was 88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-307340</wp:posOffset>
            </wp:positionV>
            <wp:extent cx="7250430" cy="295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15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determined that, as of October 1, 2017, our employee population consisted of approximately 1,745 individuals globally, with 17% of these individuals located in the United States, 16% located in Europe (primarily in Germany and Switzerland), and 67% located in Asia (primarily in Malaysia and the Philippines) . We selected October 1, 2017, which is within the last three months of 2017,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2017 compensation (actual compensation paid January through September 2017 plus estimated compensation for October through December 2017)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Using this methodology, we determined that the “median employee” was a full-time, salaried employee located in China. The median employee’s actual annual total compensation for the 12-month period ending December 31, 2017, was $30,904. This amount includes all wages, overtime pay, statutory and variable bonus payments, localized personal benefits, and mandatory payments to the government regarding pension, healthcare and housing converted to U.S. Dollars.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ind w:left="4200"/>
        <w:spacing w:after="0"/>
        <w:rPr>
          <w:sz w:val="20"/>
          <w:szCs w:val="20"/>
          <w:color w:val="auto"/>
        </w:rPr>
      </w:pPr>
      <w:r>
        <w:rPr>
          <w:rFonts w:ascii="Arial" w:cs="Arial" w:eastAsia="Arial" w:hAnsi="Arial"/>
          <w:sz w:val="18"/>
          <w:szCs w:val="18"/>
          <w:b w:val="1"/>
          <w:bCs w:val="1"/>
          <w:color w:val="auto"/>
        </w:rPr>
        <w:t>2017 GRANTS OF PLAN-BASED AWARDS</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following table shows all plan-based awards granted to the NEOs during fiscal 2017, which ended on December 30, 2017. The stock awards identified in the table below are also reported in the “Outstanding Equity Awards at December 30, 2017” table included herein. The Company did not grant any stock options to NEOs under the 2005 Plan in fiscal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Estimated Future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1"/>
              </w:rPr>
              <w:t>Estimated Future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Payouts Under Non-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center"/>
              <w:ind w:left="490"/>
              <w:spacing w:after="0"/>
              <w:rPr>
                <w:sz w:val="20"/>
                <w:szCs w:val="20"/>
                <w:color w:val="auto"/>
              </w:rPr>
            </w:pPr>
            <w:r>
              <w:rPr>
                <w:rFonts w:ascii="Arial" w:cs="Arial" w:eastAsia="Arial" w:hAnsi="Arial"/>
                <w:sz w:val="18"/>
                <w:szCs w:val="18"/>
                <w:b w:val="1"/>
                <w:bCs w:val="1"/>
                <w:color w:val="auto"/>
                <w:w w:val="89"/>
              </w:rPr>
              <w:t>Payouts Under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Awards: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Date Fair</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Equity Incentive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2"/>
              </w:rPr>
              <w:t>Equity Incentive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4"/>
          </w:tcPr>
          <w:p>
            <w:pPr>
              <w:jc w:val="center"/>
              <w:ind w:right="200"/>
              <w:spacing w:after="0" w:line="271" w:lineRule="exact"/>
              <w:rPr>
                <w:sz w:val="20"/>
                <w:szCs w:val="20"/>
                <w:color w:val="auto"/>
              </w:rPr>
            </w:pPr>
            <w:r>
              <w:rPr>
                <w:rFonts w:ascii="Arial" w:cs="Arial" w:eastAsia="Arial" w:hAnsi="Arial"/>
                <w:sz w:val="18"/>
                <w:szCs w:val="18"/>
                <w:b w:val="1"/>
                <w:bCs w:val="1"/>
                <w:color w:val="auto"/>
                <w:w w:val="85"/>
              </w:rPr>
              <w:t xml:space="preserve">Plan Awards </w:t>
            </w:r>
            <w:r>
              <w:rPr>
                <w:rFonts w:ascii="Arial" w:cs="Arial" w:eastAsia="Arial" w:hAnsi="Arial"/>
                <w:sz w:val="30"/>
                <w:szCs w:val="30"/>
                <w:b w:val="1"/>
                <w:bCs w:val="1"/>
                <w:color w:val="auto"/>
                <w:w w:val="85"/>
                <w:vertAlign w:val="superscript"/>
              </w:rPr>
              <w:t>(1)</w:t>
            </w:r>
          </w:p>
        </w:tc>
        <w:tc>
          <w:tcPr>
            <w:tcW w:w="7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bottom w:val="single" w:sz="8" w:color="auto"/>
            </w:tcBorders>
            <w:gridSpan w:val="5"/>
          </w:tcPr>
          <w:p>
            <w:pPr>
              <w:jc w:val="center"/>
              <w:ind w:left="490"/>
              <w:spacing w:after="0" w:line="271" w:lineRule="exact"/>
              <w:rPr>
                <w:sz w:val="20"/>
                <w:szCs w:val="20"/>
                <w:color w:val="auto"/>
              </w:rPr>
            </w:pPr>
            <w:r>
              <w:rPr>
                <w:rFonts w:ascii="Arial" w:cs="Arial" w:eastAsia="Arial" w:hAnsi="Arial"/>
                <w:sz w:val="18"/>
                <w:szCs w:val="18"/>
                <w:b w:val="1"/>
                <w:bCs w:val="1"/>
                <w:color w:val="auto"/>
                <w:w w:val="85"/>
              </w:rPr>
              <w:t xml:space="preserve">Plan Awards </w:t>
            </w:r>
            <w:r>
              <w:rPr>
                <w:rFonts w:ascii="Arial" w:cs="Arial" w:eastAsia="Arial" w:hAnsi="Arial"/>
                <w:sz w:val="30"/>
                <w:szCs w:val="30"/>
                <w:b w:val="1"/>
                <w:bCs w:val="1"/>
                <w:color w:val="auto"/>
                <w:w w:val="85"/>
                <w:vertAlign w:val="superscript"/>
              </w:rPr>
              <w:t>(2)</w:t>
            </w: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Stock and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4"/>
              </w:rPr>
              <w:t>Thres-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Maxi-</w:t>
            </w:r>
          </w:p>
        </w:tc>
        <w:tc>
          <w:tcPr>
            <w:tcW w:w="100" w:type="dxa"/>
            <w:vAlign w:val="bottom"/>
          </w:tcPr>
          <w:p>
            <w:pPr>
              <w:spacing w:after="0"/>
              <w:rPr>
                <w:sz w:val="16"/>
                <w:szCs w:val="16"/>
                <w:color w:val="auto"/>
              </w:rPr>
            </w:pPr>
          </w:p>
        </w:tc>
        <w:tc>
          <w:tcPr>
            <w:tcW w:w="8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4"/>
              </w:rPr>
              <w:t>Thres-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Maxi-</w:t>
            </w:r>
          </w:p>
        </w:tc>
        <w:tc>
          <w:tcPr>
            <w:tcW w:w="100" w:type="dxa"/>
            <w:vAlign w:val="bottom"/>
          </w:tcPr>
          <w:p>
            <w:pPr>
              <w:spacing w:after="0"/>
              <w:rPr>
                <w:sz w:val="16"/>
                <w:szCs w:val="16"/>
                <w:color w:val="auto"/>
              </w:rPr>
            </w:pPr>
          </w:p>
        </w:tc>
        <w:tc>
          <w:tcPr>
            <w:tcW w:w="12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Stock or</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Grant</w:t>
            </w:r>
          </w:p>
        </w:tc>
        <w:tc>
          <w:tcPr>
            <w:tcW w:w="80" w:type="dxa"/>
            <w:vAlign w:val="bottom"/>
          </w:tcPr>
          <w:p>
            <w:pPr>
              <w:spacing w:after="0"/>
              <w:rPr>
                <w:sz w:val="19"/>
                <w:szCs w:val="19"/>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hold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Target</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mum</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hold</w:t>
            </w:r>
          </w:p>
        </w:tc>
        <w:tc>
          <w:tcPr>
            <w:tcW w:w="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Target</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mum</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7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3"/>
                <w:szCs w:val="23"/>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Award Type</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Date</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3"/>
                <w:szCs w:val="23"/>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3"/>
                <w:szCs w:val="23"/>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3"/>
                <w:szCs w:val="23"/>
                <w:color w:val="auto"/>
              </w:rPr>
            </w:pPr>
          </w:p>
        </w:tc>
        <w:tc>
          <w:tcPr>
            <w:tcW w:w="1100" w:type="dxa"/>
            <w:vAlign w:val="bottom"/>
          </w:tcPr>
          <w:p>
            <w:pPr>
              <w:jc w:val="center"/>
              <w:spacing w:after="0" w:line="271" w:lineRule="exact"/>
              <w:rPr>
                <w:sz w:val="20"/>
                <w:szCs w:val="20"/>
                <w:color w:val="auto"/>
              </w:rPr>
            </w:pPr>
            <w:r>
              <w:rPr>
                <w:rFonts w:ascii="Arial" w:cs="Arial" w:eastAsia="Arial" w:hAnsi="Arial"/>
                <w:sz w:val="31"/>
                <w:szCs w:val="31"/>
                <w:b w:val="1"/>
                <w:bCs w:val="1"/>
                <w:color w:val="auto"/>
                <w:w w:val="90"/>
                <w:vertAlign w:val="subscript"/>
              </w:rPr>
              <w:t>(#)</w:t>
            </w:r>
            <w:r>
              <w:rPr>
                <w:rFonts w:ascii="Arial" w:cs="Arial" w:eastAsia="Arial" w:hAnsi="Arial"/>
                <w:sz w:val="14"/>
                <w:szCs w:val="14"/>
                <w:b w:val="1"/>
                <w:bCs w:val="1"/>
                <w:color w:val="auto"/>
                <w:w w:val="90"/>
              </w:rPr>
              <w:t xml:space="preserve"> (3)</w:t>
            </w:r>
          </w:p>
        </w:tc>
        <w:tc>
          <w:tcPr>
            <w:tcW w:w="100" w:type="dxa"/>
            <w:vAlign w:val="bottom"/>
          </w:tcPr>
          <w:p>
            <w:pPr>
              <w:spacing w:after="0"/>
              <w:rPr>
                <w:sz w:val="23"/>
                <w:szCs w:val="23"/>
                <w:color w:val="auto"/>
              </w:rPr>
            </w:pPr>
          </w:p>
        </w:tc>
        <w:tc>
          <w:tcPr>
            <w:tcW w:w="1140" w:type="dxa"/>
            <w:vAlign w:val="bottom"/>
          </w:tcPr>
          <w:p>
            <w:pPr>
              <w:jc w:val="center"/>
              <w:spacing w:after="0" w:line="271" w:lineRule="exact"/>
              <w:rPr>
                <w:sz w:val="20"/>
                <w:szCs w:val="20"/>
                <w:color w:val="auto"/>
              </w:rPr>
            </w:pPr>
            <w:r>
              <w:rPr>
                <w:rFonts w:ascii="Arial" w:cs="Arial" w:eastAsia="Arial" w:hAnsi="Arial"/>
                <w:sz w:val="31"/>
                <w:szCs w:val="31"/>
                <w:b w:val="1"/>
                <w:bCs w:val="1"/>
                <w:color w:val="auto"/>
                <w:w w:val="90"/>
                <w:vertAlign w:val="subscript"/>
              </w:rPr>
              <w:t>($)</w:t>
            </w:r>
            <w:r>
              <w:rPr>
                <w:rFonts w:ascii="Arial" w:cs="Arial" w:eastAsia="Arial" w:hAnsi="Arial"/>
                <w:sz w:val="14"/>
                <w:szCs w:val="14"/>
                <w:b w:val="1"/>
                <w:bCs w:val="1"/>
                <w:color w:val="auto"/>
                <w:w w:val="90"/>
              </w:rPr>
              <w:t xml:space="preserve"> (4)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Luis A.</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Incentive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891,845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Müller</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Performance-based</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37,492</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74,984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Jeffrey D.</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Incentive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Jones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Performance-based</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16,196</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344,327</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Thomas D.</w:t>
            </w:r>
          </w:p>
        </w:tc>
        <w:tc>
          <w:tcPr>
            <w:tcW w:w="1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Cash Incentive </w:t>
            </w:r>
            <w:r>
              <w:rPr>
                <w:rFonts w:ascii="Arial" w:cs="Arial" w:eastAsia="Arial" w:hAnsi="Arial"/>
                <w:sz w:val="29"/>
                <w:szCs w:val="29"/>
                <w:b w:val="1"/>
                <w:bCs w:val="1"/>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83,125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124,688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Kampfer</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Performance-based</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3"/>
              </w:rPr>
              <w:t>Christopher G.</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Incentive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Bohrson</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Performance-based</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8,998</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Ian</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Incentive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2"/>
              </w:rPr>
              <w:t>von Fellenberg</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Performance-based</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8,998</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191,297</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140" w:hanging="330"/>
        <w:spacing w:after="0" w:line="276"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shown are estimated possible payouts for fiscal 2017 under the executive incentive bonus plan. These amounts are based on the individual’s fiscal 2017 base salary amounts, and position. The maximum amount shown is 133% of the target amount for each of the NEOs. Actual bonuses received by the NEOs for fiscal 2017 are reported in the Summary Compensation Table under the column entitled “Non-Equity Incentive Plan Compensation.” Amounts earned by our NEOs for performance in 2017 are based on the attainment of performance goals for both the Company and the individual NEO, as described in more detail in “Annual Incentive Bonuses” above.</w:t>
      </w:r>
    </w:p>
    <w:p>
      <w:pPr>
        <w:spacing w:after="0" w:line="172" w:lineRule="exact"/>
        <w:rPr>
          <w:rFonts w:ascii="Arial" w:cs="Arial" w:eastAsia="Arial" w:hAnsi="Arial"/>
          <w:sz w:val="17"/>
          <w:szCs w:val="17"/>
          <w:color w:val="auto"/>
        </w:rPr>
      </w:pPr>
    </w:p>
    <w:p>
      <w:pPr>
        <w:ind w:left="500" w:right="120" w:hanging="330"/>
        <w:spacing w:after="0" w:line="25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PSU awards granted to our NEOs in 2017 are subject to certain adjustments resulting from the performance of our total stockholder return (“TSR”) relative to a pre-selected comparator group over the two-year period following the date of grant. The PSU awards granted in 2017 vest 100% on the third anniversary of the date of grant. Assuming the highest level of performance conditions are achieved, the grant date fair values for performance-based stock awards made in fiscal 2017 would be $1,594,160, $688,654, $394,330, $382,595 and $382,595 for Dr. Müller and Messrs. Jones, Kampfer, Bohrson and von Fellenberg, respectively.</w:t>
      </w:r>
    </w:p>
    <w:p>
      <w:pPr>
        <w:spacing w:after="0" w:line="188" w:lineRule="exact"/>
        <w:rPr>
          <w:rFonts w:ascii="Arial" w:cs="Arial" w:eastAsia="Arial" w:hAnsi="Arial"/>
          <w:sz w:val="18"/>
          <w:szCs w:val="18"/>
          <w:color w:val="auto"/>
        </w:rPr>
      </w:pPr>
    </w:p>
    <w:p>
      <w:pPr>
        <w:ind w:left="500" w:right="120" w:hanging="330"/>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reflect the number of RSUs awarded to each NEO under the 2005 Plan. The RSU awards granted to our NEOs in 2017 vest at the rate of 25% of the shares of our common stock subject to the awards per year.</w:t>
      </w:r>
    </w:p>
    <w:p>
      <w:pPr>
        <w:spacing w:after="0" w:line="170" w:lineRule="exact"/>
        <w:rPr>
          <w:rFonts w:ascii="Arial" w:cs="Arial" w:eastAsia="Arial" w:hAnsi="Arial"/>
          <w:sz w:val="18"/>
          <w:szCs w:val="18"/>
          <w:color w:val="auto"/>
        </w:rPr>
      </w:pPr>
    </w:p>
    <w:p>
      <w:pPr>
        <w:ind w:left="500" w:right="180" w:hanging="330"/>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shown above are the grant date fair value for stock awards issued in fiscal 2017. The assumptions used to calculate the grant date fair value of the awards are set forth in Note 6, “Employee Benefit Plans,” included in Part IV, Item 15(a) of Cohu’s Annual Report on Form 10-K for the year ended December 30, 2017, filed with the SEC.</w:t>
      </w:r>
    </w:p>
    <w:p>
      <w:pPr>
        <w:spacing w:after="0" w:line="181" w:lineRule="exact"/>
        <w:rPr>
          <w:rFonts w:ascii="Arial" w:cs="Arial" w:eastAsia="Arial" w:hAnsi="Arial"/>
          <w:sz w:val="18"/>
          <w:szCs w:val="18"/>
          <w:color w:val="auto"/>
        </w:rPr>
      </w:pPr>
    </w:p>
    <w:p>
      <w:pPr>
        <w:ind w:left="500" w:right="80" w:hanging="330"/>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Kampfer’s target and maximum “Cash Incentive” amounts presented in the table above have been prorated to his start date of May 30, 2017. Non-prorated target and maximum payouts were $142,500 and $213,750,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OUTSTANDING EQUITY AWARDS AT DECEMBER 30, 2017</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all outstanding equity awards held by each NEO at the end of fiscal 2017, which ended on December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OPTION AWARDS</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STOCK AWARDS</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Incentive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Plan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or 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Market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 of</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or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 or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Units of</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or Units</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Rights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Unexercised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Stock</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That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That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That Have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Unexercisable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Not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Vested</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7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20" w:type="dxa"/>
            <w:vAlign w:val="bottom"/>
            <w:gridSpan w:val="2"/>
          </w:tcPr>
          <w:p>
            <w:pPr>
              <w:jc w:val="center"/>
              <w:ind w:left="10"/>
              <w:spacing w:after="0" w:line="271" w:lineRule="exact"/>
              <w:rPr>
                <w:sz w:val="20"/>
                <w:szCs w:val="20"/>
                <w:color w:val="auto"/>
              </w:rPr>
            </w:pPr>
            <w:r>
              <w:rPr>
                <w:rFonts w:ascii="Arial" w:cs="Arial" w:eastAsia="Arial" w:hAnsi="Arial"/>
                <w:sz w:val="18"/>
                <w:szCs w:val="18"/>
                <w:b w:val="1"/>
                <w:bCs w:val="1"/>
                <w:color w:val="auto"/>
                <w:w w:val="85"/>
              </w:rPr>
              <w:t xml:space="preserve">(#) </w:t>
            </w:r>
            <w:r>
              <w:rPr>
                <w:rFonts w:ascii="Arial" w:cs="Arial" w:eastAsia="Arial" w:hAnsi="Arial"/>
                <w:sz w:val="30"/>
                <w:szCs w:val="30"/>
                <w:b w:val="1"/>
                <w:bCs w:val="1"/>
                <w:color w:val="auto"/>
                <w:w w:val="85"/>
                <w:vertAlign w:val="superscript"/>
              </w:rPr>
              <w:t>(1)</w:t>
            </w:r>
          </w:p>
        </w:tc>
        <w:tc>
          <w:tcPr>
            <w:tcW w:w="100" w:type="dxa"/>
            <w:vAlign w:val="bottom"/>
          </w:tcPr>
          <w:p>
            <w:pPr>
              <w:spacing w:after="0"/>
              <w:rPr>
                <w:sz w:val="23"/>
                <w:szCs w:val="23"/>
                <w:color w:val="auto"/>
              </w:rPr>
            </w:pPr>
          </w:p>
        </w:tc>
        <w:tc>
          <w:tcPr>
            <w:tcW w:w="148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(1)</w:t>
            </w:r>
          </w:p>
        </w:tc>
        <w:tc>
          <w:tcPr>
            <w:tcW w:w="120" w:type="dxa"/>
            <w:vAlign w:val="bottom"/>
          </w:tcPr>
          <w:p>
            <w:pPr>
              <w:spacing w:after="0"/>
              <w:rPr>
                <w:sz w:val="23"/>
                <w:szCs w:val="2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Price ($)</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Vested (#)</w:t>
            </w:r>
          </w:p>
        </w:tc>
        <w:tc>
          <w:tcPr>
            <w:tcW w:w="108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(2)</w:t>
            </w:r>
          </w:p>
        </w:tc>
        <w:tc>
          <w:tcPr>
            <w:tcW w:w="100" w:type="dxa"/>
            <w:vAlign w:val="bottom"/>
          </w:tcPr>
          <w:p>
            <w:pPr>
              <w:spacing w:after="0"/>
              <w:rPr>
                <w:sz w:val="23"/>
                <w:szCs w:val="23"/>
                <w:color w:val="auto"/>
              </w:rPr>
            </w:pPr>
          </w:p>
        </w:tc>
        <w:tc>
          <w:tcPr>
            <w:tcW w:w="104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(3)</w:t>
            </w:r>
          </w:p>
        </w:tc>
        <w:tc>
          <w:tcPr>
            <w:tcW w:w="100" w:type="dxa"/>
            <w:vAlign w:val="bottom"/>
          </w:tcPr>
          <w:p>
            <w:pPr>
              <w:spacing w:after="0"/>
              <w:rPr>
                <w:sz w:val="23"/>
                <w:szCs w:val="23"/>
                <w:color w:val="auto"/>
              </w:rPr>
            </w:pPr>
          </w:p>
        </w:tc>
        <w:tc>
          <w:tcPr>
            <w:tcW w:w="114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Luis A.</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3/26/2023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118,796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2,607,572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78,542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Müller</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Jeffrey D.</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33,780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3/6/2022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1,391,959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Jones</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38,442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3/26/2023</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Thomas 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203,564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Kampfer</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Christopher G.</w:t>
            </w:r>
          </w:p>
        </w:tc>
        <w:tc>
          <w:tcPr>
            <w:tcW w:w="1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19,030</w:t>
            </w:r>
          </w:p>
        </w:tc>
        <w:tc>
          <w:tcPr>
            <w:tcW w:w="11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417,709</w:t>
            </w:r>
          </w:p>
        </w:tc>
        <w:tc>
          <w:tcPr>
            <w:tcW w:w="11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22,375</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491,131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Bohrson</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Ian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9/11/2023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677,179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von Fellenberg</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stock options vest at a rate of 25% per year over the first four years after the date of grant and have a ten-year term.</w:t>
      </w:r>
    </w:p>
    <w:p>
      <w:pPr>
        <w:spacing w:after="0" w:line="225" w:lineRule="exact"/>
        <w:rPr>
          <w:rFonts w:ascii="Arial" w:cs="Arial" w:eastAsia="Arial" w:hAnsi="Arial"/>
          <w:sz w:val="18"/>
          <w:szCs w:val="18"/>
          <w:color w:val="auto"/>
        </w:rPr>
      </w:pPr>
    </w:p>
    <w:p>
      <w:pPr>
        <w:ind w:left="500" w:right="40" w:hanging="330"/>
        <w:spacing w:after="0" w:line="31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a closing price of Cohu’s common stock of $21.95 as reported on the NASDAQ Global Select Market on December 29, 2017. RSUs vest and shares are issued in four equal annual installments beginning one year after the date of grant. PSUs granted in 2017 and 2016 vest 100% on the third anniversary of their grant and PSUs granted in 2015 and 2014 vest 50% on the second and third anniversary of their grant, respectively.</w:t>
      </w:r>
    </w:p>
    <w:p>
      <w:pPr>
        <w:spacing w:after="0" w:line="146" w:lineRule="exact"/>
        <w:rPr>
          <w:rFonts w:ascii="Arial" w:cs="Arial" w:eastAsia="Arial" w:hAnsi="Arial"/>
          <w:sz w:val="16"/>
          <w:szCs w:val="16"/>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PSUs granted under the 2016 and 2017 PSU program at the target award level.</w:t>
      </w:r>
    </w:p>
    <w:p>
      <w:pPr>
        <w:spacing w:after="0" w:line="225" w:lineRule="exact"/>
        <w:rPr>
          <w:rFonts w:ascii="Arial" w:cs="Arial" w:eastAsia="Arial" w:hAnsi="Arial"/>
          <w:sz w:val="18"/>
          <w:szCs w:val="18"/>
          <w:color w:val="auto"/>
        </w:rPr>
      </w:pPr>
    </w:p>
    <w:p>
      <w:pPr>
        <w:ind w:left="500" w:right="40" w:hanging="330"/>
        <w:spacing w:after="0" w:line="30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a closing price of Cohu’s common stock of $21.95 as reported on the NASDAQ Global Select Market on December 29, 2017. RSUs vest and shares are issued in four equal annual installments beginning one year after the date of grant. On March 22, 2016, an additional one-time RSU grant which vests 100% on the second anniversary of their date of grant was made to some our NEOs as follows: Dr. Müller – 10,262, Mr. Jones – 5,233 and Mr. von Fellenberg – 2,463. This additional grant was awarded to adjust for the change of the 2016 PSU performance period from two to three years.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2017 OPTION EXERCISES AND STOCK VESTED</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shows all stock options exercised and the value realized upon exercise and all stock awards vested and the value realized upon vesting by the NEOs during fiscal 2017, which ended on December 30,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vMerge w:val="restart"/>
          </w:tcPr>
          <w:p>
            <w:pPr>
              <w:jc w:val="right"/>
              <w:ind w:right="920"/>
              <w:spacing w:after="0"/>
              <w:rPr>
                <w:sz w:val="20"/>
                <w:szCs w:val="20"/>
                <w:color w:val="auto"/>
              </w:rPr>
            </w:pPr>
            <w:r>
              <w:rPr>
                <w:rFonts w:ascii="Arial" w:cs="Arial" w:eastAsia="Arial" w:hAnsi="Arial"/>
                <w:sz w:val="18"/>
                <w:szCs w:val="18"/>
                <w:b w:val="1"/>
                <w:bCs w:val="1"/>
                <w:color w:val="auto"/>
              </w:rPr>
              <w:t>Option Awards</w:t>
            </w:r>
          </w:p>
        </w:tc>
        <w:tc>
          <w:tcPr>
            <w:tcW w:w="2700" w:type="dxa"/>
            <w:vAlign w:val="bottom"/>
            <w:gridSpan w:val="4"/>
          </w:tcPr>
          <w:p>
            <w:pPr>
              <w:ind w:left="76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vMerge w:val="continue"/>
          </w:tcPr>
          <w:p>
            <w:pPr>
              <w:spacing w:after="0"/>
              <w:rPr>
                <w:sz w:val="18"/>
                <w:szCs w:val="18"/>
                <w:color w:val="auto"/>
              </w:rPr>
            </w:pPr>
          </w:p>
        </w:tc>
        <w:tc>
          <w:tcPr>
            <w:tcW w:w="14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Number</w:t>
            </w:r>
          </w:p>
        </w:tc>
        <w:tc>
          <w:tcPr>
            <w:tcW w:w="11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6"/>
                <w:szCs w:val="16"/>
                <w:color w:val="auto"/>
              </w:rPr>
            </w:pPr>
          </w:p>
        </w:tc>
        <w:tc>
          <w:tcPr>
            <w:tcW w:w="14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5"/>
              </w:rPr>
              <w:t>of Shares</w:t>
            </w:r>
          </w:p>
        </w:tc>
        <w:tc>
          <w:tcPr>
            <w:tcW w:w="13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Realized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Acquired</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Realized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Acquired on</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on Exercise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on Vesting</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on</w:t>
            </w:r>
          </w:p>
        </w:tc>
        <w:tc>
          <w:tcPr>
            <w:tcW w:w="0" w:type="dxa"/>
            <w:vAlign w:val="bottom"/>
          </w:tcPr>
          <w:p>
            <w:pPr>
              <w:spacing w:after="0"/>
              <w:rPr>
                <w:sz w:val="1"/>
                <w:szCs w:val="1"/>
                <w:color w:val="auto"/>
              </w:rPr>
            </w:pPr>
          </w:p>
        </w:tc>
      </w:tr>
      <w:tr>
        <w:trPr>
          <w:trHeight w:val="271"/>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Exercise (#)</w:t>
            </w:r>
          </w:p>
        </w:tc>
        <w:tc>
          <w:tcPr>
            <w:tcW w:w="118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(1)</w:t>
            </w:r>
          </w:p>
        </w:tc>
        <w:tc>
          <w:tcPr>
            <w:tcW w:w="220" w:type="dxa"/>
            <w:vAlign w:val="bottom"/>
          </w:tcPr>
          <w:p>
            <w:pPr>
              <w:spacing w:after="0"/>
              <w:rPr>
                <w:sz w:val="23"/>
                <w:szCs w:val="23"/>
                <w:color w:val="auto"/>
              </w:rPr>
            </w:pPr>
          </w:p>
        </w:tc>
        <w:tc>
          <w:tcPr>
            <w:tcW w:w="118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(2)</w:t>
            </w:r>
          </w:p>
        </w:tc>
        <w:tc>
          <w:tcPr>
            <w:tcW w:w="220" w:type="dxa"/>
            <w:vAlign w:val="bottom"/>
          </w:tcPr>
          <w:p>
            <w:pPr>
              <w:spacing w:after="0"/>
              <w:rPr>
                <w:sz w:val="23"/>
                <w:szCs w:val="23"/>
                <w:color w:val="auto"/>
              </w:rPr>
            </w:pPr>
          </w:p>
        </w:tc>
        <w:tc>
          <w:tcPr>
            <w:tcW w:w="1300" w:type="dxa"/>
            <w:vAlign w:val="bottom"/>
            <w:gridSpan w:val="2"/>
          </w:tcPr>
          <w:p>
            <w:pPr>
              <w:jc w:val="center"/>
              <w:ind w:right="100"/>
              <w:spacing w:after="0" w:line="271" w:lineRule="exact"/>
              <w:rPr>
                <w:sz w:val="20"/>
                <w:szCs w:val="20"/>
                <w:color w:val="auto"/>
              </w:rPr>
            </w:pPr>
            <w:r>
              <w:rPr>
                <w:rFonts w:ascii="Arial" w:cs="Arial" w:eastAsia="Arial" w:hAnsi="Arial"/>
                <w:sz w:val="18"/>
                <w:szCs w:val="18"/>
                <w:b w:val="1"/>
                <w:bCs w:val="1"/>
                <w:color w:val="auto"/>
                <w:w w:val="85"/>
              </w:rPr>
              <w:t xml:space="preserve">Vesting ($) </w:t>
            </w:r>
            <w:r>
              <w:rPr>
                <w:rFonts w:ascii="Arial" w:cs="Arial" w:eastAsia="Arial" w:hAnsi="Arial"/>
                <w:sz w:val="30"/>
                <w:szCs w:val="30"/>
                <w:b w:val="1"/>
                <w:bCs w:val="1"/>
                <w:color w:val="auto"/>
                <w:w w:val="85"/>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170,721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1,409,744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77,133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Jeffrey D. Jones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62,500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568,625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43,486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506,775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D. Kampfer</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Christopher G. Bohrson</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3,345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62,919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Ian von Fellenberg</w:t>
            </w:r>
          </w:p>
        </w:tc>
        <w:tc>
          <w:tcPr>
            <w:tcW w:w="14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the difference between the market price of Cohu’s common stock on the date of exercise and the exercise price, multiplied by the number of shares for which the option was exercised.</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Number of shares acquired on vesting is before reduction for shares withheld to cover tax withholding. Cohu withheld the following number of shares for tax withholding: Dr. Müller, 40,252 shares; Mr. Jones, 22,694 shares; and Mr. Bohrson 1,465 shares. No shares were withheld for taxes for Mr. von Fellenberg.</w:t>
      </w:r>
    </w:p>
    <w:p>
      <w:pPr>
        <w:spacing w:after="0" w:line="181"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realized equals the number of units that vested multiplied by the per-share closing price of Cohu’s common stock on the vesting date. Amounts presented are gross amounts before required tax withholding.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2017 PENSION BENEFITS TABLE</w:t>
      </w:r>
    </w:p>
    <w:p>
      <w:pPr>
        <w:spacing w:after="0" w:line="229" w:lineRule="exact"/>
        <w:rPr>
          <w:sz w:val="20"/>
          <w:szCs w:val="20"/>
          <w:color w:val="auto"/>
        </w:rPr>
      </w:pPr>
    </w:p>
    <w:p>
      <w:pPr>
        <w:ind w:right="20" w:firstLine="415"/>
        <w:spacing w:after="0" w:line="269" w:lineRule="auto"/>
        <w:rPr>
          <w:sz w:val="20"/>
          <w:szCs w:val="20"/>
          <w:color w:val="auto"/>
        </w:rPr>
      </w:pPr>
      <w:r>
        <w:rPr>
          <w:rFonts w:ascii="Arial" w:cs="Arial" w:eastAsia="Arial" w:hAnsi="Arial"/>
          <w:sz w:val="17"/>
          <w:szCs w:val="17"/>
          <w:color w:val="auto"/>
        </w:rPr>
        <w:t>As summarized in the Compensation Discussion and Analysis above, the Company maintains defined benefit plans for many of its employees located outside the U.S. including the Ismeca Europe Semiconductor BVG Pension Plan (“the Swiss Plan”) that is provided to all eligible employees in Switzerland. Only one of the Company’s NEOs, Mr. von Fellenberg, participates in any of the defined benefit programs that Cohu maintains. The following table sets forth the present value of the accumulated pension benefits that Mr. von Fellenberg is eligible to receive under the Swiss Plan.</w:t>
      </w: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87"/>
              </w:rPr>
              <w:t>Present</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of Years</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Value of</w:t>
            </w:r>
          </w:p>
        </w:tc>
        <w:tc>
          <w:tcPr>
            <w:tcW w:w="22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Payments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Credited</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During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Benefit at</w:t>
            </w:r>
          </w:p>
        </w:tc>
        <w:tc>
          <w:tcPr>
            <w:tcW w:w="220" w:type="dxa"/>
            <w:vAlign w:val="bottom"/>
          </w:tcPr>
          <w:p>
            <w:pPr>
              <w:spacing w:after="0"/>
              <w:rPr>
                <w:sz w:val="18"/>
                <w:szCs w:val="18"/>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Last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at Fiscal</w:t>
            </w: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Last Fiscal</w:t>
            </w:r>
          </w:p>
        </w:tc>
        <w:tc>
          <w:tcPr>
            <w:tcW w:w="220" w:type="dxa"/>
            <w:vAlign w:val="bottom"/>
          </w:tcPr>
          <w:p>
            <w:pPr>
              <w:spacing w:after="0"/>
              <w:rPr>
                <w:sz w:val="19"/>
                <w:szCs w:val="19"/>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Fiscal</w:t>
            </w:r>
          </w:p>
        </w:tc>
        <w:tc>
          <w:tcPr>
            <w:tcW w:w="0" w:type="dxa"/>
            <w:vAlign w:val="bottom"/>
          </w:tcPr>
          <w:p>
            <w:pPr>
              <w:spacing w:after="0"/>
              <w:rPr>
                <w:sz w:val="1"/>
                <w:szCs w:val="1"/>
                <w:color w:val="auto"/>
              </w:rPr>
            </w:pPr>
          </w:p>
        </w:tc>
      </w:tr>
      <w:tr>
        <w:trPr>
          <w:trHeight w:val="271"/>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760" w:type="dxa"/>
            <w:vAlign w:val="bottom"/>
            <w:gridSpan w:val="2"/>
          </w:tcPr>
          <w:p>
            <w:pPr>
              <w:ind w:left="220"/>
              <w:spacing w:after="0"/>
              <w:rPr>
                <w:sz w:val="20"/>
                <w:szCs w:val="20"/>
                <w:color w:val="auto"/>
              </w:rPr>
            </w:pPr>
            <w:r>
              <w:rPr>
                <w:rFonts w:ascii="Arial" w:cs="Arial" w:eastAsia="Arial" w:hAnsi="Arial"/>
                <w:sz w:val="18"/>
                <w:szCs w:val="18"/>
                <w:b w:val="1"/>
                <w:bCs w:val="1"/>
                <w:color w:val="auto"/>
              </w:rPr>
              <w:t>Plan Name</w:t>
            </w:r>
          </w:p>
        </w:tc>
        <w:tc>
          <w:tcPr>
            <w:tcW w:w="2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Year-end</w:t>
            </w:r>
          </w:p>
        </w:tc>
        <w:tc>
          <w:tcPr>
            <w:tcW w:w="200" w:type="dxa"/>
            <w:vAlign w:val="bottom"/>
          </w:tcPr>
          <w:p>
            <w:pPr>
              <w:spacing w:after="0"/>
              <w:rPr>
                <w:sz w:val="23"/>
                <w:szCs w:val="23"/>
                <w:color w:val="auto"/>
              </w:rPr>
            </w:pPr>
          </w:p>
        </w:tc>
        <w:tc>
          <w:tcPr>
            <w:tcW w:w="144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6"/>
              </w:rPr>
              <w:t xml:space="preserve">Year-end ($) </w:t>
            </w:r>
            <w:r>
              <w:rPr>
                <w:rFonts w:ascii="Arial" w:cs="Arial" w:eastAsia="Arial" w:hAnsi="Arial"/>
                <w:sz w:val="30"/>
                <w:szCs w:val="30"/>
                <w:b w:val="1"/>
                <w:bCs w:val="1"/>
                <w:color w:val="auto"/>
                <w:w w:val="86"/>
                <w:vertAlign w:val="superscript"/>
              </w:rPr>
              <w:t>(1)</w:t>
            </w:r>
          </w:p>
        </w:tc>
        <w:tc>
          <w:tcPr>
            <w:tcW w:w="220" w:type="dxa"/>
            <w:vAlign w:val="bottom"/>
          </w:tcPr>
          <w:p>
            <w:pPr>
              <w:spacing w:after="0"/>
              <w:rPr>
                <w:sz w:val="23"/>
                <w:szCs w:val="23"/>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Ian von Fellenberg</w:t>
            </w:r>
          </w:p>
        </w:tc>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Ismeca Europe Semiconductor BVG Pension Plan</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6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1,519,676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ind w:left="580" w:right="20" w:hanging="329"/>
        <w:spacing w:after="0" w:line="342"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assumptions used to calculate the present value of Mr. von Fellenberg’s accumulated benefit obligation are set forth in Note 6, “Employee Benefit Plans,” included in Part IV, Item 15(a) of Cohu’s Annual Report on Form 10-K for the year ended December 30, 2017, filed with the SEC.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NONQUALIFIED DEFERRED COMPENSATION</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Deferred Compensation Plan, as summarized in the Compensation Discussion and Analysis above, permits eligible participants to defer compensation from salary and bonuses. The Deferred Compensation Plan limits the amount of participant deferrals to 25% of salary and 100% of bonuses. Cohu also makes matching contributions as summarized in the Compensation Discussion and Analysis.</w:t>
      </w:r>
    </w:p>
    <w:p>
      <w:pPr>
        <w:spacing w:after="0" w:line="1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fifteen annual installments upon retirement and in lump sum or five, ten or fifteen annual installments upon disability, death, termination or change in control, as defined in the Deferred Compensation Plan.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30, 2017, none of our NEOs have any amounts deferred under the Deferred Compensation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30, 2017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Arial" w:cs="Arial" w:eastAsia="Arial" w:hAnsi="Arial"/>
                <w:sz w:val="18"/>
                <w:szCs w:val="18"/>
                <w:b w:val="1"/>
                <w:bCs w:val="1"/>
                <w:color w:val="auto"/>
              </w:rPr>
              <w:t>Number of securities</w:t>
            </w:r>
          </w:p>
        </w:tc>
        <w:tc>
          <w:tcPr>
            <w:tcW w:w="1940" w:type="dxa"/>
            <w:vAlign w:val="bottom"/>
            <w:gridSpan w:val="2"/>
          </w:tcPr>
          <w:p>
            <w:pPr>
              <w:ind w:left="120"/>
              <w:spacing w:after="0"/>
              <w:rPr>
                <w:sz w:val="20"/>
                <w:szCs w:val="20"/>
                <w:color w:val="auto"/>
              </w:rPr>
            </w:pPr>
            <w:r>
              <w:rPr>
                <w:rFonts w:ascii="Arial" w:cs="Arial" w:eastAsia="Arial" w:hAnsi="Arial"/>
                <w:sz w:val="18"/>
                <w:szCs w:val="18"/>
                <w:b w:val="1"/>
                <w:bCs w:val="1"/>
                <w:color w:val="auto"/>
              </w:rPr>
              <w:t>Weighted average</w:t>
            </w:r>
          </w:p>
        </w:tc>
        <w:tc>
          <w:tcPr>
            <w:tcW w:w="260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 of securities</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 be issued upon</w:t>
            </w:r>
          </w:p>
        </w:tc>
        <w:tc>
          <w:tcPr>
            <w:tcW w:w="1400" w:type="dxa"/>
            <w:vAlign w:val="bottom"/>
          </w:tcPr>
          <w:p>
            <w:pPr>
              <w:ind w:left="120"/>
              <w:spacing w:after="0"/>
              <w:rPr>
                <w:sz w:val="20"/>
                <w:szCs w:val="20"/>
                <w:color w:val="auto"/>
              </w:rPr>
            </w:pPr>
            <w:r>
              <w:rPr>
                <w:rFonts w:ascii="Arial" w:cs="Arial" w:eastAsia="Arial" w:hAnsi="Arial"/>
                <w:sz w:val="18"/>
                <w:szCs w:val="18"/>
                <w:b w:val="1"/>
                <w:bCs w:val="1"/>
                <w:color w:val="auto"/>
                <w:w w:val="88"/>
              </w:rPr>
              <w:t>exercise price of</w:t>
            </w:r>
          </w:p>
        </w:tc>
        <w:tc>
          <w:tcPr>
            <w:tcW w:w="540" w:type="dxa"/>
            <w:vAlign w:val="bottom"/>
          </w:tcPr>
          <w:p>
            <w:pPr>
              <w:spacing w:after="0"/>
              <w:rPr>
                <w:sz w:val="18"/>
                <w:szCs w:val="18"/>
                <w:color w:val="auto"/>
              </w:rPr>
            </w:pPr>
          </w:p>
        </w:tc>
        <w:tc>
          <w:tcPr>
            <w:tcW w:w="2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available for future issuance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Arial" w:cs="Arial" w:eastAsia="Arial" w:hAnsi="Arial"/>
                <w:sz w:val="18"/>
                <w:szCs w:val="18"/>
                <w:b w:val="1"/>
                <w:bCs w:val="1"/>
                <w:color w:val="auto"/>
              </w:rPr>
              <w:t>exercise of</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Arial" w:cs="Arial" w:eastAsia="Arial" w:hAnsi="Arial"/>
                <w:sz w:val="18"/>
                <w:szCs w:val="18"/>
                <w:b w:val="1"/>
                <w:bCs w:val="1"/>
                <w:color w:val="auto"/>
              </w:rPr>
              <w:t>outstanding</w:t>
            </w:r>
          </w:p>
        </w:tc>
        <w:tc>
          <w:tcPr>
            <w:tcW w:w="1940" w:type="dxa"/>
            <w:vAlign w:val="bottom"/>
            <w:gridSpan w:val="2"/>
          </w:tcPr>
          <w:p>
            <w:pPr>
              <w:ind w:left="120"/>
              <w:spacing w:after="0"/>
              <w:rPr>
                <w:sz w:val="20"/>
                <w:szCs w:val="20"/>
                <w:color w:val="auto"/>
              </w:rPr>
            </w:pPr>
            <w:r>
              <w:rPr>
                <w:rFonts w:ascii="Arial" w:cs="Arial" w:eastAsia="Arial" w:hAnsi="Arial"/>
                <w:sz w:val="18"/>
                <w:szCs w:val="18"/>
                <w:b w:val="1"/>
                <w:bCs w:val="1"/>
                <w:color w:val="auto"/>
              </w:rPr>
              <w:t>outstanding options,</w:t>
            </w:r>
          </w:p>
        </w:tc>
        <w:tc>
          <w:tcPr>
            <w:tcW w:w="2600" w:type="dxa"/>
            <w:vAlign w:val="bottom"/>
            <w:gridSpan w:val="2"/>
          </w:tcPr>
          <w:p>
            <w:pPr>
              <w:ind w:left="100"/>
              <w:spacing w:after="0"/>
              <w:rPr>
                <w:sz w:val="20"/>
                <w:szCs w:val="20"/>
                <w:color w:val="auto"/>
              </w:rPr>
            </w:pPr>
            <w:r>
              <w:rPr>
                <w:rFonts w:ascii="Arial" w:cs="Arial" w:eastAsia="Arial" w:hAnsi="Arial"/>
                <w:sz w:val="18"/>
                <w:szCs w:val="18"/>
                <w:b w:val="1"/>
                <w:bCs w:val="1"/>
                <w:color w:val="auto"/>
              </w:rPr>
              <w:t>under equity compensation</w:t>
            </w:r>
          </w:p>
        </w:tc>
      </w:tr>
      <w:tr>
        <w:trPr>
          <w:trHeight w:val="22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180" w:type="dxa"/>
            <w:vAlign w:val="bottom"/>
            <w:gridSpan w:val="2"/>
          </w:tcPr>
          <w:p>
            <w:pPr>
              <w:ind w:left="340"/>
              <w:spacing w:after="0"/>
              <w:rPr>
                <w:sz w:val="20"/>
                <w:szCs w:val="20"/>
                <w:color w:val="auto"/>
              </w:rPr>
            </w:pPr>
            <w:r>
              <w:rPr>
                <w:rFonts w:ascii="Arial" w:cs="Arial" w:eastAsia="Arial" w:hAnsi="Arial"/>
                <w:sz w:val="18"/>
                <w:szCs w:val="18"/>
                <w:b w:val="1"/>
                <w:bCs w:val="1"/>
                <w:color w:val="auto"/>
                <w:w w:val="97"/>
              </w:rPr>
              <w:t>options, warrants and</w:t>
            </w:r>
          </w:p>
        </w:tc>
        <w:tc>
          <w:tcPr>
            <w:tcW w:w="1940" w:type="dxa"/>
            <w:vAlign w:val="bottom"/>
            <w:gridSpan w:val="2"/>
          </w:tcPr>
          <w:p>
            <w:pPr>
              <w:ind w:left="120"/>
              <w:spacing w:after="0"/>
              <w:rPr>
                <w:sz w:val="20"/>
                <w:szCs w:val="20"/>
                <w:color w:val="auto"/>
              </w:rPr>
            </w:pPr>
            <w:r>
              <w:rPr>
                <w:rFonts w:ascii="Arial" w:cs="Arial" w:eastAsia="Arial" w:hAnsi="Arial"/>
                <w:sz w:val="18"/>
                <w:szCs w:val="18"/>
                <w:b w:val="1"/>
                <w:bCs w:val="1"/>
                <w:color w:val="auto"/>
              </w:rPr>
              <w:t>warrants and rights</w:t>
            </w:r>
          </w:p>
        </w:tc>
        <w:tc>
          <w:tcPr>
            <w:tcW w:w="2600" w:type="dxa"/>
            <w:vAlign w:val="bottom"/>
            <w:gridSpan w:val="2"/>
          </w:tcPr>
          <w:p>
            <w:pPr>
              <w:ind w:left="100"/>
              <w:spacing w:after="0"/>
              <w:rPr>
                <w:sz w:val="20"/>
                <w:szCs w:val="20"/>
                <w:color w:val="auto"/>
              </w:rPr>
            </w:pPr>
            <w:r>
              <w:rPr>
                <w:rFonts w:ascii="Arial" w:cs="Arial" w:eastAsia="Arial" w:hAnsi="Arial"/>
                <w:sz w:val="18"/>
                <w:szCs w:val="18"/>
                <w:b w:val="1"/>
                <w:bCs w:val="1"/>
                <w:color w:val="auto"/>
              </w:rPr>
              <w:t>plans (excluding securities</w:t>
            </w:r>
          </w:p>
        </w:tc>
      </w:tr>
      <w:tr>
        <w:trPr>
          <w:trHeight w:val="27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180" w:type="dxa"/>
            <w:vAlign w:val="bottom"/>
            <w:gridSpan w:val="2"/>
          </w:tcPr>
          <w:p>
            <w:pPr>
              <w:ind w:left="340"/>
              <w:spacing w:after="0" w:line="271" w:lineRule="exact"/>
              <w:rPr>
                <w:sz w:val="20"/>
                <w:szCs w:val="20"/>
                <w:color w:val="auto"/>
              </w:rPr>
            </w:pPr>
            <w:r>
              <w:rPr>
                <w:rFonts w:ascii="Arial" w:cs="Arial" w:eastAsia="Arial" w:hAnsi="Arial"/>
                <w:sz w:val="18"/>
                <w:szCs w:val="18"/>
                <w:b w:val="1"/>
                <w:bCs w:val="1"/>
                <w:color w:val="auto"/>
              </w:rPr>
              <w:t xml:space="preserve">rights (a) </w:t>
            </w:r>
            <w:r>
              <w:rPr>
                <w:rFonts w:ascii="Arial" w:cs="Arial" w:eastAsia="Arial" w:hAnsi="Arial"/>
                <w:sz w:val="30"/>
                <w:szCs w:val="30"/>
                <w:b w:val="1"/>
                <w:bCs w:val="1"/>
                <w:color w:val="auto"/>
                <w:vertAlign w:val="superscript"/>
              </w:rPr>
              <w:t>(1)</w:t>
            </w:r>
          </w:p>
        </w:tc>
        <w:tc>
          <w:tcPr>
            <w:tcW w:w="1400" w:type="dxa"/>
            <w:vAlign w:val="bottom"/>
          </w:tcPr>
          <w:p>
            <w:pPr>
              <w:ind w:left="120"/>
              <w:spacing w:after="0" w:line="271" w:lineRule="exact"/>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30"/>
                <w:szCs w:val="30"/>
                <w:b w:val="1"/>
                <w:bCs w:val="1"/>
                <w:color w:val="auto"/>
                <w:vertAlign w:val="superscript"/>
              </w:rPr>
              <w:t>(2)</w:t>
            </w:r>
          </w:p>
        </w:tc>
        <w:tc>
          <w:tcPr>
            <w:tcW w:w="540" w:type="dxa"/>
            <w:vAlign w:val="bottom"/>
          </w:tcPr>
          <w:p>
            <w:pPr>
              <w:spacing w:after="0"/>
              <w:rPr>
                <w:sz w:val="23"/>
                <w:szCs w:val="23"/>
                <w:color w:val="auto"/>
              </w:rPr>
            </w:pPr>
          </w:p>
        </w:tc>
        <w:tc>
          <w:tcPr>
            <w:tcW w:w="2600" w:type="dxa"/>
            <w:vAlign w:val="bottom"/>
            <w:gridSpan w:val="2"/>
          </w:tcPr>
          <w:p>
            <w:pPr>
              <w:ind w:left="100"/>
              <w:spacing w:after="0" w:line="271" w:lineRule="exact"/>
              <w:rPr>
                <w:sz w:val="20"/>
                <w:szCs w:val="20"/>
                <w:color w:val="auto"/>
              </w:rPr>
            </w:pPr>
            <w:r>
              <w:rPr>
                <w:rFonts w:ascii="Arial" w:cs="Arial" w:eastAsia="Arial" w:hAnsi="Arial"/>
                <w:sz w:val="18"/>
                <w:szCs w:val="18"/>
                <w:b w:val="1"/>
                <w:bCs w:val="1"/>
                <w:color w:val="auto"/>
                <w:w w:val="99"/>
              </w:rPr>
              <w:t xml:space="preserve">reflected in column (a))(c) </w:t>
            </w:r>
            <w:r>
              <w:rPr>
                <w:rFonts w:ascii="Arial" w:cs="Arial" w:eastAsia="Arial" w:hAnsi="Arial"/>
                <w:sz w:val="30"/>
                <w:szCs w:val="30"/>
                <w:b w:val="1"/>
                <w:bCs w:val="1"/>
                <w:color w:val="auto"/>
                <w:w w:val="99"/>
                <w:vertAlign w:val="superscript"/>
              </w:rPr>
              <w:t>(3)</w:t>
            </w: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1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c>
          <w:tcPr>
            <w:tcW w:w="1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10.20</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Equity compensation plans not approved by security holders</w:t>
            </w:r>
          </w:p>
        </w:tc>
        <w:tc>
          <w:tcPr>
            <w:tcW w:w="3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180" w:type="dxa"/>
            <w:vAlign w:val="bottom"/>
            <w:gridSpan w:val="2"/>
          </w:tcPr>
          <w:p>
            <w:pPr>
              <w:jc w:val="right"/>
              <w:ind w:right="10"/>
              <w:spacing w:after="0"/>
              <w:rPr>
                <w:sz w:val="20"/>
                <w:szCs w:val="20"/>
                <w:color w:val="auto"/>
              </w:rPr>
            </w:pPr>
            <w:r>
              <w:rPr>
                <w:rFonts w:ascii="Arial" w:cs="Arial" w:eastAsia="Arial" w:hAnsi="Arial"/>
                <w:sz w:val="18"/>
                <w:szCs w:val="18"/>
                <w:color w:val="auto"/>
              </w:rPr>
              <w:t>1,787</w:t>
            </w:r>
          </w:p>
        </w:tc>
        <w:tc>
          <w:tcPr>
            <w:tcW w:w="140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10.20</w:t>
            </w:r>
          </w:p>
        </w:tc>
        <w:tc>
          <w:tcPr>
            <w:tcW w:w="250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ind w:left="480" w:right="540" w:hanging="242"/>
        <w:spacing w:after="0" w:line="277"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options, restricted stock units (RSUs) and performance stock units (PSUs) outstanding under Cohu’s equity incentive plans, as no stock warrants or other rights were outstanding as of December 30, 2017.</w:t>
      </w:r>
    </w:p>
    <w:p>
      <w:pPr>
        <w:spacing w:after="0" w:line="170" w:lineRule="exact"/>
        <w:rPr>
          <w:rFonts w:ascii="Arial" w:cs="Arial" w:eastAsia="Arial" w:hAnsi="Arial"/>
          <w:sz w:val="18"/>
          <w:szCs w:val="18"/>
          <w:color w:val="auto"/>
        </w:rPr>
      </w:pPr>
    </w:p>
    <w:p>
      <w:pPr>
        <w:ind w:left="480" w:right="20" w:hanging="242"/>
        <w:spacing w:after="0" w:line="277"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and PSUs into account as RSUs and PSUs have no exercise price.</w:t>
      </w:r>
    </w:p>
    <w:p>
      <w:pPr>
        <w:spacing w:after="0" w:line="170" w:lineRule="exact"/>
        <w:rPr>
          <w:rFonts w:ascii="Arial" w:cs="Arial" w:eastAsia="Arial" w:hAnsi="Arial"/>
          <w:sz w:val="18"/>
          <w:szCs w:val="18"/>
          <w:color w:val="auto"/>
        </w:rPr>
      </w:pPr>
    </w:p>
    <w:p>
      <w:pPr>
        <w:ind w:left="480" w:hanging="242"/>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601,340 shares of common stock reserved for future issuance under the Cohu 1997 Employee Stock Purchase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None of the Compensation Committee’s members have, at any time, been an officer or employee of Cohu. During fiscal 2017, no member of the Compensation Committee had any relationship with Cohu requiring disclosure under Item 404 of Regulation S-K. None of Cohu’s executive officers serves, or in fiscal 2017 has served, as a member of the board of directors or compensation committee of any entity that has one or more of its executive officers serving on Cohu’s Board or Compensation Committee.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Cohu has entered into Change in Control Agreements with Dr. Müller and Messrs. Jones and Kampfer pursuant to which those executives would be entitled to a payment in the event of a termination of employment for specified reasons following a change in control of Cohu. For this purpose, a change in control of Cohu means the occurrence of any of the following, in one or a series of related transactions:</w:t>
      </w:r>
    </w:p>
    <w:p>
      <w:pPr>
        <w:spacing w:after="0" w:line="181" w:lineRule="exact"/>
        <w:rPr>
          <w:sz w:val="20"/>
          <w:szCs w:val="20"/>
          <w:color w:val="auto"/>
        </w:rPr>
      </w:pPr>
    </w:p>
    <w:p>
      <w:pPr>
        <w:ind w:firstLine="255"/>
        <w:spacing w:after="0" w:line="277"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(“Person”) acquires ownership of the Company’s securities that, together with the stock held by such Person, constitutes more than fifty percent (50%) of the total voting power of the Company’s then outstanding stock.</w:t>
      </w:r>
    </w:p>
    <w:p>
      <w:pPr>
        <w:spacing w:after="0" w:line="170" w:lineRule="exact"/>
        <w:rPr>
          <w:rFonts w:ascii="Arial" w:cs="Arial" w:eastAsia="Arial" w:hAnsi="Arial"/>
          <w:sz w:val="18"/>
          <w:szCs w:val="18"/>
          <w:color w:val="auto"/>
        </w:rPr>
      </w:pPr>
    </w:p>
    <w:p>
      <w:pPr>
        <w:ind w:right="60" w:firstLine="251"/>
        <w:spacing w:after="0" w:line="264" w:lineRule="auto"/>
        <w:tabs>
          <w:tab w:leader="none" w:pos="4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(six (6) month period in the case of Dr. Müller) by members of the Board whose appointment or election is not endorsed by a majority of the members of the Board prior to the date of the appointment or election; or</w:t>
      </w:r>
    </w:p>
    <w:p>
      <w:pPr>
        <w:spacing w:after="0" w:line="181" w:lineRule="exact"/>
        <w:rPr>
          <w:rFonts w:ascii="Arial" w:cs="Arial" w:eastAsia="Arial" w:hAnsi="Arial"/>
          <w:sz w:val="18"/>
          <w:szCs w:val="18"/>
          <w:color w:val="auto"/>
        </w:rPr>
      </w:pPr>
    </w:p>
    <w:p>
      <w:pPr>
        <w:jc w:val="both"/>
        <w:ind w:right="100" w:firstLine="251"/>
        <w:spacing w:after="0" w:line="259" w:lineRule="auto"/>
        <w:tabs>
          <w:tab w:leader="none" w:pos="5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closing of any transaction involving a change in ownership of a substantial portion of the Company’s assets which occurs on the date that any Person acquires (or has acquired during any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w:t>
      </w:r>
    </w:p>
    <w:p>
      <w:pPr>
        <w:spacing w:after="0" w:line="187"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 term “change in control” shall not include a consolidation, merger, or other reorganization if upon consummation of such transaction all of the outstanding voting stock of the Company is owned, directly or indirectly, by a holding company, and the holders of the Company’s common stock immediately prior to the transaction have substantially the same proportionate ownership and voting control of such holding company after such transaction.</w:t>
      </w:r>
    </w:p>
    <w:p>
      <w:pPr>
        <w:spacing w:after="0" w:line="14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 transaction will not be deemed a change in control unless the transaction qualifies as a change in control event for the purposes of Section 409A of the Internal Revenue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firstLine="324"/>
        <w:spacing w:after="0" w:line="269" w:lineRule="auto"/>
        <w:rPr>
          <w:sz w:val="20"/>
          <w:szCs w:val="20"/>
          <w:color w:val="auto"/>
        </w:rPr>
      </w:pPr>
      <w:r>
        <w:rPr>
          <w:rFonts w:ascii="Arial" w:cs="Arial" w:eastAsia="Arial" w:hAnsi="Arial"/>
          <w:sz w:val="17"/>
          <w:szCs w:val="17"/>
          <w:color w:val="auto"/>
        </w:rPr>
        <w:t>Termination of employment for purposes of these agreements means a discharge of the executive within twenty-four (24) months of the change in control event,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 of the payment upon termination is an amount equal to twenty-four (24) months of the executive’s base salary rate (as in effect immediately prior to (1) the change in control, or (2) executive’s termination, whichever is greater), an amount equal to two times the executive’s target annual incentive established for the year prior to the year of executive’s termination of employment, plus an amount equal to a pro-rated portion of the executive’s annual incentive for the year of the executive’s termination of employment. The executive would also be entitled to receive reimbursement of payments made for the continuation of the executive’s health coverage pursuant to COBRA, for a period of up to twenty-four (24) months. The payment of such severance benefits, including the reimbursement of payments for COBRA continuation coverage, is limited to that amount which would not result in an “excess parachute payment” under Section 280G of the Internal Revenue Code. The amounts payable under their Change in Control Agreements may change from year to year based on the executive’s compensation at the time of termination.</w:t>
      </w:r>
    </w:p>
    <w:p>
      <w:pPr>
        <w:spacing w:after="0" w:line="183"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In addition, all outstanding and unvested equity awards relating to Cohu common stock as of the executive’s date of termination of employment (“Equity Awards”) will vest and be exercisable and remain subject to the terms and conditions of the applicable Equity Award and the post-termination exercise period for any outstanding stock options will be extended so as to terminate on the first to occur of twelve (12) months or the stock option’s original term expiration.</w:t>
      </w:r>
    </w:p>
    <w:p>
      <w:pPr>
        <w:spacing w:after="0" w:line="14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Additionally, 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the Deferred Compensation Plan provides that payment of the participant’s account balance will commence within thirty (30) days of a change in control, as defined in the Deferred Compensation Plan. The payment of the deferred compensation account balance would be in accordance with the payment method selected by the participant (i.e. lump sum, or five, ten or fifteen annual installments).</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the event of the occurrence of both a change in control and the subsequent termination of employment (as applicable) as of December 30, 2017 the amounts payable to certain executive officers would have been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Restricted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Annual</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Medical</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Sock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Severance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Bonus</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Benefits</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0" w:type="dxa"/>
            <w:vAlign w:val="bottom"/>
          </w:tcPr>
          <w:p>
            <w:pPr>
              <w:spacing w:after="0"/>
              <w:rPr>
                <w:sz w:val="1"/>
                <w:szCs w:val="1"/>
                <w:color w:val="auto"/>
              </w:rPr>
            </w:pPr>
          </w:p>
        </w:tc>
      </w:tr>
      <w:tr>
        <w:trPr>
          <w:trHeight w:val="271"/>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90"/>
              <w:spacing w:after="0" w:line="271"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 xml:space="preserve"> (1)</w:t>
            </w:r>
          </w:p>
        </w:tc>
        <w:tc>
          <w:tcPr>
            <w:tcW w:w="220" w:type="dxa"/>
            <w:vAlign w:val="bottom"/>
          </w:tcPr>
          <w:p>
            <w:pPr>
              <w:spacing w:after="0"/>
              <w:rPr>
                <w:sz w:val="23"/>
                <w:szCs w:val="23"/>
                <w:color w:val="auto"/>
              </w:rPr>
            </w:pPr>
          </w:p>
        </w:tc>
        <w:tc>
          <w:tcPr>
            <w:tcW w:w="1180" w:type="dxa"/>
            <w:vAlign w:val="bottom"/>
          </w:tcPr>
          <w:p>
            <w:pPr>
              <w:jc w:val="center"/>
              <w:spacing w:after="0" w:line="271" w:lineRule="exact"/>
              <w:rPr>
                <w:sz w:val="20"/>
                <w:szCs w:val="20"/>
                <w:color w:val="auto"/>
              </w:rPr>
            </w:pPr>
            <w:r>
              <w:rPr>
                <w:rFonts w:ascii="Arial" w:cs="Arial" w:eastAsia="Arial" w:hAnsi="Arial"/>
                <w:sz w:val="31"/>
                <w:szCs w:val="31"/>
                <w:b w:val="1"/>
                <w:bCs w:val="1"/>
                <w:color w:val="auto"/>
                <w:w w:val="90"/>
                <w:vertAlign w:val="subscript"/>
              </w:rPr>
              <w:t>($)</w:t>
            </w:r>
            <w:r>
              <w:rPr>
                <w:rFonts w:ascii="Arial" w:cs="Arial" w:eastAsia="Arial" w:hAnsi="Arial"/>
                <w:sz w:val="14"/>
                <w:szCs w:val="14"/>
                <w:b w:val="1"/>
                <w:bCs w:val="1"/>
                <w:color w:val="auto"/>
                <w:w w:val="90"/>
              </w:rPr>
              <w:t xml:space="preserve"> (1)</w:t>
            </w:r>
          </w:p>
        </w:tc>
        <w:tc>
          <w:tcPr>
            <w:tcW w:w="220" w:type="dxa"/>
            <w:vAlign w:val="bottom"/>
          </w:tcPr>
          <w:p>
            <w:pPr>
              <w:spacing w:after="0"/>
              <w:rPr>
                <w:sz w:val="23"/>
                <w:szCs w:val="23"/>
                <w:color w:val="auto"/>
              </w:rPr>
            </w:pPr>
          </w:p>
        </w:tc>
        <w:tc>
          <w:tcPr>
            <w:tcW w:w="1180" w:type="dxa"/>
            <w:vAlign w:val="bottom"/>
          </w:tcPr>
          <w:p>
            <w:pPr>
              <w:jc w:val="center"/>
              <w:spacing w:after="0" w:line="271" w:lineRule="exact"/>
              <w:rPr>
                <w:sz w:val="20"/>
                <w:szCs w:val="20"/>
                <w:color w:val="auto"/>
              </w:rPr>
            </w:pPr>
            <w:r>
              <w:rPr>
                <w:rFonts w:ascii="Arial" w:cs="Arial" w:eastAsia="Arial" w:hAnsi="Arial"/>
                <w:sz w:val="31"/>
                <w:szCs w:val="31"/>
                <w:b w:val="1"/>
                <w:bCs w:val="1"/>
                <w:color w:val="auto"/>
                <w:w w:val="90"/>
                <w:vertAlign w:val="subscript"/>
              </w:rPr>
              <w:t>($)</w:t>
            </w:r>
            <w:r>
              <w:rPr>
                <w:rFonts w:ascii="Arial" w:cs="Arial" w:eastAsia="Arial" w:hAnsi="Arial"/>
                <w:sz w:val="14"/>
                <w:szCs w:val="14"/>
                <w:b w:val="1"/>
                <w:bCs w:val="1"/>
                <w:color w:val="auto"/>
                <w:w w:val="90"/>
              </w:rPr>
              <w:t xml:space="preserve"> (2)</w:t>
            </w:r>
          </w:p>
        </w:tc>
        <w:tc>
          <w:tcPr>
            <w:tcW w:w="220" w:type="dxa"/>
            <w:vAlign w:val="bottom"/>
          </w:tcPr>
          <w:p>
            <w:pPr>
              <w:spacing w:after="0"/>
              <w:rPr>
                <w:sz w:val="23"/>
                <w:szCs w:val="23"/>
                <w:color w:val="auto"/>
              </w:rPr>
            </w:pPr>
          </w:p>
        </w:tc>
        <w:tc>
          <w:tcPr>
            <w:tcW w:w="1200" w:type="dxa"/>
            <w:vAlign w:val="bottom"/>
          </w:tcPr>
          <w:p>
            <w:pPr>
              <w:jc w:val="center"/>
              <w:spacing w:after="0" w:line="271" w:lineRule="exact"/>
              <w:rPr>
                <w:sz w:val="20"/>
                <w:szCs w:val="20"/>
                <w:color w:val="auto"/>
              </w:rPr>
            </w:pPr>
            <w:r>
              <w:rPr>
                <w:rFonts w:ascii="Arial" w:cs="Arial" w:eastAsia="Arial" w:hAnsi="Arial"/>
                <w:sz w:val="31"/>
                <w:szCs w:val="31"/>
                <w:b w:val="1"/>
                <w:bCs w:val="1"/>
                <w:color w:val="auto"/>
                <w:w w:val="90"/>
                <w:vertAlign w:val="subscript"/>
              </w:rPr>
              <w:t>($)</w:t>
            </w:r>
            <w:r>
              <w:rPr>
                <w:rFonts w:ascii="Arial" w:cs="Arial" w:eastAsia="Arial" w:hAnsi="Arial"/>
                <w:sz w:val="14"/>
                <w:szCs w:val="14"/>
                <w:b w:val="1"/>
                <w:bCs w:val="1"/>
                <w:color w:val="auto"/>
                <w:w w:val="90"/>
              </w:rPr>
              <w:t xml:space="preserve"> (3)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6,491,005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1,070,000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19,436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Jeffrey D. Jones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3,297,753</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659,000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395,400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36,368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2,206,985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Thomas D. Kampfer</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1,298,497</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570,000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285,000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36,368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Christopher G. Bohrson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908,840</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908,840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Ian von Fellenberg</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1,090,937</w:t>
            </w:r>
          </w:p>
        </w:tc>
        <w:tc>
          <w:tcPr>
            <w:tcW w:w="16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480" w:hanging="330"/>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cash severance benefits payable in the event of a qualifying termination under the Change in Control Agreements for Dr. Müller and Messrs. Jones and Kampfer. These amounts are based on the individual’s fiscal 2017 base salary.</w:t>
      </w:r>
    </w:p>
    <w:p>
      <w:pPr>
        <w:spacing w:after="0" w:line="170" w:lineRule="exact"/>
        <w:rPr>
          <w:rFonts w:ascii="Arial" w:cs="Arial" w:eastAsia="Arial" w:hAnsi="Arial"/>
          <w:sz w:val="18"/>
          <w:szCs w:val="18"/>
          <w:color w:val="auto"/>
        </w:rPr>
      </w:pPr>
    </w:p>
    <w:p>
      <w:pPr>
        <w:ind w:left="500" w:right="620" w:hanging="330"/>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termination as of December 30, 2017, Dr. Müller and Messrs. Jones and Kampfer would have been entitled to receive reimbursement for continued health care benefits pursuant to COBRA for a period of twenty-four (24) months.</w:t>
      </w:r>
    </w:p>
    <w:p>
      <w:pPr>
        <w:spacing w:after="0" w:line="170" w:lineRule="exact"/>
        <w:rPr>
          <w:rFonts w:ascii="Arial" w:cs="Arial" w:eastAsia="Arial" w:hAnsi="Arial"/>
          <w:sz w:val="18"/>
          <w:szCs w:val="18"/>
          <w:color w:val="auto"/>
        </w:rPr>
      </w:pPr>
    </w:p>
    <w:p>
      <w:pPr>
        <w:ind w:left="500" w:hanging="330"/>
        <w:spacing w:after="0" w:line="25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 Amounts presented above for RSUs have been calculated based on the total unvested RSUs and the closing price of Cohu’s common stock on $21.95 of December 29, 2017, prior to the payment of associated taxes, held by Dr. Müller and Messrs. Jones, Kampfer, Bohrson and von Fellenberg as of December 30, 2017.</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Other than as described above, and in the “Employment Agreements” section of the Compensation Discussion and Analysis, there are no other benefits or payments that would be paid to the NEOs upon resignation, severance, retirement, termination or a change in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Board is committed to upholding the highest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spacing w:after="0" w:line="187" w:lineRule="exact"/>
        <w:rPr>
          <w:sz w:val="20"/>
          <w:szCs w:val="20"/>
          <w:color w:val="auto"/>
        </w:rPr>
      </w:pPr>
    </w:p>
    <w:p>
      <w:pPr>
        <w:ind w:left="880" w:hanging="335"/>
        <w:spacing w:after="0"/>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executive officer, director or director nominee of Cohu;</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Cohu’s common stock;</w:t>
      </w:r>
    </w:p>
    <w:p>
      <w:pPr>
        <w:spacing w:after="0" w:line="225" w:lineRule="exact"/>
        <w:rPr>
          <w:rFonts w:ascii="Arial" w:cs="Arial" w:eastAsia="Arial" w:hAnsi="Arial"/>
          <w:sz w:val="18"/>
          <w:szCs w:val="18"/>
          <w:color w:val="auto"/>
        </w:rPr>
      </w:pPr>
    </w:p>
    <w:p>
      <w:pPr>
        <w:ind w:left="820" w:right="600" w:hanging="326"/>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is an immediate family member (as defined under Item 404 of Regulation S-K) of an executive officer, director or director nominee or beneficial owner of more than 5% of Cohu’s common stock; and</w:t>
      </w:r>
    </w:p>
    <w:p>
      <w:pPr>
        <w:spacing w:after="0" w:line="170" w:lineRule="exact"/>
        <w:rPr>
          <w:rFonts w:ascii="Arial" w:cs="Arial" w:eastAsia="Arial" w:hAnsi="Arial"/>
          <w:sz w:val="18"/>
          <w:szCs w:val="18"/>
          <w:color w:val="auto"/>
        </w:rPr>
      </w:pPr>
    </w:p>
    <w:p>
      <w:pPr>
        <w:ind w:left="820" w:right="320" w:hanging="326"/>
        <w:spacing w:after="0" w:line="308" w:lineRule="auto"/>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47"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related party transactions will be disclosed in Cohu’s applicable filings with the SEC as required under SEC rules.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STOCKHOLDER PROPOSALS – 2019 ANNUAL MEETING</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2019 Annual Meeting of Stockholders of Cohu must be received at Cohu’s offices on or before December 3, 2018 in order to be considered for inclusion in Cohu’s proxy statement and form of proxy relating to such meeting.</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a stockholder intends to submit a proposal at the 2019 Annual Meeting of Stockholders of Cohu, which proposal is not intended to be included in Cohu’s proxy statement and form of proxy relating to such Meeting, the stockholder should provide Cohu with appropriate notice no later than December 3, 2018. If Cohu fails to receive notice of the proposal by such date, any such proposal will be considered untimely, Cohu will not be required to provide any information about the nature of the proposal in its proxy statement, and the proposal will not be submitted to the stockholders for approval at the 2019 Annual Meeting of Stockholders of Cohu.</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Copies of Cohu’s Annual Report on Form 10-K for the year ended December 30, 2017, as filed with the SEC are available to stockholders without charge upon written request addressed to Investor Relations, Cohu, Inc., 12367 Crosthwaite Circle, Poway, California 92064-6817. The Annual Report on Form 10-K is also available at </w:t>
      </w:r>
      <w:r>
        <w:rPr>
          <w:rFonts w:ascii="Arial" w:cs="Arial" w:eastAsia="Arial" w:hAnsi="Arial"/>
          <w:sz w:val="18"/>
          <w:szCs w:val="18"/>
          <w:u w:val="single" w:color="auto"/>
          <w:color w:val="auto"/>
        </w:rPr>
        <w:t>www.cohu.com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2109470" cy="557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094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D. Kampfer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Markup of Cohu’s Amended and Restated Certificate of Incorporation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COHU, INC.</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6"/>
          <w:szCs w:val="16"/>
          <w:color w:val="auto"/>
          <w:strike w:val="1"/>
        </w:rPr>
        <w:t>We, the undersigned, CHARLES A. SCHWAN, the President, and JOHN H. ALLEN, the Secretary, of COHU, INC., a corporation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Delaware (hereinafter called the "Corporation"), do hereby certify as follows:</w:t>
      </w:r>
    </w:p>
    <w:p>
      <w:pPr>
        <w:spacing w:after="0" w:line="211" w:lineRule="exact"/>
        <w:rPr>
          <w:sz w:val="20"/>
          <w:szCs w:val="20"/>
          <w:color w:val="auto"/>
        </w:rPr>
      </w:pPr>
    </w:p>
    <w:p>
      <w:pPr>
        <w:ind w:right="100" w:firstLine="825"/>
        <w:spacing w:after="0" w:line="277" w:lineRule="auto"/>
        <w:rPr>
          <w:sz w:val="20"/>
          <w:szCs w:val="20"/>
          <w:color w:val="auto"/>
        </w:rPr>
      </w:pPr>
      <w:r>
        <w:rPr>
          <w:rFonts w:ascii="Arial" w:cs="Arial" w:eastAsia="Arial" w:hAnsi="Arial"/>
          <w:sz w:val="18"/>
          <w:szCs w:val="18"/>
          <w:color w:val="auto"/>
          <w:strike w:val="1"/>
        </w:rPr>
        <w:t>FIRST: COHU, INC., a corporation of the State of Delaware, was originally incorporated under the name Cohu Electronics, Inc., and its original certificate of incorporation was filed with the Secretary of State on January 2, 1957.</w:t>
      </w:r>
    </w:p>
    <w:p>
      <w:pPr>
        <w:spacing w:after="0" w:line="170" w:lineRule="exact"/>
        <w:rPr>
          <w:sz w:val="20"/>
          <w:szCs w:val="20"/>
          <w:color w:val="auto"/>
        </w:rPr>
      </w:pPr>
    </w:p>
    <w:p>
      <w:pPr>
        <w:ind w:right="60" w:firstLine="825"/>
        <w:spacing w:after="0" w:line="257" w:lineRule="auto"/>
        <w:rPr>
          <w:sz w:val="20"/>
          <w:szCs w:val="20"/>
          <w:color w:val="auto"/>
        </w:rPr>
      </w:pPr>
      <w:r>
        <w:rPr>
          <w:rFonts w:ascii="Arial" w:cs="Arial" w:eastAsia="Arial" w:hAnsi="Arial"/>
          <w:sz w:val="18"/>
          <w:szCs w:val="18"/>
          <w:color w:val="auto"/>
          <w:strike w:val="1"/>
        </w:rPr>
        <w:t>SECOND: That at a meeting of the Board of Directors, duly held and convened, the following Restated Certificate of Incorporation of COHU, INC. ("Restated Certificate") was duly adopted by the directors in accordance with Section 245 and 242 of the General Corporation Law of the State of Delaware. Said Restated Certificate only restates and integrates and does not further amend the provisions of the Corporation's certificate of incorporation as heretofore amended or supplemented, and there is no discrepancy between those provisions and the provisions of the Restated Certificate. The duly adopted Restated Certificate is as follows:</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FIRST: The name of the corporation is COHU, INC.</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SECOND: The name and address of its registered agent is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Corporation Trust Company, 1209 Orange Street, Wilmington, Delaware, 19801, located in New Castle County.</w:t>
      </w:r>
    </w:p>
    <w:p>
      <w:pPr>
        <w:spacing w:after="0" w:line="211" w:lineRule="exact"/>
        <w:rPr>
          <w:sz w:val="20"/>
          <w:szCs w:val="20"/>
          <w:color w:val="auto"/>
        </w:rPr>
      </w:pPr>
    </w:p>
    <w:p>
      <w:pPr>
        <w:jc w:val="both"/>
        <w:ind w:right="280" w:firstLine="825"/>
        <w:spacing w:after="0" w:line="264" w:lineRule="auto"/>
        <w:rPr>
          <w:sz w:val="20"/>
          <w:szCs w:val="20"/>
          <w:color w:val="auto"/>
        </w:rPr>
      </w:pPr>
      <w:r>
        <w:rPr>
          <w:rFonts w:ascii="Arial" w:cs="Arial" w:eastAsia="Arial" w:hAnsi="Arial"/>
          <w:sz w:val="18"/>
          <w:szCs w:val="18"/>
          <w:color w:val="auto"/>
        </w:rPr>
        <w:t xml:space="preserve">THIRD: </w:t>
      </w:r>
      <w:r>
        <w:rPr>
          <w:rFonts w:ascii="Arial" w:cs="Arial" w:eastAsia="Arial" w:hAnsi="Arial"/>
          <w:sz w:val="18"/>
          <w:szCs w:val="18"/>
          <w:u w:val="single" w:color="auto"/>
          <w:color w:val="auto"/>
        </w:rPr>
        <w:t>The purpose of the Corporation is to engage in any lawful act or activity for which corporations may be organized under the General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 xml:space="preserve">Corporation Law of the State of Delaware, as from time to time amended. </w:t>
      </w:r>
      <w:r>
        <w:rPr>
          <w:rFonts w:ascii="Arial" w:cs="Arial" w:eastAsia="Arial" w:hAnsi="Arial"/>
          <w:sz w:val="18"/>
          <w:szCs w:val="18"/>
          <w:color w:val="auto"/>
          <w:strike w:val="1"/>
        </w:rPr>
        <w:t>The nature of the business, or objects or purposes to be transacted, promoted or</w:t>
      </w:r>
      <w:r>
        <w:rPr>
          <w:rFonts w:ascii="Arial" w:cs="Arial" w:eastAsia="Arial" w:hAnsi="Arial"/>
          <w:sz w:val="18"/>
          <w:szCs w:val="18"/>
          <w:u w:val="single" w:color="auto"/>
          <w:color w:val="auto"/>
        </w:rPr>
        <w:t xml:space="preserve"> </w:t>
      </w:r>
      <w:r>
        <w:rPr>
          <w:rFonts w:ascii="Arial" w:cs="Arial" w:eastAsia="Arial" w:hAnsi="Arial"/>
          <w:sz w:val="18"/>
          <w:szCs w:val="18"/>
          <w:color w:val="auto"/>
          <w:strike w:val="1"/>
        </w:rPr>
        <w:t>carried on 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To manufacture, sell and deal in electronic instruments and devices.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strike w:val="1"/>
        </w:rPr>
        <w:t>To manufacture, purchase or otherwise acquire, invest in, own, mortgage, pledge, sell, assign and transfer or otherwise dispose of, trade, deal in and deal with goods, wares and merchandise and personal property of every class and description.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strike w:val="1"/>
        </w:rPr>
        <w:t>To acquire, and pay for in cash, stock or bonds of this corporation or otherwise, the good will, rights, assets and property, and to undertake or assume the whole or any part of the obligations or liabilities of any person, firm, association or corporation.</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strike w:val="1"/>
        </w:rPr>
        <w:t>To acquire, hold, use, sell, assign, lease, grant licenses in respect of mortgage or otherwise dispose of letters patent of the United States or any foreign country, patent rights, licenses and privileges, inventions, improvements and processes, copyrights, trademarks and trade names, relating to or useful in connection with any business of this corporation.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9" w:name="page50"/>
    <w:bookmarkEnd w:id="49"/>
    <w:p>
      <w:pPr>
        <w:spacing w:after="0" w:line="291" w:lineRule="auto"/>
        <w:rPr>
          <w:sz w:val="20"/>
          <w:szCs w:val="20"/>
          <w:color w:val="auto"/>
        </w:rPr>
      </w:pPr>
      <w:r>
        <w:rPr>
          <w:rFonts w:ascii="Arial" w:cs="Arial" w:eastAsia="Arial" w:hAnsi="Arial"/>
          <w:sz w:val="16"/>
          <w:szCs w:val="16"/>
          <w:color w:val="auto"/>
          <w:strike w:val="1"/>
        </w:rPr>
        <w:t>To acquire by purchase, subscription or otherwise, and to receive, hold, own guarantee, sell, assign, exchange, transfer, mortgage, pledge or otherwise dispose of or deal in and with any of the shares of the capital stock, or any voting trust certificates in respect of the shares of capital stock, scrip, warrants, rights, bonds, debentures, notes, trust receipts, and other securities, obligations, chooses in action and evidences of indebtedness or interest issued or created by any corporations, joint stock companies, syndicates, associations, firms, trusts or persons, public or private, or by the government of the United States of America, or by any foreign government, or by any state, territory, province, municipality or other political subdivision or by any governmental agency, and as owner thereof to possess and exercise all the rights, powers and privileges of ownership, including the right to execute consents and vote thereon, and to do any and all acts and things necessary or advisable for the preservation, protection, improvement and enhancement in value thereof.</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strike w:val="1"/>
        </w:rPr>
        <w:t>To enter into, make and perform contracts of every kind an description with any person, firm, association, corporation, municipality, county, state, body politic or government or colony or dependency thereof.</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strike w:val="1"/>
        </w:rPr>
        <w:t>To borrow or raise moneys for any of the purposes of the corporation and, from time to time without limit as to amount, to draw, make, accept, endorse, execute and issue promissory notes, drafts, exchange, warrants, bonds, debentures and other negotiable or non-negotiable instruments and evidences of indebtedness, and to secure the payment of any thereof and of the interest thereon by mortgage upon or pledge, conveyance or assignment in trust of the whole or any part of the property of the corporation, whether at the time owned or thereafter acquired, and to sell, pledge or otherwise dispose of such bonds or other obligations of the corporation for its corporate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To loan to any person, firm or corporation any of its surplus funds, either with or without security.</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strike w:val="1"/>
        </w:rPr>
        <w:t>To purchase, hold, sell and transfer the shares of its own capital stock; provided it shall not use its funds or property for the purchase of its own shares of capital stock when such use would cause any impairment of its capital except as otherwise permitted by law, and provided further that shares of its own capital stock belonging to it shall not be voted upon directly or indirectly.</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strike w:val="1"/>
        </w:rPr>
        <w:t>To have one or more offices, to carry on all or any of its operations and business and without restriction or limit as to amount, to purchase or otherwise acquire, hold, own, mortgage, sell, convey or otherwise dispose of, real and personal property of every class and description in any of the states, districts, territories or colonies of the United States, and in any and all foreign countries, subject to the laws of such state, district, territory, colony or country.</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strike w:val="1"/>
        </w:rPr>
        <w:t>In general, to carry on any other business in connection with the foregoing, and to have and exercise all the powers conferred by the laws of Delaware upon corporations formed under the General Corporation Law of the State of Delaware, and to do any or all of the things hereinbefore set forth to the same extent as natural person might or could do.</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strike w:val="1"/>
        </w:rPr>
        <w:t>The objects and purposes specified in the foregoing clauses shall, except where otherwise expressed, be in no way limited or restricted by reference to, or inference from the terms of any other clause in this certificate of incorporation, but the objects and purposes specified in each of the foregoing clauses of this article shall be regarded as independent objects and purposes.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0" w:name="page51"/>
    <w:bookmarkEnd w:id="50"/>
    <w:p>
      <w:pPr>
        <w:jc w:val="both"/>
        <w:ind w:right="300" w:firstLine="825"/>
        <w:spacing w:after="0" w:line="264" w:lineRule="auto"/>
        <w:rPr>
          <w:sz w:val="20"/>
          <w:szCs w:val="20"/>
          <w:color w:val="auto"/>
        </w:rPr>
      </w:pPr>
      <w:r>
        <w:rPr>
          <w:rFonts w:ascii="Arial" w:cs="Arial" w:eastAsia="Arial" w:hAnsi="Arial"/>
          <w:sz w:val="18"/>
          <w:szCs w:val="18"/>
          <w:color w:val="auto"/>
        </w:rPr>
        <w:t>FOURTH: The total number of shares of all classes of stock which the Corporation shall have authority to issue is 61,000,000 shares, of which 1,000,000 shares shall constitute Preferred Stock having a par value of $1.00 per share and 60,000,000 shares shall constitute Common Stock having a par value of $1.00 per share.</w:t>
      </w:r>
    </w:p>
    <w:p>
      <w:pPr>
        <w:spacing w:after="0" w:line="181" w:lineRule="exact"/>
        <w:rPr>
          <w:sz w:val="20"/>
          <w:szCs w:val="20"/>
          <w:color w:val="auto"/>
        </w:rPr>
      </w:pPr>
    </w:p>
    <w:p>
      <w:pPr>
        <w:ind w:right="140" w:firstLine="833"/>
        <w:spacing w:after="0" w:line="270" w:lineRule="auto"/>
        <w:tabs>
          <w:tab w:leader="none" w:pos="10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Any of the shares of Preferred Stock may be issued from time to time in one or more series. The Board of Directors, by resolution or resolutions, is authorized to create or provide for any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rights and terms of redemption (including sinking and purchase fund provisions), the redemption price or prices, the </w:t>
      </w:r>
      <w:r>
        <w:rPr>
          <w:rFonts w:ascii="Arial" w:cs="Arial" w:eastAsia="Arial" w:hAnsi="Arial"/>
          <w:sz w:val="17"/>
          <w:szCs w:val="17"/>
          <w:u w:val="single" w:color="auto"/>
          <w:color w:val="auto"/>
        </w:rPr>
        <w:t>liquidation or</w:t>
      </w:r>
      <w:r>
        <w:rPr>
          <w:rFonts w:ascii="Arial" w:cs="Arial" w:eastAsia="Arial" w:hAnsi="Arial"/>
          <w:sz w:val="17"/>
          <w:szCs w:val="17"/>
          <w:color w:val="auto"/>
        </w:rPr>
        <w:t xml:space="preserve">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any such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81" w:lineRule="exact"/>
        <w:rPr>
          <w:rFonts w:ascii="Arial" w:cs="Arial" w:eastAsia="Arial" w:hAnsi="Arial"/>
          <w:sz w:val="17"/>
          <w:szCs w:val="17"/>
          <w:color w:val="auto"/>
        </w:rPr>
      </w:pPr>
    </w:p>
    <w:p>
      <w:pPr>
        <w:ind w:right="600" w:firstLine="833"/>
        <w:spacing w:after="0" w:line="277" w:lineRule="auto"/>
        <w:tabs>
          <w:tab w:leader="none" w:pos="10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all of the rights of the Preferred Stock, dividends may be paid upon the Common Stock as and when declared by the Board of Directors out of funds legally available for payment of dividends.</w:t>
      </w:r>
    </w:p>
    <w:p>
      <w:pPr>
        <w:spacing w:after="0" w:line="170" w:lineRule="exact"/>
        <w:rPr>
          <w:rFonts w:ascii="Arial" w:cs="Arial" w:eastAsia="Arial" w:hAnsi="Arial"/>
          <w:sz w:val="18"/>
          <w:szCs w:val="18"/>
          <w:color w:val="auto"/>
        </w:rPr>
      </w:pPr>
    </w:p>
    <w:p>
      <w:pPr>
        <w:ind w:firstLine="833"/>
        <w:spacing w:after="0" w:line="255" w:lineRule="auto"/>
        <w:tabs>
          <w:tab w:leader="none" w:pos="1005" w:val="left"/>
        </w:tabs>
        <w:numPr>
          <w:ilvl w:val="0"/>
          <w:numId w:val="42"/>
        </w:numPr>
        <w:rPr>
          <w:rFonts w:ascii="Arial" w:cs="Arial" w:eastAsia="Arial" w:hAnsi="Arial"/>
          <w:sz w:val="18"/>
          <w:szCs w:val="18"/>
          <w:color w:val="auto"/>
          <w:strike w:val="1"/>
        </w:rPr>
      </w:pPr>
      <w:r>
        <w:rPr>
          <w:rFonts w:ascii="Arial" w:cs="Arial" w:eastAsia="Arial" w:hAnsi="Arial"/>
          <w:sz w:val="18"/>
          <w:szCs w:val="18"/>
          <w:color w:val="auto"/>
          <w:strike w:val="1"/>
        </w:rPr>
        <w:t>In the event of any liquidation, dissolution or winding up of the Corporation, whether voluntary or involuntary, and after the holders of the Preferred Stock shall have been paid in full amounts to which they respectively shall be entitled, or an amount sufficient to pay the aggregate amount to which such holders shall be entitled shall have been deposited in trust with a bank or trust company having its principal office in the Borough of Manhattan, City, County and State of New York, or the City of Los Angeles, State of California, having a capital, undivided profits and surplus aggregating at least $5,000,000 for the benefit of the holders of the Preferred Stock, the remaining net assets of the Corporation shall be distributed pro rata to the holders of the Common Stock.</w:t>
      </w:r>
    </w:p>
    <w:p>
      <w:pPr>
        <w:spacing w:after="0" w:line="193" w:lineRule="exact"/>
        <w:rPr>
          <w:sz w:val="20"/>
          <w:szCs w:val="20"/>
          <w:color w:val="auto"/>
        </w:rPr>
      </w:pPr>
    </w:p>
    <w:p>
      <w:pPr>
        <w:ind w:right="400" w:firstLine="825"/>
        <w:spacing w:after="0" w:line="259" w:lineRule="auto"/>
        <w:rPr>
          <w:sz w:val="20"/>
          <w:szCs w:val="20"/>
          <w:color w:val="auto"/>
        </w:rPr>
      </w:pPr>
      <w:r>
        <w:rPr>
          <w:rFonts w:ascii="Arial" w:cs="Arial" w:eastAsia="Arial" w:hAnsi="Arial"/>
          <w:sz w:val="18"/>
          <w:szCs w:val="18"/>
          <w:color w:val="auto"/>
        </w:rPr>
        <w:t>3</w:t>
      </w:r>
      <w:r>
        <w:rPr>
          <w:rFonts w:ascii="Arial" w:cs="Arial" w:eastAsia="Arial" w:hAnsi="Arial"/>
          <w:sz w:val="18"/>
          <w:szCs w:val="18"/>
          <w:color w:val="auto"/>
          <w:strike w:val="1"/>
        </w:rPr>
        <w:t>4</w:t>
      </w:r>
      <w:r>
        <w:rPr>
          <w:rFonts w:ascii="Arial" w:cs="Arial" w:eastAsia="Arial" w:hAnsi="Arial"/>
          <w:sz w:val="18"/>
          <w:szCs w:val="18"/>
          <w:color w:val="auto"/>
        </w:rPr>
        <w:t>. The entire voting power and all voting rights, except as otherwise required by law, or fixed by resolution or resolutions of the Board of Directors with respect to one or more series of Preferred Stock, shall be vested exclusively in the Common Stock. The amount of either the authorized Preferred Stock or Common Stock, or the amount of both such classes of stock, may be increased or decreased by the affirmative vote of the holders of a majority of the stock of the Corporation entitled to vote.</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FIFTH: </w:t>
      </w:r>
      <w:r>
        <w:rPr>
          <w:rFonts w:ascii="Arial" w:cs="Arial" w:eastAsia="Arial" w:hAnsi="Arial"/>
          <w:sz w:val="18"/>
          <w:szCs w:val="18"/>
          <w:u w:val="single" w:color="auto"/>
          <w:color w:val="auto"/>
        </w:rPr>
        <w:t>Reserved.</w:t>
      </w:r>
      <w:r>
        <w:rPr>
          <w:rFonts w:ascii="Arial" w:cs="Arial" w:eastAsia="Arial" w:hAnsi="Arial"/>
          <w:sz w:val="18"/>
          <w:szCs w:val="18"/>
          <w:color w:val="auto"/>
        </w:rPr>
        <w:t xml:space="preserve"> </w:t>
      </w:r>
      <w:r>
        <w:rPr>
          <w:rFonts w:ascii="Arial" w:cs="Arial" w:eastAsia="Arial" w:hAnsi="Arial"/>
          <w:sz w:val="18"/>
          <w:szCs w:val="18"/>
          <w:color w:val="auto"/>
          <w:strike w:val="1"/>
        </w:rPr>
        <w:t>The shareholders of this corporation shall have no pre-emptive rights.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SIXTH: </w:t>
      </w:r>
      <w:r>
        <w:rPr>
          <w:rFonts w:ascii="Arial" w:cs="Arial" w:eastAsia="Arial" w:hAnsi="Arial"/>
          <w:sz w:val="17"/>
          <w:szCs w:val="17"/>
          <w:u w:val="single" w:color="auto"/>
          <w:color w:val="auto"/>
        </w:rPr>
        <w:t>Reserved.</w:t>
      </w:r>
      <w:r>
        <w:rPr>
          <w:rFonts w:ascii="Arial" w:cs="Arial" w:eastAsia="Arial" w:hAnsi="Arial"/>
          <w:sz w:val="17"/>
          <w:szCs w:val="17"/>
          <w:color w:val="auto"/>
        </w:rPr>
        <w:t xml:space="preserve"> </w:t>
      </w:r>
      <w:r>
        <w:rPr>
          <w:rFonts w:ascii="Arial" w:cs="Arial" w:eastAsia="Arial" w:hAnsi="Arial"/>
          <w:sz w:val="17"/>
          <w:szCs w:val="17"/>
          <w:color w:val="auto"/>
          <w:strike w:val="1"/>
        </w:rPr>
        <w:t>The minimum amount of capital with which the corporation will commence business is ONE THOUSAND DOLLARS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strike w:val="1"/>
        </w:rPr>
        <w:t>($1,000).</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SEVENTH: </w:t>
      </w:r>
      <w:r>
        <w:rPr>
          <w:rFonts w:ascii="Arial" w:cs="Arial" w:eastAsia="Arial" w:hAnsi="Arial"/>
          <w:sz w:val="18"/>
          <w:szCs w:val="18"/>
          <w:u w:val="single" w:color="auto"/>
          <w:color w:val="auto"/>
        </w:rPr>
        <w:t>Reserved.</w:t>
      </w:r>
      <w:r>
        <w:rPr>
          <w:rFonts w:ascii="Arial" w:cs="Arial" w:eastAsia="Arial" w:hAnsi="Arial"/>
          <w:sz w:val="18"/>
          <w:szCs w:val="18"/>
          <w:color w:val="auto"/>
        </w:rPr>
        <w:t xml:space="preserve"> </w:t>
      </w:r>
      <w:r>
        <w:rPr>
          <w:rFonts w:ascii="Arial" w:cs="Arial" w:eastAsia="Arial" w:hAnsi="Arial"/>
          <w:sz w:val="18"/>
          <w:szCs w:val="18"/>
          <w:color w:val="auto"/>
          <w:strike w:val="1"/>
        </w:rPr>
        <w:t>The names and places of residence of the incorporators are as follows: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RESIDENCES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549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9400"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0280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H. K. Webb Wilmington,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0427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42795"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H. C. Broadt Wilmington,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0840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A. D. Atwell Wilmington,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084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left="840"/>
        <w:spacing w:after="0"/>
        <w:rPr>
          <w:sz w:val="20"/>
          <w:szCs w:val="20"/>
          <w:color w:val="auto"/>
        </w:rPr>
      </w:pPr>
      <w:r>
        <w:rPr>
          <w:rFonts w:ascii="Arial" w:cs="Arial" w:eastAsia="Arial" w:hAnsi="Arial"/>
          <w:sz w:val="18"/>
          <w:szCs w:val="18"/>
          <w:color w:val="auto"/>
        </w:rPr>
        <w:t>EIGHTH: The corporation is to have perpetual existence.</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NINTH: </w:t>
      </w:r>
      <w:r>
        <w:rPr>
          <w:rFonts w:ascii="Arial" w:cs="Arial" w:eastAsia="Arial" w:hAnsi="Arial"/>
          <w:sz w:val="17"/>
          <w:szCs w:val="17"/>
          <w:u w:val="single" w:color="auto"/>
          <w:color w:val="auto"/>
        </w:rPr>
        <w:t>Reserved.</w:t>
      </w:r>
      <w:r>
        <w:rPr>
          <w:rFonts w:ascii="Arial" w:cs="Arial" w:eastAsia="Arial" w:hAnsi="Arial"/>
          <w:sz w:val="17"/>
          <w:szCs w:val="17"/>
          <w:color w:val="auto"/>
        </w:rPr>
        <w:t xml:space="preserve"> </w:t>
      </w:r>
      <w:r>
        <w:rPr>
          <w:rFonts w:ascii="Arial" w:cs="Arial" w:eastAsia="Arial" w:hAnsi="Arial"/>
          <w:sz w:val="17"/>
          <w:szCs w:val="17"/>
          <w:color w:val="auto"/>
          <w:strike w:val="1"/>
        </w:rPr>
        <w:t>The private property of the stockholders shall not be subject to the payment of corporate debts to any extent whatever.</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TENTH: In furtherance and not in limitation of the powers conferred by statute, the board of directors is expressly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make, alter or repeal the by-laws of the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To authorize and cause to be executed mortgages and liens upon the real and personal property of the corporation.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strike w:val="1"/>
        </w:rPr>
        <w:t>To set apart out of any of the funds of the corporation available for dividends a reserve or reserves for any proper purpose and to abolish any such reserve in the manner in which it was created.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strike w:val="1"/>
        </w:rPr>
        <w:t>By resolution passed by a majority of the whole board, to designate one or more committees, each committee to consist of two or more of the directors of the corporation, which, to the extent provided in the resolution or in the by-laws of the corporation, shall have and may exercise the powers of the board of directors in the management of the business and affairs of the corporation, and may authorize the seal of the corporation to be affixed to all papers which may require it. Such committee or committees shall have such name or names as may be stated in the by-laws of the corporation or as may be determined from time to time by resolution adopted by the board of directors.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strike w:val="1"/>
        </w:rPr>
        <w:t>When and as authorized by the affirmative vote of the holders of a majority of the stock issued and outstanding having voting power given at a stockholders' meeting duly called for that purpose, or when authorized by the written consent of the holders of a majority of the voting stock issued and outstanding, to sell, lease or exchange all of the property and assets of the corporation, including its good will and its corporate franchises, upon such terms and conditions and for such consideration, which may be in whole or in part shares of stock in, and/or other securities of any other corporation or corporations, as its board of directors shall deem expedient and for the best interests of the corporation.</w:t>
      </w:r>
    </w:p>
    <w:p>
      <w:pPr>
        <w:spacing w:after="0" w:line="188" w:lineRule="exact"/>
        <w:rPr>
          <w:sz w:val="20"/>
          <w:szCs w:val="20"/>
          <w:color w:val="auto"/>
        </w:rPr>
      </w:pPr>
    </w:p>
    <w:p>
      <w:pPr>
        <w:ind w:firstLine="825"/>
        <w:spacing w:after="0" w:line="312" w:lineRule="auto"/>
        <w:rPr>
          <w:sz w:val="20"/>
          <w:szCs w:val="20"/>
          <w:color w:val="auto"/>
        </w:rPr>
      </w:pPr>
      <w:r>
        <w:rPr>
          <w:rFonts w:ascii="Arial" w:cs="Arial" w:eastAsia="Arial" w:hAnsi="Arial"/>
          <w:sz w:val="16"/>
          <w:szCs w:val="16"/>
          <w:color w:val="auto"/>
        </w:rPr>
        <w:t>ELEVENTH: Meetings of stockholders may be held outside the State of Delaware, if the by-laws so provide. The books of the corporation may be kept (subject to any provision contained in the statutes) outside the State of Delaware at such place or places as may be designated from time to time by the board of directors or in the by-laws of the corporation. Elections of directors need not be by ballot unless the by-laws of the corporation shall so provide.</w:t>
      </w:r>
    </w:p>
    <w:p>
      <w:pPr>
        <w:spacing w:after="0" w:line="147" w:lineRule="exact"/>
        <w:rPr>
          <w:sz w:val="20"/>
          <w:szCs w:val="20"/>
          <w:color w:val="auto"/>
        </w:rPr>
      </w:pPr>
    </w:p>
    <w:p>
      <w:pPr>
        <w:ind w:right="60" w:firstLine="825"/>
        <w:spacing w:after="0" w:line="308" w:lineRule="auto"/>
        <w:rPr>
          <w:sz w:val="20"/>
          <w:szCs w:val="20"/>
          <w:color w:val="auto"/>
        </w:rPr>
      </w:pPr>
      <w:r>
        <w:rPr>
          <w:rFonts w:ascii="Arial" w:cs="Arial" w:eastAsia="Arial" w:hAnsi="Arial"/>
          <w:sz w:val="17"/>
          <w:szCs w:val="17"/>
          <w:color w:val="auto"/>
        </w:rPr>
        <w:t>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47" w:lineRule="exact"/>
        <w:rPr>
          <w:sz w:val="20"/>
          <w:szCs w:val="20"/>
          <w:color w:val="auto"/>
        </w:rPr>
      </w:pPr>
    </w:p>
    <w:p>
      <w:pPr>
        <w:ind w:right="20" w:firstLine="825"/>
        <w:spacing w:after="0" w:line="259" w:lineRule="auto"/>
        <w:rPr>
          <w:sz w:val="20"/>
          <w:szCs w:val="20"/>
          <w:color w:val="auto"/>
        </w:rPr>
      </w:pPr>
      <w:r>
        <w:rPr>
          <w:rFonts w:ascii="Arial" w:cs="Arial" w:eastAsia="Arial" w:hAnsi="Arial"/>
          <w:sz w:val="18"/>
          <w:szCs w:val="18"/>
          <w:color w:val="auto"/>
        </w:rPr>
        <w:t xml:space="preserve">THIRTEENTH: Every shareholder entitled to vote at any election of directors of this company may cumulate his votes and give one candidate a number of votes equal to the number of directors to be elected multiplied by the number of votes to which his shares are entitled, or distribute his votes on the same principle among as many candidates as he thinks fit. The candidates receiving the highest number of votes up to the number of directors to be elected </w:t>
      </w:r>
      <w:r>
        <w:rPr>
          <w:rFonts w:ascii="Arial" w:cs="Arial" w:eastAsia="Arial" w:hAnsi="Arial"/>
          <w:sz w:val="18"/>
          <w:szCs w:val="18"/>
          <w:color w:val="auto"/>
          <w:strike w:val="1"/>
        </w:rPr>
        <w:t>are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-214630</wp:posOffset>
            </wp:positionV>
            <wp:extent cx="44342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34205" cy="8890"/>
                    </a:xfrm>
                    <a:prstGeom prst="rect">
                      <a:avLst/>
                    </a:prstGeom>
                    <a:noFill/>
                  </pic:spPr>
                </pic:pic>
              </a:graphicData>
            </a:graphic>
          </wp:anchor>
        </w:drawing>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2" w:name="page53"/>
    <w:bookmarkEnd w:id="52"/>
    <w:p>
      <w:pPr>
        <w:ind w:firstLine="825"/>
        <w:spacing w:after="0" w:line="287" w:lineRule="auto"/>
        <w:rPr>
          <w:sz w:val="20"/>
          <w:szCs w:val="20"/>
          <w:color w:val="auto"/>
        </w:rPr>
      </w:pPr>
      <w:r>
        <w:rPr>
          <w:rFonts w:ascii="Arial" w:cs="Arial" w:eastAsia="Arial" w:hAnsi="Arial"/>
          <w:sz w:val="16"/>
          <w:szCs w:val="16"/>
          <w:color w:val="auto"/>
        </w:rPr>
        <w:t>FOURTEENTH: 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The Directors elected at the meeting of stockholders at which the Amendment to the Certificate of Incorporation of this Corporation to include this Article is approved shall determine which of them shall belong to Class 1, which to Class 2, and which to Class 3 by resolution of the Board, which resolution when adopted may not be amended or rescinded. Those so determined as belonging to Class 1 shall serve for a term ending on the annual meeting date next following, those so determined as belonging to Class 2 shall serve for a term ending on the second annual meeting date next following, and those so determined as belonging to Class 3 shall serve a full term as hereinabove provided. The foregoing notwithstanding, each Director shall serve until a successor shall have been duly elected and qualified unless he shall resign, become disqualified, die or shall be removed as provided in this Certificate of Incorporation.</w:t>
      </w:r>
    </w:p>
    <w:p>
      <w:pPr>
        <w:spacing w:after="0" w:line="173" w:lineRule="exact"/>
        <w:rPr>
          <w:sz w:val="20"/>
          <w:szCs w:val="20"/>
          <w:color w:val="auto"/>
        </w:rPr>
      </w:pPr>
    </w:p>
    <w:p>
      <w:pPr>
        <w:ind w:right="20" w:firstLine="825"/>
        <w:spacing w:after="0" w:line="259" w:lineRule="auto"/>
        <w:rPr>
          <w:sz w:val="20"/>
          <w:szCs w:val="20"/>
          <w:color w:val="auto"/>
        </w:rPr>
      </w:pPr>
      <w:r>
        <w:rPr>
          <w:rFonts w:ascii="Arial" w:cs="Arial" w:eastAsia="Arial" w:hAnsi="Arial"/>
          <w:sz w:val="18"/>
          <w:szCs w:val="18"/>
          <w:color w:val="auto"/>
        </w:rPr>
        <w:t>No Director of the Corporation shall be removed from office as a Director by vote or other action of stockholders or otherwise, unless the Director to be removed has been convicted of a felony by a court of competent jurisdiction and such conviction is no longer subject to direct appeal, or unless the Director to be removed has been adjudged to be liable for negligence or misconduct in the performance of his duty to the Corporation by a court of competent jurisdiction and such adjudication is no longer subject to direct appeal.</w:t>
      </w:r>
    </w:p>
    <w:p>
      <w:pPr>
        <w:spacing w:after="0" w:line="187" w:lineRule="exact"/>
        <w:rPr>
          <w:sz w:val="20"/>
          <w:szCs w:val="20"/>
          <w:color w:val="auto"/>
        </w:rPr>
      </w:pPr>
    </w:p>
    <w:p>
      <w:pPr>
        <w:ind w:right="60" w:firstLine="825"/>
        <w:spacing w:after="0" w:line="287" w:lineRule="auto"/>
        <w:rPr>
          <w:sz w:val="20"/>
          <w:szCs w:val="20"/>
          <w:color w:val="auto"/>
        </w:rPr>
      </w:pPr>
      <w:r>
        <w:rPr>
          <w:rFonts w:ascii="Arial" w:cs="Arial" w:eastAsia="Arial" w:hAnsi="Arial"/>
          <w:sz w:val="16"/>
          <w:szCs w:val="16"/>
          <w:color w:val="auto"/>
        </w:rPr>
        <w:t>FIFTEENTH: In the event that it is proposed that this Corporation enter into a "business combination" (as hereinafter defined) with any other corporation and such corporation or its affiliates singly or in the aggregate own or control directly or indirectly five (5%) percent or more of the outstanding shares of the common stock of this Corporation (such corporation and its affiliates being referred to herein as a "related party"), the affirmative vote of the holders of not less than 80% of the total voting power of all outstanding shares of stock of this Corporation shall be required for the approval of such proposal; provided, however, that the foregoing shall not apply to any business combination which was approved by resolution of the Board of Directors of this Corporation prior to the acquisition of the ownership or control of ten (10%) percent of the outstanding shares of this Corporation by such related party, nor shall it apply to any business combination between this Corporation and another Corporation, fifty (50%) percent or more of the voting stock of which is owned by this Corporation, and none of which is owned or controlled by a related party, provided that each stockholder of this Corporation receives the same type of consideration in such transaction in proportion to his stockholding. For the purposes hereof, an "affiliate" is any person (including a corporation, partnership, trust, estate or individual) who directly or indirectly, through one or more intermediaries, controls or is controlled by or is under common control with the person specified, and "control" means the possession directly or indirectly of the power to direct or cause the direction of management and policies of a person, whether through the ownership of voting securities, by contract, or otherwise.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3" w:name="page54"/>
    <w:bookmarkEnd w:id="53"/>
    <w:p>
      <w:pPr>
        <w:ind w:right="80"/>
        <w:spacing w:after="0" w:line="257" w:lineRule="auto"/>
        <w:rPr>
          <w:sz w:val="20"/>
          <w:szCs w:val="20"/>
          <w:color w:val="auto"/>
        </w:rPr>
      </w:pPr>
      <w:r>
        <w:rPr>
          <w:rFonts w:ascii="Arial" w:cs="Arial" w:eastAsia="Arial" w:hAnsi="Arial"/>
          <w:sz w:val="18"/>
          <w:szCs w:val="18"/>
          <w:color w:val="auto"/>
        </w:rPr>
        <w:t>For the purposes hereof, the term "business combination" shall mean (a) any merger or consolidation of or with this Corporation, (b) any sale, lease, exchange, transfer or other disposition, including without limitation a mortgage or other security device, of all or any substantial part of the assets of this Corporation or any subsidiary of this Corporation, (c) the acquisition by this Corporation or subsidiary of this Corporation of any securities of a related person, (d) the issuance of any shares of this Corporation or any subsidiary to a related person, or (e) any agreement, contract or other arrangement providing for any of the transactions described in this definition of business combination.</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SIXTEENTH: Action shall be taken by stockholders only at an annual or special meeting of stockholders, and stockholders may not act by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consent.</w:t>
      </w:r>
    </w:p>
    <w:p>
      <w:pPr>
        <w:spacing w:after="0" w:line="211" w:lineRule="exact"/>
        <w:rPr>
          <w:sz w:val="20"/>
          <w:szCs w:val="20"/>
          <w:color w:val="auto"/>
        </w:rPr>
      </w:pPr>
    </w:p>
    <w:p>
      <w:pPr>
        <w:ind w:right="100" w:firstLine="825"/>
        <w:spacing w:after="0" w:line="302" w:lineRule="auto"/>
        <w:rPr>
          <w:sz w:val="20"/>
          <w:szCs w:val="20"/>
          <w:color w:val="auto"/>
        </w:rPr>
      </w:pPr>
      <w:r>
        <w:rPr>
          <w:rFonts w:ascii="Arial" w:cs="Arial" w:eastAsia="Arial" w:hAnsi="Arial"/>
          <w:sz w:val="16"/>
          <w:szCs w:val="16"/>
          <w:color w:val="auto"/>
        </w:rPr>
        <w:t>SEVENTEENTH: The by-laws of this Corporation may be adopted, altered, amended or repealed at any time by affirmative vote of a majority of the authorized number of Directors of this Corporation, and may also be altered, amended or repealed at any annual meeting, or at any special meeting of stockholders duly called for the purpose, by the affirmative vote of the holders of not less than 80% of the issued and outstanding shares of the stock of this Corporation, in any manner not prohibited by this Certificate of Incorporation or by the Delaware Corporation Law as then in effect.</w:t>
      </w:r>
    </w:p>
    <w:p>
      <w:pPr>
        <w:spacing w:after="0" w:line="154" w:lineRule="exact"/>
        <w:rPr>
          <w:sz w:val="20"/>
          <w:szCs w:val="20"/>
          <w:color w:val="auto"/>
        </w:rPr>
      </w:pPr>
    </w:p>
    <w:p>
      <w:pPr>
        <w:ind w:right="200" w:firstLine="825"/>
        <w:spacing w:after="0" w:line="264" w:lineRule="auto"/>
        <w:rPr>
          <w:sz w:val="20"/>
          <w:szCs w:val="20"/>
          <w:color w:val="auto"/>
        </w:rPr>
      </w:pPr>
      <w:r>
        <w:rPr>
          <w:rFonts w:ascii="Arial" w:cs="Arial" w:eastAsia="Arial" w:hAnsi="Arial"/>
          <w:sz w:val="18"/>
          <w:szCs w:val="18"/>
          <w:color w:val="auto"/>
        </w:rPr>
        <w:t>EIGHTEENTH: The provisions set forth in Articles Fourteenth, Fifteenth, Sixteenth, and Seventeenth and in this Article Eighteenth may not be repealed or amended in any respect unless such repeal or amendment is approved by the affirmative vote of the holders of not less than 80% of the total voting power of all outstanding shares of stock of this Corporation.</w:t>
      </w:r>
    </w:p>
    <w:p>
      <w:pPr>
        <w:spacing w:after="0" w:line="181" w:lineRule="exact"/>
        <w:rPr>
          <w:sz w:val="20"/>
          <w:szCs w:val="20"/>
          <w:color w:val="auto"/>
        </w:rPr>
      </w:pPr>
    </w:p>
    <w:p>
      <w:pPr>
        <w:ind w:right="200" w:firstLine="825"/>
        <w:spacing w:after="0" w:line="273" w:lineRule="auto"/>
        <w:rPr>
          <w:sz w:val="20"/>
          <w:szCs w:val="20"/>
          <w:color w:val="auto"/>
        </w:rPr>
      </w:pPr>
      <w:r>
        <w:rPr>
          <w:rFonts w:ascii="Arial" w:cs="Arial" w:eastAsia="Arial" w:hAnsi="Arial"/>
          <w:sz w:val="17"/>
          <w:szCs w:val="17"/>
          <w:color w:val="auto"/>
        </w:rPr>
        <w:t>NINETEENTH: A director of the Corporation shall not be personally liable to the Corporation or its stockholders for monetary damages for breach of fiduciary duty as a director, except for liability (i) for any breach of director's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 No amendment to or repeal of this Article NINETEEN</w:t>
      </w:r>
      <w:r>
        <w:rPr>
          <w:rFonts w:ascii="Arial" w:cs="Arial" w:eastAsia="Arial" w:hAnsi="Arial"/>
          <w:sz w:val="17"/>
          <w:szCs w:val="17"/>
          <w:u w:val="single" w:color="auto"/>
          <w:color w:val="auto"/>
        </w:rPr>
        <w:t>TH</w:t>
      </w:r>
      <w:r>
        <w:rPr>
          <w:rFonts w:ascii="Arial" w:cs="Arial" w:eastAsia="Arial" w:hAnsi="Arial"/>
          <w:sz w:val="17"/>
          <w:szCs w:val="17"/>
          <w:color w:val="auto"/>
        </w:rPr>
        <w:t xml:space="preserve"> shall apply to or have any effect on the liability or alleged liability of any director of the Corporation for or with respect to any acts or omissions of such director occurring prior to such amendment or repeal.</w:t>
      </w:r>
    </w:p>
    <w:p>
      <w:pPr>
        <w:spacing w:after="0" w:line="178" w:lineRule="exact"/>
        <w:rPr>
          <w:sz w:val="20"/>
          <w:szCs w:val="20"/>
          <w:color w:val="auto"/>
        </w:rPr>
      </w:pPr>
    </w:p>
    <w:p>
      <w:pPr>
        <w:ind w:firstLine="825"/>
        <w:spacing w:after="0" w:line="254" w:lineRule="auto"/>
        <w:rPr>
          <w:sz w:val="20"/>
          <w:szCs w:val="20"/>
          <w:color w:val="auto"/>
        </w:rPr>
      </w:pPr>
      <w:r>
        <w:rPr>
          <w:rFonts w:ascii="Arial" w:cs="Arial" w:eastAsia="Arial" w:hAnsi="Arial"/>
          <w:sz w:val="18"/>
          <w:szCs w:val="18"/>
          <w:u w:val="single" w:color="auto"/>
          <w:color w:val="auto"/>
        </w:rPr>
        <w:t>TWENTIETH: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portion of any paragraph of this Certificate of Incorporation containing any such provision held to be invalid, illegal or unenforceable) shall be construed so as to permit the Company to protect its directors, officers, employees and agents from personal liability in respect of their good faith service or for the benefit of the Company to the fullest extent permitted by law.</w:t>
      </w:r>
    </w:p>
    <w:p>
      <w:pPr>
        <w:spacing w:after="0" w:line="192" w:lineRule="exact"/>
        <w:rPr>
          <w:sz w:val="20"/>
          <w:szCs w:val="20"/>
          <w:color w:val="auto"/>
        </w:rPr>
      </w:pPr>
    </w:p>
    <w:p>
      <w:pPr>
        <w:ind w:right="280" w:firstLine="825"/>
        <w:spacing w:after="0" w:line="277" w:lineRule="auto"/>
        <w:rPr>
          <w:sz w:val="20"/>
          <w:szCs w:val="20"/>
          <w:color w:val="auto"/>
        </w:rPr>
      </w:pPr>
      <w:r>
        <w:rPr>
          <w:rFonts w:ascii="Arial" w:cs="Arial" w:eastAsia="Arial" w:hAnsi="Arial"/>
          <w:sz w:val="18"/>
          <w:szCs w:val="18"/>
          <w:color w:val="auto"/>
          <w:strike w:val="1"/>
        </w:rPr>
        <w:t>IN WITNESS WHEREOF, we, said CHARLES A. SCHWAN and JOHN H. ALLEN, have executed this Amended and Restated Certificate of Incorporation on this 12 day of May, 1999.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/s/ Charles A. Schwan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CHARLES A. SCHWAN,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/s/ 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JOHN H. ALLEN, Secretary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CD&amp;A of this Proxy Statement includes references to non-GAAP operating income used for the calculation of the 2017 MIP. This financial measure differs from the Company’s operating income prepared under generally accepted accounting principles (GAAP) by adjusting the Company’s actual results prepared under GAAP to exclude charges for share-based compensation, the amortization of acquired intangible assets, manufacturing transition costs, employee severance costs, other acquisition related costs, fair value adjustment to contingent consideration, purchase accounting inventory step-up included in cost of sales and the reduction of an uncertain tax position liability and related indemnification receivable. Human Resources and the Compensation Committee utilized this non-GAAP measure in evaluating compensation decisions in 2017 to benchmark compensation decisions based on measures utilized by management and the Board in evaluating the Company's performance.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6"/>
              </w:rPr>
              <w:t>A reconciliation of this non-GAAP measure to GAAP is as follows:</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Twelve</w:t>
            </w:r>
          </w:p>
        </w:tc>
        <w:tc>
          <w:tcPr>
            <w:tcW w:w="14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Months Ended</w:t>
            </w:r>
          </w:p>
        </w:tc>
        <w:tc>
          <w:tcPr>
            <w:tcW w:w="1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30,</w:t>
            </w:r>
          </w:p>
        </w:tc>
        <w:tc>
          <w:tcPr>
            <w:tcW w:w="14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 xml:space="preserve">Income from Operations Reconciliation </w:t>
            </w:r>
            <w:r>
              <w:rPr>
                <w:rFonts w:ascii="Arial" w:cs="Arial" w:eastAsia="Arial" w:hAnsi="Arial"/>
                <w:sz w:val="18"/>
                <w:szCs w:val="18"/>
                <w:b w:val="1"/>
                <w:bCs w:val="1"/>
                <w:i w:val="1"/>
                <w:iCs w:val="1"/>
                <w:color w:val="auto"/>
              </w:rPr>
              <w:t>(in thousands)</w:t>
            </w:r>
          </w:p>
        </w:tc>
        <w:tc>
          <w:tcPr>
            <w:tcW w:w="2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operations - GAAP basis</w:t>
            </w:r>
          </w:p>
        </w:tc>
        <w:tc>
          <w:tcPr>
            <w:tcW w:w="2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34,748</w:t>
            </w:r>
          </w:p>
        </w:tc>
        <w:tc>
          <w:tcPr>
            <w:tcW w:w="1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tcPr>
          <w:p>
            <w:pPr>
              <w:ind w:left="480"/>
              <w:spacing w:after="0"/>
              <w:rPr>
                <w:sz w:val="20"/>
                <w:szCs w:val="20"/>
                <w:color w:val="auto"/>
              </w:rPr>
            </w:pPr>
            <w:r>
              <w:rPr>
                <w:rFonts w:ascii="Arial" w:cs="Arial" w:eastAsia="Arial" w:hAnsi="Arial"/>
                <w:sz w:val="18"/>
                <w:szCs w:val="18"/>
                <w:color w:val="auto"/>
              </w:rPr>
              <w:t>Share Based Compensation</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7,007</w:t>
            </w:r>
          </w:p>
        </w:tc>
        <w:tc>
          <w:tcPr>
            <w:tcW w:w="1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Purchased Intangible Assets</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w:t>
            </w:r>
          </w:p>
        </w:tc>
        <w:tc>
          <w:tcPr>
            <w:tcW w:w="1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tcPr>
          <w:p>
            <w:pPr>
              <w:ind w:left="480"/>
              <w:spacing w:after="0"/>
              <w:rPr>
                <w:sz w:val="20"/>
                <w:szCs w:val="20"/>
                <w:color w:val="auto"/>
              </w:rPr>
            </w:pPr>
            <w:r>
              <w:rPr>
                <w:rFonts w:ascii="Arial" w:cs="Arial" w:eastAsia="Arial" w:hAnsi="Arial"/>
                <w:sz w:val="18"/>
                <w:szCs w:val="18"/>
                <w:color w:val="auto"/>
              </w:rPr>
              <w:t>Manufacturing Transition and Severance Costs</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 to contingent consideration</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c>
          <w:tcPr>
            <w:tcW w:w="1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tcPr>
          <w:p>
            <w:pPr>
              <w:ind w:left="480"/>
              <w:spacing w:after="0"/>
              <w:rPr>
                <w:sz w:val="20"/>
                <w:szCs w:val="20"/>
                <w:color w:val="auto"/>
              </w:rPr>
            </w:pPr>
            <w:r>
              <w:rPr>
                <w:rFonts w:ascii="Arial" w:cs="Arial" w:eastAsia="Arial" w:hAnsi="Arial"/>
                <w:sz w:val="18"/>
                <w:szCs w:val="18"/>
                <w:color w:val="auto"/>
              </w:rPr>
              <w:t>Other Acquisition Costs</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1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 step-up</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1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tcPr>
          <w:p>
            <w:pPr>
              <w:ind w:left="480"/>
              <w:spacing w:after="0"/>
              <w:rPr>
                <w:sz w:val="20"/>
                <w:szCs w:val="20"/>
                <w:color w:val="auto"/>
              </w:rPr>
            </w:pPr>
            <w:r>
              <w:rPr>
                <w:rFonts w:ascii="Arial" w:cs="Arial" w:eastAsia="Arial" w:hAnsi="Arial"/>
                <w:sz w:val="18"/>
                <w:szCs w:val="18"/>
                <w:color w:val="auto"/>
              </w:rPr>
              <w:t>Reduction of indemnification receivable</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14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continuing operations - non-GAAP basis</w:t>
            </w:r>
          </w:p>
        </w:tc>
        <w:tc>
          <w:tcPr>
            <w:tcW w:w="27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50,834</w:t>
            </w:r>
          </w:p>
        </w:tc>
        <w:tc>
          <w:tcPr>
            <w:tcW w:w="1400" w:type="dxa"/>
            <w:vAlign w:val="bottom"/>
          </w:tcPr>
          <w:p>
            <w:pPr>
              <w:spacing w:after="0"/>
              <w:rPr>
                <w:sz w:val="21"/>
                <w:szCs w:val="21"/>
                <w:color w:val="auto"/>
              </w:rPr>
            </w:pPr>
          </w:p>
        </w:tc>
      </w:tr>
      <w:tr>
        <w:trPr>
          <w:trHeight w:val="413"/>
        </w:trPr>
        <w:tc>
          <w:tcPr>
            <w:tcW w:w="340" w:type="dxa"/>
            <w:vAlign w:val="bottom"/>
          </w:tcPr>
          <w:p>
            <w:pPr>
              <w:spacing w:after="0"/>
              <w:rPr>
                <w:sz w:val="24"/>
                <w:szCs w:val="24"/>
                <w:color w:val="auto"/>
              </w:rPr>
            </w:pPr>
          </w:p>
        </w:tc>
        <w:tc>
          <w:tcPr>
            <w:tcW w:w="5080" w:type="dxa"/>
            <w:vAlign w:val="bottom"/>
            <w:tcBorders>
              <w:top w:val="single" w:sz="8" w:color="CCEEFF"/>
            </w:tcBorders>
          </w:tcPr>
          <w:p>
            <w:pPr>
              <w:spacing w:after="0"/>
              <w:rPr>
                <w:sz w:val="24"/>
                <w:szCs w:val="24"/>
                <w:color w:val="auto"/>
              </w:rPr>
            </w:pPr>
          </w:p>
        </w:tc>
        <w:tc>
          <w:tcPr>
            <w:tcW w:w="2780" w:type="dxa"/>
            <w:vAlign w:val="bottom"/>
            <w:tcBorders>
              <w:top w:val="single" w:sz="8" w:color="CCEEFF"/>
            </w:tcBorders>
          </w:tcPr>
          <w:p>
            <w:pPr>
              <w:jc w:val="right"/>
              <w:ind w:right="2310"/>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0" w:type="dxa"/>
            <w:vAlign w:val="bottom"/>
          </w:tcPr>
          <w:p>
            <w:pPr>
              <w:spacing w:after="0"/>
              <w:rPr>
                <w:sz w:val="24"/>
                <w:szCs w:val="24"/>
                <w:color w:val="auto"/>
              </w:rPr>
            </w:pPr>
          </w:p>
        </w:tc>
      </w:tr>
      <w:tr>
        <w:trPr>
          <w:trHeight w:val="574"/>
        </w:trPr>
        <w:tc>
          <w:tcPr>
            <w:tcW w:w="3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4857115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493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493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5110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51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90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lvl w:ilvl="1">
      <w:lvlJc w:val="left"/>
      <w:lvlText w:val="(%2)"/>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3"/>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lvl w:ilvl="1">
      <w:lvlJc w:val="left"/>
      <w:lvlText w:val="(%2)"/>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lvl w:ilvl="1">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lvl w:ilvl="1">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lvl w:ilvl="1">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lvl w:ilvl="1">
      <w:lvlJc w:val="left"/>
      <w:lvlText w:val="(%2)"/>
      <w:numFmt w:val="lowerLetter"/>
      <w:start w:val="1"/>
    </w:lvl>
  </w:abstractNum>
  <w:abstractNum w:abstractNumId="31">
    <w:nsid w:val="77465F01"/>
    <w:multiLevelType w:val="hybridMultilevel"/>
    <w:lvl w:ilvl="0">
      <w:lvlJc w:val="left"/>
      <w:lvlText w:val="(%1)"/>
      <w:numFmt w:val="decimal"/>
      <w:start w:val="6"/>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lowerRoman"/>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
      <w:numFmt w:val="bullet"/>
      <w:start w:val="1"/>
    </w:lvl>
    <w:lvl w:ilvl="1">
      <w:lvlJc w:val="left"/>
      <w:lvlText w:val="•"/>
      <w:numFmt w:val="bullet"/>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2019-12-05T04:15:03Z</dcterms:created>
  <dcterms:modified xsi:type="dcterms:W3CDTF">2019-12-05T04:15:03Z</dcterms:modified>
</cp:coreProperties>
</file>