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August 11, 2014</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Cohu,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80" w:type="dxa"/>
            <w:vAlign w:val="bottom"/>
          </w:tcPr>
          <w:p>
            <w:pPr>
              <w:jc w:val="right"/>
              <w:ind w:right="1932"/>
              <w:spacing w:after="0"/>
              <w:rPr>
                <w:sz w:val="20"/>
                <w:szCs w:val="20"/>
                <w:color w:val="auto"/>
              </w:rPr>
            </w:pPr>
            <w:r>
              <w:rPr>
                <w:rFonts w:ascii="Arial" w:cs="Arial" w:eastAsia="Arial" w:hAnsi="Arial"/>
                <w:sz w:val="18"/>
                <w:szCs w:val="18"/>
                <w:color w:val="auto"/>
              </w:rPr>
              <w:t>001-04298</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95-1934119</w:t>
            </w:r>
          </w:p>
        </w:tc>
      </w:tr>
      <w:tr>
        <w:trPr>
          <w:trHeight w:val="216"/>
        </w:trPr>
        <w:tc>
          <w:tcPr>
            <w:tcW w:w="3220" w:type="dxa"/>
            <w:vAlign w:val="bottom"/>
          </w:tcPr>
          <w:p>
            <w:pPr>
              <w:jc w:val="right"/>
              <w:ind w:right="632"/>
              <w:spacing w:after="0"/>
              <w:rPr>
                <w:sz w:val="20"/>
                <w:szCs w:val="20"/>
                <w:color w:val="auto"/>
              </w:rPr>
            </w:pPr>
            <w:r>
              <w:rPr>
                <w:rFonts w:ascii="Arial" w:cs="Arial" w:eastAsia="Arial" w:hAnsi="Arial"/>
                <w:sz w:val="18"/>
                <w:szCs w:val="18"/>
                <w:color w:val="auto"/>
              </w:rPr>
              <w:t>_____________________</w:t>
            </w:r>
          </w:p>
        </w:tc>
        <w:tc>
          <w:tcPr>
            <w:tcW w:w="458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20" w:type="dxa"/>
            <w:vAlign w:val="bottom"/>
          </w:tcPr>
          <w:p>
            <w:pPr>
              <w:jc w:val="center"/>
              <w:spacing w:after="0"/>
              <w:rPr>
                <w:sz w:val="20"/>
                <w:szCs w:val="20"/>
                <w:color w:val="auto"/>
              </w:rPr>
            </w:pPr>
            <w:r>
              <w:rPr>
                <w:rFonts w:ascii="Arial" w:cs="Arial" w:eastAsia="Arial" w:hAnsi="Arial"/>
                <w:sz w:val="18"/>
                <w:szCs w:val="18"/>
                <w:color w:val="auto"/>
                <w:w w:val="89"/>
              </w:rPr>
              <w:t>12367 Crosthwaite Circle, Poway, California</w:t>
            </w:r>
          </w:p>
        </w:tc>
        <w:tc>
          <w:tcPr>
            <w:tcW w:w="458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92064</w:t>
            </w:r>
          </w:p>
        </w:tc>
      </w:tr>
      <w:tr>
        <w:trPr>
          <w:trHeight w:val="216"/>
        </w:trPr>
        <w:tc>
          <w:tcPr>
            <w:tcW w:w="3220" w:type="dxa"/>
            <w:vAlign w:val="bottom"/>
          </w:tcPr>
          <w:p>
            <w:pPr>
              <w:jc w:val="right"/>
              <w:ind w:right="112"/>
              <w:spacing w:after="0"/>
              <w:rPr>
                <w:sz w:val="20"/>
                <w:szCs w:val="20"/>
                <w:color w:val="auto"/>
              </w:rPr>
            </w:pPr>
            <w:r>
              <w:rPr>
                <w:rFonts w:ascii="Arial" w:cs="Arial" w:eastAsia="Arial" w:hAnsi="Arial"/>
                <w:sz w:val="18"/>
                <w:szCs w:val="18"/>
                <w:color w:val="auto"/>
                <w:w w:val="90"/>
              </w:rPr>
              <w:t>_________________________________</w:t>
            </w:r>
          </w:p>
        </w:tc>
        <w:tc>
          <w:tcPr>
            <w:tcW w:w="458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8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00" w:type="dxa"/>
            <w:vAlign w:val="bottom"/>
            <w:gridSpan w:val="2"/>
          </w:tcPr>
          <w:p>
            <w:pPr>
              <w:ind w:left="78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858-848-8100</w:t>
            </w:r>
          </w:p>
        </w:tc>
      </w:tr>
      <w:tr>
        <w:trPr>
          <w:trHeight w:val="426"/>
        </w:trPr>
        <w:tc>
          <w:tcPr>
            <w:tcW w:w="3220" w:type="dxa"/>
            <w:vAlign w:val="bottom"/>
          </w:tcPr>
          <w:p>
            <w:pPr>
              <w:spacing w:after="0"/>
              <w:rPr>
                <w:sz w:val="24"/>
                <w:szCs w:val="24"/>
                <w:color w:val="auto"/>
              </w:rPr>
            </w:pPr>
          </w:p>
        </w:tc>
        <w:tc>
          <w:tcPr>
            <w:tcW w:w="4580" w:type="dxa"/>
            <w:vAlign w:val="bottom"/>
          </w:tcPr>
          <w:p>
            <w:pPr>
              <w:ind w:left="162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458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20" w:type="dxa"/>
            <w:vAlign w:val="bottom"/>
          </w:tcPr>
          <w:p>
            <w:pPr>
              <w:spacing w:after="0"/>
              <w:rPr>
                <w:sz w:val="19"/>
                <w:szCs w:val="19"/>
                <w:color w:val="auto"/>
              </w:rPr>
            </w:pP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Effective August 11, 2014, the Board of Directors of Cohu, Inc. (the "Company") elected Andrew M. Caggia to serve as a Class 2 Director and in accordance with the Company's Bylaws he will stand for election at the Company's 2015 annual meeting of stockholders. Mr. Caggia was named to the Audit Committee of the Board of Directors.</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Board of Directors determined that, in its judgment, Mr. Caggia satisfies the requirements for independence set forth in the Company’s Corporate Governance Guidelines and by the NASDAQ listing standards. There were no arrangements or understandings pursuant to which Mr. Caggia was elected or any relationships or related transactions between the Company and Mr. Caggia which would require disclosure pursuant to Item 404(a) of Regulation S-K. As a non-employee director, Mr. Caggia will be compensated in accordance with the director compensation program as described in the Company’s Proxy Statement filed with the Securities and Exchange Commission on April 9, 2014, the description of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announcing Mr. Caggia, is attached as Exhibit 99.1 to this Current Report on Form 8-K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 Andrew M. Caggia Elected to Cohu’s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August 11, 2014</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Jeffrey D. Jones</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VP Finance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Andrew M. Caggia Elected to Cohu’s Board of Directors</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25"/>
          <w:szCs w:val="25"/>
          <w:b w:val="1"/>
          <w:bCs w:val="1"/>
          <w:color w:val="auto"/>
        </w:rPr>
        <w:t>Andrew M. Caggia Elected to Cohu’s Board of Directors</w:t>
      </w:r>
    </w:p>
    <w:p>
      <w:pPr>
        <w:spacing w:after="0" w:line="272"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POWAY, Calif., August 11, 2014 — Cohu, Inc. (NASDAQ:COHU) today announced that Andrew M. Caggia has been elected to the Cohu Board of Directors.</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Mr. Caggia has more than 35 years of financial management experience and from 2000 until his retirement in 2006 served as Senior Vice President and Chief Financial Officer of Standard Microsystems Corporation (SMSC), a $400 million publicly-traded, global semiconductor company. Prior to SMSC, Mr. Caggia held senior financial management positions at General Instrument/General Semiconductor and began his career at SCM Corporation. Mr. Caggia also served as a director of SMSC from 2001 until its acquisition by Microchip Technology, Inc. in 2012.</w:t>
      </w:r>
    </w:p>
    <w:p>
      <w:pPr>
        <w:spacing w:after="0" w:line="181"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“Andy’s strong financial background and broad experience in technology make him an excellent addition to our Board of Directors,” said James A. Donahue, Chairman, President and Chief Executive Officer.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Cohu:</w:t>
      </w:r>
    </w:p>
    <w:p>
      <w:pPr>
        <w:spacing w:after="0" w:line="195" w:lineRule="exact"/>
        <w:rPr>
          <w:sz w:val="20"/>
          <w:szCs w:val="20"/>
          <w:color w:val="auto"/>
        </w:rPr>
      </w:pPr>
    </w:p>
    <w:p>
      <w:pPr>
        <w:ind w:right="580"/>
        <w:spacing w:after="0" w:line="250" w:lineRule="auto"/>
        <w:rPr>
          <w:sz w:val="20"/>
          <w:szCs w:val="20"/>
          <w:color w:val="auto"/>
        </w:rPr>
      </w:pPr>
      <w:r>
        <w:rPr>
          <w:rFonts w:ascii="Arial" w:cs="Arial" w:eastAsia="Arial" w:hAnsi="Arial"/>
          <w:sz w:val="20"/>
          <w:szCs w:val="20"/>
          <w:color w:val="auto"/>
        </w:rPr>
        <w:t>Cohu is a leading supplier of semiconductor test and inspection handlers, micro-electro mechanical system (MEMS) test modules, test contactors and thermal sub-systems used by global semiconductor manufacturers and test subcontractors as well as a supplier of mobile microwave communications equipment.</w:t>
      </w:r>
    </w:p>
    <w:p>
      <w:pPr>
        <w:spacing w:after="0" w:line="173"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 xml:space="preserve">For press releases and other information of interest to investors, please visit Cohu’s website at </w:t>
      </w:r>
      <w:r>
        <w:rPr>
          <w:rFonts w:ascii="Arial" w:cs="Arial" w:eastAsia="Arial" w:hAnsi="Arial"/>
          <w:sz w:val="20"/>
          <w:szCs w:val="20"/>
          <w:u w:val="single" w:color="auto"/>
          <w:color w:val="auto"/>
        </w:rPr>
        <w:t>www.cohu.com</w:t>
      </w:r>
      <w:r>
        <w:rPr>
          <w:rFonts w:ascii="Arial" w:cs="Arial" w:eastAsia="Arial" w:hAnsi="Arial"/>
          <w:sz w:val="20"/>
          <w:szCs w:val="20"/>
          <w:color w:val="auto"/>
        </w:rPr>
        <w:t>. Contact: Jeffrey D. Jones — Investor Relations (858) 848-8106.</w:t>
      </w:r>
    </w:p>
    <w:sectPr>
      <w:pgSz w:w="11900" w:h="16838" w:orient="portrait"/>
      <w:cols w:equalWidth="0" w:num="1">
        <w:col w:w="11320"/>
      </w:cols>
      <w:pgMar w:left="24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2019-12-05T08:21:54Z</dcterms:created>
  <dcterms:modified xsi:type="dcterms:W3CDTF">2019-12-05T08:21:54Z</dcterms:modified>
</cp:coreProperties>
</file>