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October 22, 2004</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Cohu,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440" w:type="dxa"/>
            <w:vAlign w:val="bottom"/>
          </w:tcPr>
          <w:p>
            <w:pPr>
              <w:jc w:val="right"/>
              <w:ind w:right="1412"/>
              <w:spacing w:after="0"/>
              <w:rPr>
                <w:sz w:val="20"/>
                <w:szCs w:val="20"/>
                <w:color w:val="auto"/>
              </w:rPr>
            </w:pPr>
            <w:r>
              <w:rPr>
                <w:rFonts w:ascii="Arial" w:cs="Arial" w:eastAsia="Arial" w:hAnsi="Arial"/>
                <w:sz w:val="18"/>
                <w:szCs w:val="18"/>
                <w:color w:val="auto"/>
              </w:rPr>
              <w:t>001-04298</w:t>
            </w: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7"/>
              </w:rPr>
              <w:t>95-1934119</w:t>
            </w:r>
          </w:p>
        </w:tc>
      </w:tr>
      <w:tr>
        <w:trPr>
          <w:trHeight w:val="216"/>
        </w:trPr>
        <w:tc>
          <w:tcPr>
            <w:tcW w:w="320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440" w:type="dxa"/>
            <w:vAlign w:val="bottom"/>
          </w:tcPr>
          <w:p>
            <w:pPr>
              <w:jc w:val="right"/>
              <w:ind w:right="1232"/>
              <w:spacing w:after="0"/>
              <w:rPr>
                <w:sz w:val="20"/>
                <w:szCs w:val="20"/>
                <w:color w:val="auto"/>
              </w:rPr>
            </w:pPr>
            <w:r>
              <w:rPr>
                <w:rFonts w:ascii="Arial" w:cs="Arial" w:eastAsia="Arial" w:hAnsi="Arial"/>
                <w:sz w:val="18"/>
                <w:szCs w:val="18"/>
                <w:color w:val="auto"/>
              </w:rPr>
              <w:t>_____________</w:t>
            </w: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8"/>
              </w:rPr>
              <w:t>______________</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440" w:type="dxa"/>
            <w:vAlign w:val="bottom"/>
          </w:tcPr>
          <w:p>
            <w:pPr>
              <w:ind w:left="2080"/>
              <w:spacing w:after="0"/>
              <w:rPr>
                <w:sz w:val="20"/>
                <w:szCs w:val="20"/>
                <w:color w:val="auto"/>
              </w:rPr>
            </w:pPr>
            <w:r>
              <w:rPr>
                <w:rFonts w:ascii="Arial" w:cs="Arial" w:eastAsia="Arial" w:hAnsi="Arial"/>
                <w:sz w:val="18"/>
                <w:szCs w:val="18"/>
                <w:color w:val="auto"/>
              </w:rPr>
              <w:t>(Commission</w:t>
            </w: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90"/>
              </w:rPr>
              <w:t>(I.R.S. Employer</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440" w:type="dxa"/>
            <w:vAlign w:val="bottom"/>
          </w:tcPr>
          <w:p>
            <w:pPr>
              <w:ind w:left="2080"/>
              <w:spacing w:after="0"/>
              <w:rPr>
                <w:sz w:val="20"/>
                <w:szCs w:val="20"/>
                <w:color w:val="auto"/>
              </w:rPr>
            </w:pPr>
            <w:r>
              <w:rPr>
                <w:rFonts w:ascii="Arial" w:cs="Arial" w:eastAsia="Arial" w:hAnsi="Arial"/>
                <w:sz w:val="18"/>
                <w:szCs w:val="18"/>
                <w:color w:val="auto"/>
              </w:rPr>
              <w:t>File Number)</w:t>
            </w: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w w:val="89"/>
              </w:rPr>
              <w:t>12367 Crosthwaite Circle, Poway, California</w:t>
            </w:r>
          </w:p>
        </w:tc>
        <w:tc>
          <w:tcPr>
            <w:tcW w:w="4440" w:type="dxa"/>
            <w:vAlign w:val="bottom"/>
          </w:tcPr>
          <w:p>
            <w:pPr>
              <w:spacing w:after="0"/>
              <w:rPr>
                <w:sz w:val="24"/>
                <w:szCs w:val="24"/>
                <w:color w:val="auto"/>
              </w:rPr>
            </w:pP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7"/>
              </w:rPr>
              <w:t>92064</w:t>
            </w:r>
          </w:p>
        </w:tc>
      </w:tr>
      <w:tr>
        <w:trPr>
          <w:trHeight w:val="216"/>
        </w:trPr>
        <w:tc>
          <w:tcPr>
            <w:tcW w:w="3200" w:type="dxa"/>
            <w:vAlign w:val="bottom"/>
          </w:tcPr>
          <w:p>
            <w:pPr>
              <w:jc w:val="right"/>
              <w:ind w:right="72"/>
              <w:spacing w:after="0"/>
              <w:rPr>
                <w:sz w:val="20"/>
                <w:szCs w:val="20"/>
                <w:color w:val="auto"/>
              </w:rPr>
            </w:pPr>
            <w:r>
              <w:rPr>
                <w:rFonts w:ascii="Arial" w:cs="Arial" w:eastAsia="Arial" w:hAnsi="Arial"/>
                <w:sz w:val="18"/>
                <w:szCs w:val="18"/>
                <w:color w:val="auto"/>
                <w:w w:val="91"/>
              </w:rPr>
              <w:t>_________________________________</w:t>
            </w:r>
          </w:p>
        </w:tc>
        <w:tc>
          <w:tcPr>
            <w:tcW w:w="4440" w:type="dxa"/>
            <w:vAlign w:val="bottom"/>
          </w:tcPr>
          <w:p>
            <w:pPr>
              <w:spacing w:after="0"/>
              <w:rPr>
                <w:sz w:val="18"/>
                <w:szCs w:val="18"/>
                <w:color w:val="auto"/>
              </w:rPr>
            </w:pP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7"/>
              </w:rPr>
              <w:t>___________</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440" w:type="dxa"/>
            <w:vAlign w:val="bottom"/>
          </w:tcPr>
          <w:p>
            <w:pPr>
              <w:spacing w:after="0"/>
              <w:rPr>
                <w:sz w:val="19"/>
                <w:szCs w:val="19"/>
                <w:color w:val="auto"/>
              </w:rPr>
            </w:pP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9"/>
              </w:rPr>
              <w:t>(Zip Code)</w:t>
            </w:r>
          </w:p>
        </w:tc>
      </w:tr>
      <w:tr>
        <w:trPr>
          <w:trHeight w:val="459"/>
        </w:trPr>
        <w:tc>
          <w:tcPr>
            <w:tcW w:w="7640" w:type="dxa"/>
            <w:vAlign w:val="bottom"/>
            <w:gridSpan w:val="2"/>
          </w:tcPr>
          <w:p>
            <w:pPr>
              <w:ind w:left="620"/>
              <w:spacing w:after="0"/>
              <w:rPr>
                <w:sz w:val="20"/>
                <w:szCs w:val="20"/>
                <w:color w:val="auto"/>
              </w:rPr>
            </w:pPr>
            <w:r>
              <w:rPr>
                <w:rFonts w:ascii="Arial" w:cs="Arial" w:eastAsia="Arial" w:hAnsi="Arial"/>
                <w:sz w:val="18"/>
                <w:szCs w:val="18"/>
                <w:color w:val="auto"/>
              </w:rPr>
              <w:t>Registrant’s telephone number, including area code:</w:t>
            </w:r>
          </w:p>
        </w:tc>
        <w:tc>
          <w:tcPr>
            <w:tcW w:w="2420" w:type="dxa"/>
            <w:vAlign w:val="bottom"/>
          </w:tcPr>
          <w:p>
            <w:pPr>
              <w:jc w:val="right"/>
              <w:ind w:right="1032"/>
              <w:spacing w:after="0"/>
              <w:rPr>
                <w:sz w:val="20"/>
                <w:szCs w:val="20"/>
                <w:color w:val="auto"/>
              </w:rPr>
            </w:pPr>
            <w:r>
              <w:rPr>
                <w:rFonts w:ascii="Arial" w:cs="Arial" w:eastAsia="Arial" w:hAnsi="Arial"/>
                <w:sz w:val="18"/>
                <w:szCs w:val="18"/>
                <w:color w:val="auto"/>
              </w:rPr>
              <w:t>858-848-8100</w:t>
            </w:r>
          </w:p>
        </w:tc>
      </w:tr>
      <w:tr>
        <w:trPr>
          <w:trHeight w:val="426"/>
        </w:trPr>
        <w:tc>
          <w:tcPr>
            <w:tcW w:w="3200" w:type="dxa"/>
            <w:vAlign w:val="bottom"/>
          </w:tcPr>
          <w:p>
            <w:pPr>
              <w:spacing w:after="0"/>
              <w:rPr>
                <w:sz w:val="24"/>
                <w:szCs w:val="24"/>
                <w:color w:val="auto"/>
              </w:rPr>
            </w:pPr>
          </w:p>
        </w:tc>
        <w:tc>
          <w:tcPr>
            <w:tcW w:w="4440" w:type="dxa"/>
            <w:vAlign w:val="bottom"/>
          </w:tcPr>
          <w:p>
            <w:pPr>
              <w:ind w:left="1480"/>
              <w:spacing w:after="0"/>
              <w:rPr>
                <w:sz w:val="20"/>
                <w:szCs w:val="20"/>
                <w:color w:val="auto"/>
              </w:rPr>
            </w:pPr>
            <w:r>
              <w:rPr>
                <w:rFonts w:ascii="Arial" w:cs="Arial" w:eastAsia="Arial" w:hAnsi="Arial"/>
                <w:sz w:val="18"/>
                <w:szCs w:val="18"/>
                <w:color w:val="auto"/>
              </w:rPr>
              <w:t>Not Applicable</w:t>
            </w:r>
          </w:p>
        </w:tc>
        <w:tc>
          <w:tcPr>
            <w:tcW w:w="242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4440" w:type="dxa"/>
            <w:vAlign w:val="bottom"/>
          </w:tcPr>
          <w:p>
            <w:pPr>
              <w:jc w:val="right"/>
              <w:ind w:right="292"/>
              <w:spacing w:after="0"/>
              <w:rPr>
                <w:sz w:val="20"/>
                <w:szCs w:val="20"/>
                <w:color w:val="auto"/>
              </w:rPr>
            </w:pPr>
            <w:r>
              <w:rPr>
                <w:rFonts w:ascii="Arial" w:cs="Arial" w:eastAsia="Arial" w:hAnsi="Arial"/>
                <w:sz w:val="18"/>
                <w:szCs w:val="18"/>
                <w:color w:val="auto"/>
                <w:w w:val="87"/>
              </w:rPr>
              <w:t>______________________________________________</w:t>
            </w:r>
          </w:p>
        </w:tc>
        <w:tc>
          <w:tcPr>
            <w:tcW w:w="2420" w:type="dxa"/>
            <w:vAlign w:val="bottom"/>
          </w:tcPr>
          <w:p>
            <w:pPr>
              <w:spacing w:after="0"/>
              <w:rPr>
                <w:sz w:val="18"/>
                <w:szCs w:val="18"/>
                <w:color w:val="auto"/>
              </w:rPr>
            </w:pPr>
          </w:p>
        </w:tc>
      </w:tr>
      <w:tr>
        <w:trPr>
          <w:trHeight w:val="222"/>
        </w:trPr>
        <w:tc>
          <w:tcPr>
            <w:tcW w:w="7640" w:type="dxa"/>
            <w:vAlign w:val="bottom"/>
            <w:gridSpan w:val="2"/>
          </w:tcPr>
          <w:p>
            <w:pPr>
              <w:jc w:val="center"/>
              <w:ind w:left="275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42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October 21, 2004, Cohu, Inc. (the "Company") issued a press release regarding its financial results for the quarter ended September 30, 2004. The Company’s press release is attached as Exhibit 99.1 to this Current Report on Form 8-K and incorporated by reference herein.</w:t>
      </w:r>
    </w:p>
    <w:p>
      <w:pPr>
        <w:spacing w:after="0" w:line="18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information in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Exhibit No. Description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99.1 Third Quarter 2004 Earnings Release, dated October 21, 2004, of 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896620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October 22, 2004</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John H. Allen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6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87"/>
              </w:rPr>
              <w:t>Third Quarter 2004 Earnings Release, dated October 21, 2004, of Cohu,</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Inc.</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7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www.cohu.com</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Cohu Reports Third Quarter 2004 Operating Results</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POWAY, Calif., October 21, 2004 — Cohu, Inc. (NASDAQ:COHU) today announced that net sales were $54.9 million for the third quarter ended September 30, 2004 compared to $34.5 million for the third quarter of 2003 and $47.3 million for the second quarter of 2004. Net income for the third quarter of 2004 was $5.2 million, or $0.24 per share compared to a net loss of $615,000 or $0.03 per share for the third quarter of 2003 and net income of $6.9 million or $0.32 per share for the second quarter of 2004. The gross margin for the third quarter of 2004 was negatively impacted by items totaling approximately $1.0 million, primarily for inventory reserves.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first nine months of 2004 were $138.1 million with net income of $14.2 million and net income per share of $0.65 compared to net sales of</w:t>
      </w:r>
    </w:p>
    <w:p>
      <w:pPr>
        <w:spacing w:after="0" w:line="32" w:lineRule="exact"/>
        <w:rPr>
          <w:sz w:val="20"/>
          <w:szCs w:val="20"/>
          <w:color w:val="auto"/>
        </w:rPr>
      </w:pPr>
    </w:p>
    <w:p>
      <w:pPr>
        <w:ind w:right="340"/>
        <w:spacing w:after="0" w:line="257" w:lineRule="auto"/>
        <w:rPr>
          <w:sz w:val="20"/>
          <w:szCs w:val="20"/>
          <w:color w:val="auto"/>
        </w:rPr>
      </w:pPr>
      <w:r>
        <w:rPr>
          <w:rFonts w:ascii="Arial" w:cs="Arial" w:eastAsia="Arial" w:hAnsi="Arial"/>
          <w:sz w:val="17"/>
          <w:szCs w:val="17"/>
          <w:color w:val="auto"/>
        </w:rPr>
        <w:t>$97.7 million with net income of $2.1 million and net income per share of $0.10 for the first nine months of 2003. Included in the nine month 2003 results were a $7.9 million gain related to the sale of land and a $2.5 million investment writedown.</w:t>
      </w:r>
    </w:p>
    <w:p>
      <w:pPr>
        <w:spacing w:after="0" w:line="135" w:lineRule="exact"/>
        <w:rPr>
          <w:sz w:val="20"/>
          <w:szCs w:val="20"/>
          <w:color w:val="auto"/>
        </w:rPr>
      </w:pPr>
    </w:p>
    <w:p>
      <w:pPr>
        <w:jc w:val="both"/>
        <w:ind w:right="160"/>
        <w:spacing w:after="0" w:line="285" w:lineRule="auto"/>
        <w:rPr>
          <w:sz w:val="20"/>
          <w:szCs w:val="20"/>
          <w:color w:val="auto"/>
        </w:rPr>
      </w:pPr>
      <w:r>
        <w:rPr>
          <w:rFonts w:ascii="Arial" w:cs="Arial" w:eastAsia="Arial" w:hAnsi="Arial"/>
          <w:sz w:val="16"/>
          <w:szCs w:val="16"/>
          <w:color w:val="auto"/>
        </w:rPr>
        <w:t>Orders for the third quarter of 2004 were $37.1 million compared to $59.9 million for the second quarter of 2004. Backlog was $54.6 million at September 30, 2004 compared to $72.4 million at June 30, 2004. Third quarter 2004 sales of semiconductor test handling equipment accounted for 86% of total sales. Sales of television cameras and related equipment were 9% of sales and metal detection and microwave communications equipment contributed 5% of sales.</w:t>
      </w:r>
    </w:p>
    <w:p>
      <w:pPr>
        <w:spacing w:after="0" w:line="128"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James A. Donahue, President and Chief Executive Officer, stated, “Cohu’s Q3 sales and earnings were solid, but like most semiconductor equipment companies, we experienced a decline in orders during the quarter. Business conditions have weakened and customers are providing only limited visibility as to their future requirements. We have reduced manufacturing capacity to align with near-term demand and are carefully controlling discretionary costs. We plan to maintain spending near current levels on the development of new technologies and products that will strengthen our market position.”</w:t>
      </w:r>
    </w:p>
    <w:p>
      <w:pPr>
        <w:spacing w:after="0" w:line="13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Donahue concluded, “This is neither the first time, nor do we believe it will be the last time, that we’ve had to deal with a sharp change in demand from IC customers. With our experience in managing the business through these cycles, our strong balance sheet, and ongoing investments in proprietary technologies, new product development and global infrastructure, Cohu is well positioned to capitalize on improved business conditions.”</w:t>
      </w:r>
    </w:p>
    <w:p>
      <w:pPr>
        <w:spacing w:after="0" w:line="13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Cohu’s Board of Directors approved a quarterly cash dividend of $0.05 per share payable on January 7, 2005 to shareholders of record on December 3, 2004. Cohu has paid consecutive quarterly cash dividends since 1977.</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Certain matters discussed in this release including statements concerning Cohu’s expectations of industry conditions and 2004 operations are forward-looking statements that are subject to risks and uncertainties that could cause actual results to differ materially from those projected or forecasted. Such risks and uncertainties include, but are not limited to, the concentration of our revenues in a limited number of customers; intense competition in the semiconductor test handler industry; inventory write-offs; failure to obtain customer acceptance and recognize revenue; the cyclical and unpredictable nature of capital expenditures by semiconductor manufacturers; Cohu’s ability to convert new products under development into production on a timely basis, support product development and meet customer delivery and acceptance requirements for next generation equipment; difficulties in integrating acquisitions and new technologies and other risks addressed in Cohu’s filings with the Securities and Exchange Commission including the most recently filed Form 10-K and Form 10-Q. Cohu assumes no obligation to update the information in this release.</w:t>
      </w:r>
    </w:p>
    <w:p>
      <w:pPr>
        <w:spacing w:after="0" w:line="154"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Cohu is a leading supplier of test handling solutions used by the global semiconductor industry as well as a supplier of closed circuit television, metal detection and microwave communications equipment.</w:t>
      </w:r>
    </w:p>
    <w:p>
      <w:pPr>
        <w:spacing w:after="0" w:line="121"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 xml:space="preserve">Cohu will be conducting their conference call on Thursday, October 21, 2004 at 2:00 p.m. Pacific Time. The call will be webcast at </w:t>
      </w:r>
      <w:r>
        <w:rPr>
          <w:rFonts w:ascii="Arial" w:cs="Arial" w:eastAsia="Arial" w:hAnsi="Arial"/>
          <w:sz w:val="17"/>
          <w:szCs w:val="17"/>
          <w:u w:val="single" w:color="auto"/>
          <w:color w:val="auto"/>
        </w:rPr>
        <w:t>www.cohu.com</w:t>
      </w:r>
      <w:r>
        <w:rPr>
          <w:rFonts w:ascii="Arial" w:cs="Arial" w:eastAsia="Arial" w:hAnsi="Arial"/>
          <w:sz w:val="17"/>
          <w:szCs w:val="17"/>
          <w:color w:val="auto"/>
        </w:rPr>
        <w:t xml:space="preserve">. Replays of the call can be accessed at </w:t>
      </w:r>
      <w:r>
        <w:rPr>
          <w:rFonts w:ascii="Arial" w:cs="Arial" w:eastAsia="Arial" w:hAnsi="Arial"/>
          <w:sz w:val="17"/>
          <w:szCs w:val="17"/>
          <w:u w:val="single" w:color="auto"/>
          <w:color w:val="auto"/>
        </w:rPr>
        <w:t>www.cohu.com</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 except per share amounts) (unaudited)</w:t>
      </w:r>
    </w:p>
    <w:p>
      <w:pPr>
        <w:spacing w:after="0" w:line="38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960" w:type="dxa"/>
            <w:vAlign w:val="bottom"/>
            <w:gridSpan w:val="4"/>
          </w:tcPr>
          <w:p>
            <w:pPr>
              <w:ind w:left="260"/>
              <w:spacing w:after="0"/>
              <w:rPr>
                <w:sz w:val="20"/>
                <w:szCs w:val="20"/>
                <w:color w:val="auto"/>
              </w:rPr>
            </w:pPr>
            <w:r>
              <w:rPr>
                <w:rFonts w:ascii="Arial" w:cs="Arial" w:eastAsia="Arial" w:hAnsi="Arial"/>
                <w:sz w:val="18"/>
                <w:szCs w:val="18"/>
                <w:b w:val="1"/>
                <w:bCs w:val="1"/>
                <w:color w:val="auto"/>
                <w:w w:val="94"/>
              </w:rPr>
              <w:t>Three Months Ended</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620" w:type="dxa"/>
            <w:vAlign w:val="bottom"/>
            <w:gridSpan w:val="3"/>
          </w:tcPr>
          <w:p>
            <w:pPr>
              <w:ind w:left="26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jc w:val="right"/>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10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20" w:type="dxa"/>
            <w:vAlign w:val="bottom"/>
          </w:tcPr>
          <w:p>
            <w:pPr>
              <w:spacing w:after="0"/>
              <w:rPr>
                <w:sz w:val="20"/>
                <w:szCs w:val="20"/>
                <w:color w:val="auto"/>
              </w:rPr>
            </w:pPr>
            <w:r>
              <w:rPr>
                <w:rFonts w:ascii="Arial" w:cs="Arial" w:eastAsia="Arial" w:hAnsi="Arial"/>
                <w:sz w:val="18"/>
                <w:szCs w:val="18"/>
                <w:color w:val="auto"/>
              </w:rPr>
              <w:t>Net sales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54,869</w:t>
            </w:r>
          </w:p>
        </w:tc>
        <w:tc>
          <w:tcPr>
            <w:tcW w:w="5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34,512</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138,145</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97,675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820" w:type="dxa"/>
            <w:vAlign w:val="bottom"/>
          </w:tcPr>
          <w:p>
            <w:pPr>
              <w:spacing w:after="0"/>
              <w:rPr>
                <w:sz w:val="20"/>
                <w:szCs w:val="20"/>
                <w:color w:val="auto"/>
              </w:rPr>
            </w:pPr>
            <w:r>
              <w:rPr>
                <w:rFonts w:ascii="Arial" w:cs="Arial" w:eastAsia="Arial" w:hAnsi="Arial"/>
                <w:sz w:val="18"/>
                <w:szCs w:val="18"/>
                <w:color w:val="auto"/>
              </w:rPr>
              <w:t>Cost and expenses:</w:t>
            </w:r>
          </w:p>
        </w:tc>
        <w:tc>
          <w:tcPr>
            <w:tcW w:w="56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34,503</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81,945</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820" w:type="dxa"/>
            <w:vAlign w:val="bottom"/>
          </w:tcPr>
          <w:p>
            <w:pPr>
              <w:ind w:left="140"/>
              <w:spacing w:after="0"/>
              <w:rPr>
                <w:sz w:val="20"/>
                <w:szCs w:val="20"/>
                <w:color w:val="auto"/>
              </w:rPr>
            </w:pPr>
            <w:r>
              <w:rPr>
                <w:rFonts w:ascii="Arial" w:cs="Arial" w:eastAsia="Arial" w:hAnsi="Arial"/>
                <w:sz w:val="18"/>
                <w:szCs w:val="18"/>
                <w:color w:val="auto"/>
              </w:rPr>
              <w:t>Cost of sales</w:t>
            </w:r>
          </w:p>
        </w:tc>
        <w:tc>
          <w:tcPr>
            <w:tcW w:w="5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23,986</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7,188</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5,577</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19,948</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7,666</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21,756</w:t>
            </w:r>
          </w:p>
        </w:tc>
        <w:tc>
          <w:tcPr>
            <w:tcW w:w="10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49,357</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35,910</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123,649</w:t>
            </w:r>
          </w:p>
        </w:tc>
        <w:tc>
          <w:tcPr>
            <w:tcW w:w="10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102,152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820" w:type="dxa"/>
            <w:vAlign w:val="bottom"/>
          </w:tcPr>
          <w:p>
            <w:pPr>
              <w:spacing w:after="0" w:line="205" w:lineRule="exact"/>
              <w:rPr>
                <w:sz w:val="20"/>
                <w:szCs w:val="20"/>
                <w:color w:val="auto"/>
              </w:rPr>
            </w:pPr>
            <w:r>
              <w:rPr>
                <w:rFonts w:ascii="Arial" w:cs="Arial" w:eastAsia="Arial" w:hAnsi="Arial"/>
                <w:sz w:val="18"/>
                <w:szCs w:val="18"/>
                <w:color w:val="auto"/>
              </w:rPr>
              <w:t>Income (loss) from operations</w:t>
            </w:r>
          </w:p>
        </w:tc>
        <w:tc>
          <w:tcPr>
            <w:tcW w:w="56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5,512</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Arial" w:cs="Arial" w:eastAsia="Arial" w:hAnsi="Arial"/>
                <w:sz w:val="18"/>
                <w:szCs w:val="18"/>
                <w:color w:val="auto"/>
                <w:w w:val="84"/>
              </w:rPr>
              <w:t>(1,398)</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14,496</w:t>
            </w:r>
          </w:p>
        </w:tc>
        <w:tc>
          <w:tcPr>
            <w:tcW w:w="1000" w:type="dxa"/>
            <w:vAlign w:val="bottom"/>
          </w:tcPr>
          <w:p>
            <w:pPr>
              <w:spacing w:after="0"/>
              <w:rPr>
                <w:sz w:val="17"/>
                <w:szCs w:val="17"/>
                <w:color w:val="auto"/>
              </w:rPr>
            </w:pPr>
          </w:p>
        </w:tc>
        <w:tc>
          <w:tcPr>
            <w:tcW w:w="600" w:type="dxa"/>
            <w:vAlign w:val="bottom"/>
          </w:tcPr>
          <w:p>
            <w:pPr>
              <w:jc w:val="right"/>
              <w:spacing w:after="0" w:line="205" w:lineRule="exact"/>
              <w:rPr>
                <w:sz w:val="20"/>
                <w:szCs w:val="20"/>
                <w:color w:val="auto"/>
              </w:rPr>
            </w:pPr>
            <w:r>
              <w:rPr>
                <w:rFonts w:ascii="Arial" w:cs="Arial" w:eastAsia="Arial" w:hAnsi="Arial"/>
                <w:sz w:val="18"/>
                <w:szCs w:val="18"/>
                <w:color w:val="auto"/>
              </w:rPr>
              <w:t>(4,477)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Gain from sale of land</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Investment impairment writedown</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1,346</w:t>
            </w:r>
          </w:p>
        </w:tc>
        <w:tc>
          <w:tcPr>
            <w:tcW w:w="10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820" w:type="dxa"/>
            <w:vAlign w:val="bottom"/>
          </w:tcPr>
          <w:p>
            <w:pPr>
              <w:spacing w:after="0" w:line="205" w:lineRule="exact"/>
              <w:rPr>
                <w:sz w:val="20"/>
                <w:szCs w:val="20"/>
                <w:color w:val="auto"/>
              </w:rPr>
            </w:pPr>
            <w:r>
              <w:rPr>
                <w:rFonts w:ascii="Arial" w:cs="Arial" w:eastAsia="Arial" w:hAnsi="Arial"/>
                <w:sz w:val="18"/>
                <w:szCs w:val="18"/>
                <w:color w:val="auto"/>
              </w:rPr>
              <w:t>Income (loss) before income taxes</w:t>
            </w:r>
          </w:p>
        </w:tc>
        <w:tc>
          <w:tcPr>
            <w:tcW w:w="56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5,902</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Arial" w:cs="Arial" w:eastAsia="Arial" w:hAnsi="Arial"/>
                <w:sz w:val="18"/>
                <w:szCs w:val="18"/>
                <w:color w:val="auto"/>
              </w:rPr>
              <w:t>(715)</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15,842</w:t>
            </w:r>
          </w:p>
        </w:tc>
        <w:tc>
          <w:tcPr>
            <w:tcW w:w="1000" w:type="dxa"/>
            <w:vAlign w:val="bottom"/>
          </w:tcPr>
          <w:p>
            <w:pPr>
              <w:spacing w:after="0"/>
              <w:rPr>
                <w:sz w:val="17"/>
                <w:szCs w:val="17"/>
                <w:color w:val="auto"/>
              </w:rPr>
            </w:pPr>
          </w:p>
        </w:tc>
        <w:tc>
          <w:tcPr>
            <w:tcW w:w="600" w:type="dxa"/>
            <w:vAlign w:val="bottom"/>
          </w:tcPr>
          <w:p>
            <w:pPr>
              <w:jc w:val="right"/>
              <w:spacing w:after="0" w:line="205" w:lineRule="exact"/>
              <w:rPr>
                <w:sz w:val="20"/>
                <w:szCs w:val="20"/>
                <w:color w:val="auto"/>
              </w:rPr>
            </w:pPr>
            <w:r>
              <w:rPr>
                <w:rFonts w:ascii="Arial" w:cs="Arial" w:eastAsia="Arial" w:hAnsi="Arial"/>
                <w:sz w:val="18"/>
                <w:szCs w:val="18"/>
                <w:color w:val="auto"/>
              </w:rPr>
              <w:t>2,721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5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700</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6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1,600</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5,202</w:t>
            </w:r>
          </w:p>
        </w:tc>
        <w:tc>
          <w:tcPr>
            <w:tcW w:w="5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14,242</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4820" w:type="dxa"/>
            <w:vAlign w:val="bottom"/>
          </w:tcPr>
          <w:p>
            <w:pPr>
              <w:spacing w:after="0"/>
              <w:rPr>
                <w:sz w:val="20"/>
                <w:szCs w:val="20"/>
                <w:color w:val="auto"/>
              </w:rPr>
            </w:pPr>
            <w:r>
              <w:rPr>
                <w:rFonts w:ascii="Arial" w:cs="Arial" w:eastAsia="Arial" w:hAnsi="Arial"/>
                <w:sz w:val="18"/>
                <w:szCs w:val="18"/>
                <w:color w:val="auto"/>
              </w:rPr>
              <w:t>Income (loss) per share:</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0.24</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0.66</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820" w:type="dxa"/>
            <w:vAlign w:val="bottom"/>
          </w:tcPr>
          <w:p>
            <w:pPr>
              <w:ind w:left="260"/>
              <w:spacing w:after="0"/>
              <w:rPr>
                <w:sz w:val="20"/>
                <w:szCs w:val="20"/>
                <w:color w:val="auto"/>
              </w:rPr>
            </w:pPr>
            <w:r>
              <w:rPr>
                <w:rFonts w:ascii="Arial" w:cs="Arial" w:eastAsia="Arial" w:hAnsi="Arial"/>
                <w:sz w:val="18"/>
                <w:szCs w:val="18"/>
                <w:color w:val="auto"/>
              </w:rPr>
              <w:t>Basic</w:t>
            </w:r>
          </w:p>
        </w:tc>
        <w:tc>
          <w:tcPr>
            <w:tcW w:w="5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6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60"/>
              <w:spacing w:after="0"/>
              <w:rPr>
                <w:sz w:val="20"/>
                <w:szCs w:val="20"/>
                <w:color w:val="auto"/>
              </w:rPr>
            </w:pPr>
            <w:r>
              <w:rPr>
                <w:rFonts w:ascii="Arial" w:cs="Arial" w:eastAsia="Arial" w:hAnsi="Arial"/>
                <w:sz w:val="18"/>
                <w:szCs w:val="18"/>
                <w:color w:val="auto"/>
              </w:rPr>
              <w:t>Diluted</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0.24</w:t>
            </w:r>
          </w:p>
        </w:tc>
        <w:tc>
          <w:tcPr>
            <w:tcW w:w="5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0.65</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20" w:type="dxa"/>
            <w:vAlign w:val="bottom"/>
          </w:tcPr>
          <w:p>
            <w:pPr>
              <w:spacing w:after="0"/>
              <w:rPr>
                <w:sz w:val="20"/>
                <w:szCs w:val="20"/>
                <w:color w:val="auto"/>
              </w:rPr>
            </w:pPr>
            <w:r>
              <w:rPr>
                <w:rFonts w:ascii="Arial" w:cs="Arial" w:eastAsia="Arial" w:hAnsi="Arial"/>
                <w:sz w:val="18"/>
                <w:szCs w:val="18"/>
                <w:color w:val="auto"/>
              </w:rPr>
              <w:t>Weighted average shares used in</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40"/>
              <w:spacing w:after="0"/>
              <w:rPr>
                <w:sz w:val="20"/>
                <w:szCs w:val="20"/>
                <w:color w:val="auto"/>
              </w:rPr>
            </w:pPr>
            <w:r>
              <w:rPr>
                <w:rFonts w:ascii="Arial" w:cs="Arial" w:eastAsia="Arial" w:hAnsi="Arial"/>
                <w:sz w:val="18"/>
                <w:szCs w:val="18"/>
                <w:color w:val="auto"/>
              </w:rPr>
              <w:t>computing income (loss) per share:</w:t>
            </w:r>
          </w:p>
        </w:tc>
        <w:tc>
          <w:tcPr>
            <w:tcW w:w="56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21,538</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21,480</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21,255</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11" w:orient="portrait"/>
          <w:cols w:equalWidth="0" w:num="1">
            <w:col w:w="11400"/>
          </w:cols>
          <w:pgMar w:left="240" w:top="125" w:right="2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8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21,912</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21,255</w:t>
            </w:r>
          </w:p>
        </w:tc>
        <w:tc>
          <w:tcPr>
            <w:tcW w:w="8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21,988</w:t>
            </w:r>
          </w:p>
        </w:tc>
        <w:tc>
          <w:tcPr>
            <w:tcW w:w="72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21,619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(in thousands) (unaudited)</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3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1600" w:type="dxa"/>
            <w:vAlign w:val="bottom"/>
            <w:gridSpan w:val="4"/>
          </w:tcPr>
          <w:p>
            <w:pPr>
              <w:jc w:val="right"/>
              <w:ind w:right="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20" w:type="dxa"/>
            <w:vAlign w:val="bottom"/>
            <w:gridSpan w:val="2"/>
          </w:tcPr>
          <w:p>
            <w:pPr>
              <w:ind w:left="300"/>
              <w:spacing w:after="0"/>
              <w:rPr>
                <w:sz w:val="20"/>
                <w:szCs w:val="20"/>
                <w:color w:val="auto"/>
              </w:rPr>
            </w:pPr>
            <w:r>
              <w:rPr>
                <w:rFonts w:ascii="Arial" w:cs="Arial" w:eastAsia="Arial" w:hAnsi="Arial"/>
                <w:sz w:val="18"/>
                <w:szCs w:val="18"/>
                <w:color w:val="auto"/>
              </w:rPr>
              <w:t>Assets:</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20" w:type="dxa"/>
            <w:vAlign w:val="bottom"/>
            <w:gridSpan w:val="2"/>
          </w:tcPr>
          <w:p>
            <w:pPr>
              <w:ind w:left="300"/>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6"/>
              </w:rPr>
              <w:t>115,462</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Cash and investments</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gridSpan w:val="4"/>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107,620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41,884</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25,578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41,536</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31,636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Deferred taxes and other</w:t>
            </w:r>
          </w:p>
        </w:tc>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6,658</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6,704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line="205" w:lineRule="exact"/>
              <w:rPr>
                <w:sz w:val="20"/>
                <w:szCs w:val="20"/>
                <w:color w:val="auto"/>
              </w:rPr>
            </w:pPr>
            <w:r>
              <w:rPr>
                <w:rFonts w:ascii="Arial" w:cs="Arial" w:eastAsia="Arial" w:hAnsi="Arial"/>
                <w:sz w:val="18"/>
                <w:szCs w:val="18"/>
                <w:b w:val="1"/>
                <w:bCs w:val="1"/>
                <w:color w:val="auto"/>
                <w:w w:val="86"/>
              </w:rPr>
              <w:t>205,540</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89"/>
              </w:rPr>
              <w:t>171,538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300"/>
              <w:spacing w:after="0"/>
              <w:rPr>
                <w:sz w:val="20"/>
                <w:szCs w:val="20"/>
                <w:color w:val="auto"/>
              </w:rPr>
            </w:pPr>
            <w:r>
              <w:rPr>
                <w:rFonts w:ascii="Arial" w:cs="Arial" w:eastAsia="Arial" w:hAnsi="Arial"/>
                <w:sz w:val="18"/>
                <w:szCs w:val="18"/>
                <w:color w:val="auto"/>
              </w:rPr>
              <w:t>Note receivable</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8,978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300"/>
              <w:spacing w:after="0"/>
              <w:rPr>
                <w:sz w:val="20"/>
                <w:szCs w:val="20"/>
                <w:color w:val="auto"/>
              </w:rPr>
            </w:pPr>
            <w:r>
              <w:rPr>
                <w:rFonts w:ascii="Arial" w:cs="Arial" w:eastAsia="Arial" w:hAnsi="Arial"/>
                <w:sz w:val="18"/>
                <w:szCs w:val="18"/>
                <w:color w:val="auto"/>
              </w:rPr>
              <w:t>Property, plant &amp; equipment, net</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29,976</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30,683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300"/>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8,340</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8,340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gridSpan w:val="2"/>
          </w:tcPr>
          <w:p>
            <w:pPr>
              <w:ind w:left="300"/>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787</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1,191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8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Total assets</w:t>
            </w:r>
          </w:p>
        </w:tc>
        <w:tc>
          <w:tcPr>
            <w:tcW w:w="5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244,643</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220,730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120" w:type="dxa"/>
            <w:vAlign w:val="bottom"/>
            <w:gridSpan w:val="2"/>
          </w:tcPr>
          <w:p>
            <w:pPr>
              <w:ind w:left="300"/>
              <w:spacing w:after="0"/>
              <w:rPr>
                <w:sz w:val="20"/>
                <w:szCs w:val="20"/>
                <w:color w:val="auto"/>
              </w:rPr>
            </w:pPr>
            <w:r>
              <w:rPr>
                <w:rFonts w:ascii="Arial" w:cs="Arial" w:eastAsia="Arial" w:hAnsi="Arial"/>
                <w:sz w:val="18"/>
                <w:szCs w:val="18"/>
                <w:color w:val="auto"/>
              </w:rPr>
              <w:t>Liabilities &amp; Stockholders’ Equity:</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20" w:type="dxa"/>
            <w:vAlign w:val="bottom"/>
            <w:gridSpan w:val="2"/>
          </w:tcPr>
          <w:p>
            <w:pPr>
              <w:ind w:left="300"/>
              <w:spacing w:after="0"/>
              <w:rPr>
                <w:sz w:val="20"/>
                <w:szCs w:val="20"/>
                <w:color w:val="auto"/>
              </w:rPr>
            </w:pPr>
            <w:r>
              <w:rPr>
                <w:rFonts w:ascii="Arial" w:cs="Arial" w:eastAsia="Arial" w:hAnsi="Arial"/>
                <w:sz w:val="18"/>
                <w:szCs w:val="18"/>
                <w:color w:val="auto"/>
              </w:rPr>
              <w:t>Current liabilities:</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11,130</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Deferred profit</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gridSpan w:val="4"/>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4,132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current liabilities</w:t>
            </w:r>
          </w:p>
        </w:tc>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26,643</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22,685</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20" w:type="dxa"/>
            <w:vAlign w:val="bottom"/>
            <w:gridSpan w:val="2"/>
            <w:vMerge w:val="restart"/>
          </w:tcPr>
          <w:p>
            <w:pPr>
              <w:ind w:left="300"/>
              <w:spacing w:after="0"/>
              <w:rPr>
                <w:sz w:val="20"/>
                <w:szCs w:val="20"/>
                <w:color w:val="auto"/>
              </w:rPr>
            </w:pPr>
            <w:r>
              <w:rPr>
                <w:rFonts w:ascii="Arial" w:cs="Arial" w:eastAsia="Arial" w:hAnsi="Arial"/>
                <w:sz w:val="18"/>
                <w:szCs w:val="18"/>
                <w:color w:val="auto"/>
              </w:rPr>
              <w:t>Deferred taxes and other noncurrent</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37,773</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26,817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1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1,713</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1,683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gridSpan w:val="2"/>
          </w:tcPr>
          <w:p>
            <w:pPr>
              <w:ind w:left="300"/>
              <w:spacing w:after="0"/>
              <w:rPr>
                <w:sz w:val="20"/>
                <w:szCs w:val="20"/>
                <w:color w:val="auto"/>
              </w:rPr>
            </w:pPr>
            <w:r>
              <w:rPr>
                <w:rFonts w:ascii="Arial" w:cs="Arial" w:eastAsia="Arial" w:hAnsi="Arial"/>
                <w:sz w:val="18"/>
                <w:szCs w:val="18"/>
                <w:color w:val="auto"/>
              </w:rPr>
              <w:t>Stockholders’ equity</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205,157</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192,230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8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Total liabilities &amp; equity</w:t>
            </w:r>
          </w:p>
        </w:tc>
        <w:tc>
          <w:tcPr>
            <w:tcW w:w="5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244,643</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220,730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840"/>
        <w:spacing w:after="0" w:line="277" w:lineRule="auto"/>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 xml:space="preserve"> Contact: John Allen — Investor Relations (858) 848-8106</w:t>
      </w:r>
    </w:p>
    <w:sectPr>
      <w:pgSz w:w="11900" w:h="16838" w:orient="portrait"/>
      <w:cols w:equalWidth="0" w:num="1">
        <w:col w:w="10780"/>
      </w:cols>
      <w:pgMar w:left="240" w:top="12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2019-12-12T09:04:50Z</dcterms:created>
  <dcterms:modified xsi:type="dcterms:W3CDTF">2019-12-12T09:04:50Z</dcterms:modified>
</cp:coreProperties>
</file>