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CAGGIA ANDREW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05/16/2018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92064-6817</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2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Restricted Stock Units</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05/16/2018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4,931</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29,871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share of Cohu, Inc. Common Stock upon vesting. The RSUs vest on the earlier to occur of (i) the one-year anniversary of the May 16, 2018 grant date or (ii) the 2019 Cohu, Inc. Annual Meeting of Stockholders (assuming continued service to the Board of Directors).</w:t>
      </w:r>
    </w:p>
    <w:p>
      <w:pPr>
        <w:spacing w:after="0" w:line="30" w:lineRule="exact"/>
        <w:rPr>
          <w:rFonts w:ascii="Arial" w:cs="Arial" w:eastAsia="Arial" w:hAnsi="Arial"/>
          <w:sz w:val="14"/>
          <w:szCs w:val="14"/>
          <w:color w:val="008000"/>
        </w:rPr>
      </w:pPr>
    </w:p>
    <w:p>
      <w:pPr>
        <w:ind w:left="40" w:right="1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Number of shares includes 5,252 Deferred Stock Untis (DSUs). Each DSU is equal to one share of Cohu, Inc. Common Stock and will be settled through the issuance of common stock upon (i) the reporting person's termination of service as a director or (ii) at certain specified future dates.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Jeffrey D. Jones, by Power of</w:t>
            </w:r>
          </w:p>
        </w:tc>
        <w:tc>
          <w:tcPr>
            <w:tcW w:w="1020" w:type="dxa"/>
            <w:vAlign w:val="bottom"/>
            <w:gridSpan w:val="2"/>
            <w:vMerge w:val="restart"/>
          </w:tcPr>
          <w:p>
            <w:pPr>
              <w:ind w:left="220"/>
              <w:spacing w:after="0"/>
              <w:rPr>
                <w:sz w:val="20"/>
                <w:szCs w:val="20"/>
                <w:color w:val="auto"/>
              </w:rPr>
            </w:pPr>
            <w:r>
              <w:rPr>
                <w:rFonts w:ascii="Arial" w:cs="Arial" w:eastAsia="Arial" w:hAnsi="Arial"/>
                <w:sz w:val="18"/>
                <w:szCs w:val="18"/>
                <w:color w:val="0000FF"/>
                <w:w w:val="86"/>
              </w:rPr>
              <w:t>05/18/2018</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vMerge w:val="restart"/>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07464"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2019-12-24T03:50:46Z</dcterms:created>
  <dcterms:modified xsi:type="dcterms:W3CDTF">2019-12-24T03:50:46Z</dcterms:modified>
</cp:coreProperties>
</file>