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CIARDELLA ROBERT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12/29/2017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12/29/2017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3"/>
              </w:rPr>
              <w:t>897</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75,829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Director Fees. Each DSU is equal to one share of Cohu, Inc. Common Stock and will be settled through the issuance of common stock (i) upon the reporting person's termination of service as a director or (ii) at certain specified future dates.</w:t>
      </w:r>
    </w:p>
    <w:p>
      <w:pPr>
        <w:spacing w:after="0" w:line="30" w:lineRule="exact"/>
        <w:rPr>
          <w:rFonts w:ascii="Arial" w:cs="Arial" w:eastAsia="Arial" w:hAnsi="Arial"/>
          <w:sz w:val="14"/>
          <w:szCs w:val="14"/>
          <w:color w:val="008000"/>
        </w:rPr>
      </w:pPr>
    </w:p>
    <w:p>
      <w:pPr>
        <w:ind w:left="40" w:right="1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5,252 Restricted Stock Units (RSUs) and 22,577 Deferred Stock Units (DSUs). Each RSU represents a contingent right to receive one share of Cohu, Inc. Common Stock upon vesting (assuming continued service to the Board). Each DSU is equal to one share of Cohu, Inc. Common Stock and will be settled through the issuance of common stock (i) upon the reporting person's termination of service as a director or (ii) at certain specified future dates.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01/02/2018</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9026"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2019-12-24T03:51:48Z</dcterms:created>
  <dcterms:modified xsi:type="dcterms:W3CDTF">2019-12-24T03:51:48Z</dcterms:modified>
</cp:coreProperties>
</file>