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right="257"/>
              <w:spacing w:after="0"/>
              <w:rPr>
                <w:sz w:val="20"/>
                <w:szCs w:val="20"/>
                <w:color w:val="auto"/>
              </w:rPr>
            </w:pPr>
            <w:r>
              <w:rPr>
                <w:rFonts w:ascii="Arial" w:cs="Arial" w:eastAsia="Arial" w:hAnsi="Arial"/>
                <w:sz w:val="18"/>
                <w:szCs w:val="18"/>
                <w:color w:val="0000FF"/>
              </w:rPr>
              <w:t>77,536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(2)</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5,252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97"/>
              <w:spacing w:after="0"/>
              <w:rPr>
                <w:sz w:val="20"/>
                <w:szCs w:val="20"/>
                <w:color w:val="auto"/>
              </w:rPr>
            </w:pPr>
            <w:r>
              <w:rPr>
                <w:rFonts w:ascii="Arial" w:cs="Arial" w:eastAsia="Arial" w:hAnsi="Arial"/>
                <w:sz w:val="18"/>
                <w:szCs w:val="18"/>
                <w:color w:val="0000FF"/>
                <w:w w:val="88"/>
              </w:rPr>
              <w:t>5,252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70,103 Deferred Stock Units (DSUs). Each DSU is equal to one share of Cohu, Inc. Common Stock and will be settled through the issuance of common stock upon the reporting person's termination of service as a director.</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share of Cohu, Inc. Common Stock upon vesting. The RSUs vest on the earlier to occur of (a) the one-year anniversary of the May 10,2017, grant date or (b) the 2018 Cohu, Inc. Annual Meeting of Stockholders (assuming continued service to the Board).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05/12/2017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2019-12-24T03:46:01Z</dcterms:created>
  <dcterms:modified xsi:type="dcterms:W3CDTF">2019-12-24T03:46:01Z</dcterms:modified>
</cp:coreProperties>
</file>