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Funke Karl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9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05/10/2017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rPr>
              <w:t>2,667</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12,803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(3)</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05/10/2017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5,252</w:t>
            </w:r>
          </w:p>
        </w:tc>
        <w:tc>
          <w:tcPr>
            <w:tcW w:w="3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77"/>
              <w:spacing w:after="0"/>
              <w:rPr>
                <w:sz w:val="20"/>
                <w:szCs w:val="20"/>
                <w:color w:val="auto"/>
              </w:rPr>
            </w:pPr>
            <w:r>
              <w:rPr>
                <w:rFonts w:ascii="Arial" w:cs="Arial" w:eastAsia="Arial" w:hAnsi="Arial"/>
                <w:sz w:val="18"/>
                <w:szCs w:val="18"/>
                <w:color w:val="0000FF"/>
                <w:w w:val="93"/>
              </w:rPr>
              <w:t>5,252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1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1,100 Restricted Stock Units (RSU)(excluding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service to the Board).</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share of Cohu, Inc. Common Stock upon vesting. The RSUs vest on the earlier to occur of (a) the one-year anniversary of the May 10,2017, grant date or (b) the 2018 Cohu, Inc. Annual Meeting of Stockholders (assuming continued service to the Board).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Jeffrey D. Jones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05/12/2017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1147"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2019-12-24T03:37:41Z</dcterms:created>
  <dcterms:modified xsi:type="dcterms:W3CDTF">2019-12-24T03:37:41Z</dcterms:modified>
</cp:coreProperties>
</file>