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3"/>
          </w:tcPr>
          <w:p>
            <w:pPr>
              <w:ind w:left="160"/>
              <w:spacing w:after="0" w:line="195" w:lineRule="exact"/>
              <w:rPr>
                <w:sz w:val="20"/>
                <w:szCs w:val="20"/>
                <w:color w:val="auto"/>
              </w:rPr>
            </w:pPr>
            <w:r>
              <w:rPr>
                <w:rFonts w:ascii="Arial" w:cs="Arial" w:eastAsia="Arial" w:hAnsi="Arial"/>
                <w:sz w:val="18"/>
                <w:szCs w:val="18"/>
                <w:color w:val="0000FF"/>
              </w:rPr>
              <w:t>01/04/2012</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w w:val="98"/>
              </w:rPr>
              <w:t>POWAY</w:t>
            </w:r>
          </w:p>
        </w:tc>
        <w:tc>
          <w:tcPr>
            <w:tcW w:w="840" w:type="dxa"/>
            <w:vAlign w:val="bottom"/>
            <w:vMerge w:val="restart"/>
          </w:tcPr>
          <w:p>
            <w:pPr>
              <w:ind w:left="60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92064</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6"/>
              </w:rPr>
              <w:t>12/30/2011</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1,255.51</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22,281.25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amended Form 4 is being filed to correct the transaction date in Table 1, Column 2.</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Director Fees. Each DSU is equal to one share of Cohu, Inc. Common Stock and will be settled through the issuance of common stock upon reporting person's termination of service as a director.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6,100 Restricted Stock Units (RSUs) and 8,981.25 DSUs. Each RSU represents a contingent right to receive one share of Cohu, Inc. Common Stock upon vesting.</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2019-12-18T02:36:29Z</dcterms:created>
  <dcterms:modified xsi:type="dcterms:W3CDTF">2019-12-18T02:36:29Z</dcterms:modified>
</cp:coreProperties>
</file>