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-2540</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9" w:lineRule="auto"/>
        <w:tabs>
          <w:tab w:leader="none" w:pos="36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40" w:space="28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Walsh James P</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COHU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08/17/2010</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3"/>
        <w:spacing w:after="0"/>
        <w:rPr>
          <w:sz w:val="20"/>
          <w:szCs w:val="20"/>
          <w:color w:val="auto"/>
        </w:rPr>
      </w:pPr>
      <w:r>
        <w:rPr>
          <w:rFonts w:ascii="Times New Roman" w:cs="Times New Roman" w:eastAsia="Times New Roman" w:hAnsi="Times New Roman"/>
          <w:sz w:val="18"/>
          <w:szCs w:val="18"/>
          <w:color w:val="0000FF"/>
        </w:rPr>
        <w:t>VP Manufacturing</w:t>
      </w:r>
    </w:p>
    <w:p>
      <w:pPr>
        <w:spacing w:after="0" w:line="305"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80" w:type="dxa"/>
            <w:vAlign w:val="bottom"/>
            <w:gridSpan w:val="7"/>
            <w:vMerge w:val="continue"/>
          </w:tcPr>
          <w:p>
            <w:pPr>
              <w:spacing w:after="0"/>
              <w:rPr>
                <w:sz w:val="6"/>
                <w:szCs w:val="6"/>
                <w:color w:val="auto"/>
              </w:rPr>
            </w:pPr>
          </w:p>
        </w:tc>
        <w:tc>
          <w:tcPr>
            <w:tcW w:w="36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ind w:left="160"/>
              <w:spacing w:after="0" w:line="191" w:lineRule="exact"/>
              <w:rPr>
                <w:sz w:val="20"/>
                <w:szCs w:val="20"/>
                <w:color w:val="auto"/>
              </w:rPr>
            </w:pPr>
            <w:r>
              <w:rPr>
                <w:rFonts w:ascii="Times New Roman" w:cs="Times New Roman" w:eastAsia="Times New Roman" w:hAnsi="Times New Roman"/>
                <w:sz w:val="18"/>
                <w:szCs w:val="18"/>
                <w:color w:val="0000FF"/>
              </w:rPr>
              <w:t>08/17/2010</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POWAY</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0000FF"/>
                <w:w w:val="87"/>
              </w:rPr>
              <w:t>CA</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92064</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8"/>
                <w:szCs w:val="18"/>
                <w:color w:val="0000FF"/>
              </w:rPr>
              <w:t>08/17/2010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413</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12.05</w:t>
            </w:r>
          </w:p>
        </w:tc>
        <w:tc>
          <w:tcPr>
            <w:tcW w:w="124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8"/>
                <w:szCs w:val="18"/>
                <w:color w:val="0000FF"/>
              </w:rPr>
              <w:t>5,888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that were automatically withheld from shares issued upon vesting of Restricted Stock Units (RSUs) to cover tax obligations in a transaction exempt under Rule 16(b)-3. This amended Form</w:t>
      </w:r>
    </w:p>
    <w:p>
      <w:pPr>
        <w:spacing w:after="0" w:line="24" w:lineRule="exact"/>
        <w:rPr>
          <w:rFonts w:ascii="Times New Roman" w:cs="Times New Roman" w:eastAsia="Times New Roman" w:hAnsi="Times New Roman"/>
          <w:sz w:val="12"/>
          <w:szCs w:val="12"/>
          <w:color w:val="008000"/>
        </w:rPr>
      </w:pPr>
    </w:p>
    <w:p>
      <w:pPr>
        <w:ind w:left="40" w:right="140"/>
        <w:spacing w:after="0" w:line="230"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4"/>
          <w:szCs w:val="14"/>
          <w:color w:val="008000"/>
        </w:rPr>
        <w:t>4 is being filed to correct the number of shares disposed (from 344 to 413) and the shares Beneficially Owned (from 5,528 to 5,459). This difference was also incorrectly reported on Form 4 filed December 6, 2010.</w:t>
      </w:r>
    </w:p>
    <w:p>
      <w:pPr>
        <w:spacing w:after="0" w:line="28" w:lineRule="exact"/>
        <w:rPr>
          <w:rFonts w:ascii="Times New Roman" w:cs="Times New Roman" w:eastAsia="Times New Roman" w:hAnsi="Times New Roman"/>
          <w:sz w:val="12"/>
          <w:szCs w:val="12"/>
          <w:color w:val="008000"/>
        </w:rPr>
      </w:pPr>
    </w:p>
    <w:p>
      <w:pPr>
        <w:ind w:left="40" w:right="60" w:firstLine="9"/>
        <w:spacing w:after="0" w:line="241"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Number of shares includes 2,333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Jeffrey D. Jones (Attorney-in-</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03/14/2011</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7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9"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2019-12-18T02:12:46Z</dcterms:created>
  <dcterms:modified xsi:type="dcterms:W3CDTF">2019-12-18T02:12:46Z</dcterms:modified>
</cp:coreProperties>
</file>