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98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982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Hopkins Roger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3"/>
        <w:spacing w:after="0"/>
        <w:rPr>
          <w:sz w:val="20"/>
          <w:szCs w:val="20"/>
          <w:color w:val="auto"/>
        </w:rPr>
      </w:pPr>
      <w:r>
        <w:rPr>
          <w:rFonts w:ascii="Arial" w:cs="Arial" w:eastAsia="Arial" w:hAnsi="Arial"/>
          <w:sz w:val="17"/>
          <w:szCs w:val="17"/>
          <w:color w:val="0000FF"/>
        </w:rPr>
        <w:t>VP Sales &amp; Service</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6"/>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ind w:left="840"/>
              <w:spacing w:after="0"/>
              <w:rPr>
                <w:sz w:val="20"/>
                <w:szCs w:val="20"/>
                <w:color w:val="auto"/>
              </w:rPr>
            </w:pPr>
            <w:r>
              <w:rPr>
                <w:rFonts w:ascii="Arial" w:cs="Arial" w:eastAsia="Arial" w:hAnsi="Arial"/>
                <w:sz w:val="17"/>
                <w:szCs w:val="17"/>
                <w:color w:val="0000FF"/>
              </w:rPr>
              <w:t>11/10/2010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3"/>
                <w:szCs w:val="13"/>
                <w:color w:val="0000FF"/>
              </w:rPr>
              <w:t>M</w:t>
            </w:r>
          </w:p>
        </w:tc>
        <w:tc>
          <w:tcPr>
            <w:tcW w:w="680" w:type="dxa"/>
            <w:vAlign w:val="bottom"/>
          </w:tcPr>
          <w:p>
            <w:pPr>
              <w:jc w:val="right"/>
              <w:spacing w:after="0"/>
              <w:rPr>
                <w:sz w:val="20"/>
                <w:szCs w:val="20"/>
                <w:color w:val="auto"/>
              </w:rPr>
            </w:pPr>
            <w:r>
              <w:rPr>
                <w:rFonts w:ascii="Arial" w:cs="Arial" w:eastAsia="Arial" w:hAnsi="Arial"/>
                <w:sz w:val="17"/>
                <w:szCs w:val="17"/>
                <w:color w:val="0000FF"/>
              </w:rPr>
              <w:t>2,500</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8.15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12,262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ind w:left="840"/>
              <w:spacing w:after="0"/>
              <w:rPr>
                <w:sz w:val="20"/>
                <w:szCs w:val="20"/>
                <w:color w:val="auto"/>
              </w:rPr>
            </w:pPr>
            <w:r>
              <w:rPr>
                <w:rFonts w:ascii="Arial" w:cs="Arial" w:eastAsia="Arial" w:hAnsi="Arial"/>
                <w:sz w:val="17"/>
                <w:szCs w:val="17"/>
                <w:color w:val="0000FF"/>
              </w:rPr>
              <w:t>11/10/2010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3"/>
                <w:szCs w:val="13"/>
                <w:color w:val="0000FF"/>
              </w:rPr>
              <w:t>M</w:t>
            </w:r>
          </w:p>
        </w:tc>
        <w:tc>
          <w:tcPr>
            <w:tcW w:w="680" w:type="dxa"/>
            <w:vAlign w:val="bottom"/>
          </w:tcPr>
          <w:p>
            <w:pPr>
              <w:jc w:val="right"/>
              <w:spacing w:after="0"/>
              <w:rPr>
                <w:sz w:val="20"/>
                <w:szCs w:val="20"/>
                <w:color w:val="auto"/>
              </w:rPr>
            </w:pPr>
            <w:r>
              <w:rPr>
                <w:rFonts w:ascii="Arial" w:cs="Arial" w:eastAsia="Arial" w:hAnsi="Arial"/>
                <w:sz w:val="17"/>
                <w:szCs w:val="17"/>
                <w:color w:val="0000FF"/>
              </w:rPr>
              <w:t>5,000</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7.32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17,262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11/10/2010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7,500</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15.17</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9,762</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04/21/2010</w:t>
            </w:r>
            <w:r>
              <w:rPr>
                <w:rFonts w:ascii="Arial" w:cs="Arial" w:eastAsia="Arial" w:hAnsi="Arial"/>
                <w:sz w:val="22"/>
                <w:szCs w:val="22"/>
                <w:color w:val="008000"/>
                <w:vertAlign w:val="superscript"/>
              </w:rPr>
              <w:t>(3)</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8.15</w:t>
            </w:r>
          </w:p>
        </w:tc>
        <w:tc>
          <w:tcPr>
            <w:tcW w:w="1080" w:type="dxa"/>
            <w:vAlign w:val="bottom"/>
          </w:tcPr>
          <w:p>
            <w:pPr>
              <w:jc w:val="right"/>
              <w:ind w:right="137"/>
              <w:spacing w:after="0" w:line="145" w:lineRule="exact"/>
              <w:rPr>
                <w:sz w:val="20"/>
                <w:szCs w:val="20"/>
                <w:color w:val="auto"/>
              </w:rPr>
            </w:pPr>
            <w:r>
              <w:rPr>
                <w:rFonts w:ascii="Arial" w:cs="Arial" w:eastAsia="Arial" w:hAnsi="Arial"/>
                <w:sz w:val="13"/>
                <w:szCs w:val="13"/>
                <w:color w:val="0000FF"/>
              </w:rPr>
              <w:t>11/10/2010</w:t>
            </w:r>
          </w:p>
        </w:tc>
        <w:tc>
          <w:tcPr>
            <w:tcW w:w="1180" w:type="dxa"/>
            <w:vAlign w:val="bottom"/>
          </w:tcPr>
          <w:p>
            <w:pPr>
              <w:spacing w:after="0"/>
              <w:rPr>
                <w:sz w:val="12"/>
                <w:szCs w:val="12"/>
                <w:color w:val="auto"/>
              </w:rPr>
            </w:pPr>
          </w:p>
        </w:tc>
        <w:tc>
          <w:tcPr>
            <w:tcW w:w="6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400"/>
              <w:spacing w:after="0" w:line="145" w:lineRule="exact"/>
              <w:rPr>
                <w:sz w:val="20"/>
                <w:szCs w:val="20"/>
                <w:color w:val="auto"/>
              </w:rPr>
            </w:pPr>
            <w:r>
              <w:rPr>
                <w:rFonts w:ascii="Arial" w:cs="Arial" w:eastAsia="Arial" w:hAnsi="Arial"/>
                <w:sz w:val="13"/>
                <w:szCs w:val="13"/>
                <w:color w:val="0000FF"/>
              </w:rPr>
              <w:t>2,500</w:t>
            </w:r>
          </w:p>
        </w:tc>
        <w:tc>
          <w:tcPr>
            <w:tcW w:w="920" w:type="dxa"/>
            <w:vAlign w:val="bottom"/>
            <w:gridSpan w:val="2"/>
            <w:vMerge w:val="continue"/>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0000FF"/>
                <w:w w:val="92"/>
              </w:rPr>
              <w:t>04/21/2019</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ind w:left="18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03/20/2010</w:t>
            </w:r>
            <w:r>
              <w:rPr>
                <w:rFonts w:ascii="Arial" w:cs="Arial" w:eastAsia="Arial" w:hAnsi="Arial"/>
                <w:sz w:val="22"/>
                <w:szCs w:val="22"/>
                <w:color w:val="008000"/>
                <w:vertAlign w:val="superscript"/>
              </w:rPr>
              <w:t>(4)</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7.32</w:t>
            </w:r>
          </w:p>
        </w:tc>
        <w:tc>
          <w:tcPr>
            <w:tcW w:w="1080" w:type="dxa"/>
            <w:vAlign w:val="bottom"/>
          </w:tcPr>
          <w:p>
            <w:pPr>
              <w:jc w:val="right"/>
              <w:ind w:right="137"/>
              <w:spacing w:after="0" w:line="145" w:lineRule="exact"/>
              <w:rPr>
                <w:sz w:val="20"/>
                <w:szCs w:val="20"/>
                <w:color w:val="auto"/>
              </w:rPr>
            </w:pPr>
            <w:r>
              <w:rPr>
                <w:rFonts w:ascii="Arial" w:cs="Arial" w:eastAsia="Arial" w:hAnsi="Arial"/>
                <w:sz w:val="13"/>
                <w:szCs w:val="13"/>
                <w:color w:val="0000FF"/>
              </w:rPr>
              <w:t>11/10/2010</w:t>
            </w:r>
          </w:p>
        </w:tc>
        <w:tc>
          <w:tcPr>
            <w:tcW w:w="1180" w:type="dxa"/>
            <w:vAlign w:val="bottom"/>
          </w:tcPr>
          <w:p>
            <w:pPr>
              <w:spacing w:after="0"/>
              <w:rPr>
                <w:sz w:val="12"/>
                <w:szCs w:val="12"/>
                <w:color w:val="auto"/>
              </w:rPr>
            </w:pPr>
          </w:p>
        </w:tc>
        <w:tc>
          <w:tcPr>
            <w:tcW w:w="6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400"/>
              <w:spacing w:after="0" w:line="145" w:lineRule="exact"/>
              <w:rPr>
                <w:sz w:val="20"/>
                <w:szCs w:val="20"/>
                <w:color w:val="auto"/>
              </w:rPr>
            </w:pPr>
            <w:r>
              <w:rPr>
                <w:rFonts w:ascii="Arial" w:cs="Arial" w:eastAsia="Arial" w:hAnsi="Arial"/>
                <w:sz w:val="13"/>
                <w:szCs w:val="13"/>
                <w:color w:val="0000FF"/>
              </w:rPr>
              <w:t>5,000</w:t>
            </w:r>
          </w:p>
        </w:tc>
        <w:tc>
          <w:tcPr>
            <w:tcW w:w="920" w:type="dxa"/>
            <w:vAlign w:val="bottom"/>
            <w:gridSpan w:val="2"/>
            <w:vMerge w:val="continue"/>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0000FF"/>
                <w:w w:val="92"/>
              </w:rPr>
              <w:t>03/20/2019</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8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with respect to this transaction were sold in multiple trades at prices ranging from $15.08 to $15.26;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8,125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April 21, 2010 (assuming continued employment).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March 20, 2010 (assuming continued employment).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Jeffrey D.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11/11/2010</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8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2019-12-18T01:17:11Z</dcterms:created>
  <dcterms:modified xsi:type="dcterms:W3CDTF">2019-12-18T01:17:11Z</dcterms:modified>
</cp:coreProperties>
</file>