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306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66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Hopkins Roger J</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10/26/2010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56"/>
        <w:spacing w:after="0"/>
        <w:rPr>
          <w:sz w:val="20"/>
          <w:szCs w:val="20"/>
          <w:color w:val="auto"/>
        </w:rPr>
      </w:pPr>
      <w:r>
        <w:rPr>
          <w:rFonts w:ascii="Arial" w:cs="Arial" w:eastAsia="Arial" w:hAnsi="Arial"/>
          <w:sz w:val="17"/>
          <w:szCs w:val="17"/>
          <w:color w:val="0000FF"/>
        </w:rPr>
        <w:t>VP Sales &amp; Service</w:t>
      </w:r>
    </w:p>
    <w:p>
      <w:pPr>
        <w:spacing w:after="0" w:line="330"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60" w:type="dxa"/>
            <w:vAlign w:val="bottom"/>
          </w:tcPr>
          <w:p>
            <w:pPr>
              <w:ind w:left="3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rPr>
              <w:t>4,345</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Restricted Stock Units</w:t>
            </w:r>
            <w:r>
              <w:rPr>
                <w:rFonts w:ascii="Arial" w:cs="Arial" w:eastAsia="Arial" w:hAnsi="Arial"/>
                <w:sz w:val="22"/>
                <w:szCs w:val="22"/>
                <w:color w:val="008000"/>
                <w:vertAlign w:val="superscript"/>
              </w:rPr>
              <w:t>(2)</w:t>
            </w: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10/26/2010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3"/>
              </w:rPr>
              <w:t>5,417</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5,417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color w:val="0000FF"/>
                <w:w w:val="96"/>
              </w:rPr>
              <w:t>10/26/2011</w:t>
            </w:r>
            <w:r>
              <w:rPr>
                <w:rFonts w:ascii="Arial" w:cs="Arial" w:eastAsia="Arial" w:hAnsi="Arial"/>
                <w:sz w:val="22"/>
                <w:szCs w:val="22"/>
                <w:color w:val="008000"/>
                <w:w w:val="96"/>
                <w:vertAlign w:val="superscript"/>
              </w:rPr>
              <w:t>(3)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13,750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13.77</w:t>
            </w:r>
          </w:p>
        </w:tc>
        <w:tc>
          <w:tcPr>
            <w:tcW w:w="1080" w:type="dxa"/>
            <w:vAlign w:val="bottom"/>
          </w:tcPr>
          <w:p>
            <w:pPr>
              <w:jc w:val="right"/>
              <w:ind w:right="158"/>
              <w:spacing w:after="0" w:line="144" w:lineRule="exact"/>
              <w:rPr>
                <w:sz w:val="20"/>
                <w:szCs w:val="20"/>
                <w:color w:val="auto"/>
              </w:rPr>
            </w:pPr>
            <w:r>
              <w:rPr>
                <w:rFonts w:ascii="Arial" w:cs="Arial" w:eastAsia="Arial" w:hAnsi="Arial"/>
                <w:sz w:val="13"/>
                <w:szCs w:val="13"/>
                <w:color w:val="0000FF"/>
              </w:rPr>
              <w:t>10/26/2010</w:t>
            </w:r>
          </w:p>
        </w:tc>
        <w:tc>
          <w:tcPr>
            <w:tcW w:w="1160" w:type="dxa"/>
            <w:vAlign w:val="bottom"/>
          </w:tcPr>
          <w:p>
            <w:pPr>
              <w:spacing w:after="0"/>
              <w:rPr>
                <w:sz w:val="12"/>
                <w:szCs w:val="12"/>
                <w:color w:val="auto"/>
              </w:rPr>
            </w:pPr>
          </w:p>
        </w:tc>
        <w:tc>
          <w:tcPr>
            <w:tcW w:w="78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4" w:lineRule="exact"/>
              <w:rPr>
                <w:sz w:val="20"/>
                <w:szCs w:val="20"/>
                <w:color w:val="auto"/>
              </w:rPr>
            </w:pPr>
            <w:r>
              <w:rPr>
                <w:rFonts w:ascii="Arial" w:cs="Arial" w:eastAsia="Arial" w:hAnsi="Arial"/>
                <w:sz w:val="13"/>
                <w:szCs w:val="13"/>
                <w:color w:val="0000FF"/>
              </w:rPr>
              <w:t>13,750</w:t>
            </w: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10/26/2020</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1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20"/>
              <w:spacing w:after="0" w:line="144" w:lineRule="exact"/>
              <w:rPr>
                <w:sz w:val="20"/>
                <w:szCs w:val="20"/>
                <w:color w:val="auto"/>
              </w:rPr>
            </w:pPr>
            <w:r>
              <w:rPr>
                <w:rFonts w:ascii="Arial" w:cs="Arial" w:eastAsia="Arial" w:hAnsi="Arial"/>
                <w:sz w:val="13"/>
                <w:szCs w:val="13"/>
                <w:color w:val="0000FF"/>
                <w:w w:val="90"/>
              </w:rPr>
              <w:t>13,750</w:t>
            </w:r>
          </w:p>
        </w:tc>
        <w:tc>
          <w:tcPr>
            <w:tcW w:w="280" w:type="dxa"/>
            <w:vAlign w:val="bottom"/>
          </w:tcPr>
          <w:p>
            <w:pPr>
              <w:spacing w:after="0"/>
              <w:rPr>
                <w:sz w:val="12"/>
                <w:szCs w:val="12"/>
                <w:color w:val="auto"/>
              </w:rPr>
            </w:pP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7"/>
        <w:spacing w:after="0" w:line="301"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2,708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right="4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Cohu, Inc. Common Stock upon vesting. The RSU vests in four equal annual installments beginning October 26, 2011 (assuming continued employment).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four equal installments beginning on October 26, 2011 (assuming continued employment).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Jeffrey D. Jones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10/28/2010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358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2019-12-18T01:59:14Z</dcterms:created>
  <dcterms:modified xsi:type="dcterms:W3CDTF">2019-12-18T01:59:14Z</dcterms:modified>
</cp:coreProperties>
</file>