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65684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656844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SCHOLEFIELD COLIN P</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12367 CROSTHWAITE CIRCLE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COHU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COHU</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05/21/2008</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683"/>
        <w:spacing w:after="0"/>
        <w:rPr>
          <w:sz w:val="20"/>
          <w:szCs w:val="20"/>
          <w:color w:val="auto"/>
        </w:rPr>
      </w:pPr>
      <w:r>
        <w:rPr>
          <w:rFonts w:ascii="Arial" w:cs="Arial" w:eastAsia="Arial" w:hAnsi="Arial"/>
          <w:sz w:val="18"/>
          <w:szCs w:val="18"/>
          <w:color w:val="0000FF"/>
        </w:rPr>
        <w:t>Senior VP, Sales &amp; Service</w:t>
      </w:r>
    </w:p>
    <w:p>
      <w:pPr>
        <w:spacing w:after="0" w:line="315"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9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940" w:type="dxa"/>
            <w:vAlign w:val="bottom"/>
          </w:tcPr>
          <w:p>
            <w:pPr>
              <w:spacing w:after="0"/>
              <w:rPr>
                <w:sz w:val="20"/>
                <w:szCs w:val="20"/>
                <w:color w:val="auto"/>
              </w:rPr>
            </w:pPr>
            <w:r>
              <w:rPr>
                <w:rFonts w:ascii="Arial" w:cs="Arial" w:eastAsia="Arial" w:hAnsi="Arial"/>
                <w:sz w:val="18"/>
                <w:szCs w:val="18"/>
                <w:color w:val="0000FF"/>
              </w:rPr>
              <w:t>POWAY</w:t>
            </w:r>
          </w:p>
        </w:tc>
        <w:tc>
          <w:tcPr>
            <w:tcW w:w="1180" w:type="dxa"/>
            <w:vAlign w:val="bottom"/>
          </w:tcPr>
          <w:p>
            <w:pPr>
              <w:ind w:left="340"/>
              <w:spacing w:after="0"/>
              <w:rPr>
                <w:sz w:val="20"/>
                <w:szCs w:val="20"/>
                <w:color w:val="auto"/>
              </w:rPr>
            </w:pPr>
            <w:r>
              <w:rPr>
                <w:rFonts w:ascii="Arial" w:cs="Arial" w:eastAsia="Arial" w:hAnsi="Arial"/>
                <w:sz w:val="18"/>
                <w:szCs w:val="18"/>
                <w:color w:val="0000FF"/>
              </w:rPr>
              <w:t>CA</w:t>
            </w:r>
          </w:p>
        </w:tc>
        <w:tc>
          <w:tcPr>
            <w:tcW w:w="1680" w:type="dxa"/>
            <w:vAlign w:val="bottom"/>
          </w:tcPr>
          <w:p>
            <w:pPr>
              <w:ind w:left="420"/>
              <w:spacing w:after="0"/>
              <w:rPr>
                <w:sz w:val="20"/>
                <w:szCs w:val="20"/>
                <w:color w:val="auto"/>
              </w:rPr>
            </w:pPr>
            <w:r>
              <w:rPr>
                <w:rFonts w:ascii="Arial" w:cs="Arial" w:eastAsia="Arial" w:hAnsi="Arial"/>
                <w:sz w:val="18"/>
                <w:szCs w:val="18"/>
                <w:color w:val="0000FF"/>
              </w:rPr>
              <w:t>92064</w:t>
            </w:r>
          </w:p>
        </w:tc>
      </w:tr>
      <w:tr>
        <w:trPr>
          <w:trHeight w:val="158"/>
        </w:trPr>
        <w:tc>
          <w:tcPr>
            <w:tcW w:w="4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4"/>
                <w:szCs w:val="14"/>
                <w:color w:val="auto"/>
              </w:rPr>
              <w:t>(City)</w:t>
            </w:r>
          </w:p>
        </w:tc>
        <w:tc>
          <w:tcPr>
            <w:tcW w:w="1180" w:type="dxa"/>
            <w:vAlign w:val="bottom"/>
          </w:tcPr>
          <w:p>
            <w:pPr>
              <w:ind w:left="34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4"/>
                <w:szCs w:val="14"/>
                <w:color w:val="auto"/>
              </w:rPr>
            </w:pPr>
          </w:p>
        </w:tc>
        <w:tc>
          <w:tcPr>
            <w:tcW w:w="196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2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9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10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0" w:type="dxa"/>
            <w:vAlign w:val="bottom"/>
            <w:gridSpan w:val="2"/>
          </w:tcPr>
          <w:p>
            <w:pPr>
              <w:jc w:val="center"/>
              <w:ind w:left="565"/>
              <w:spacing w:after="0" w:line="135" w:lineRule="exact"/>
              <w:rPr>
                <w:sz w:val="20"/>
                <w:szCs w:val="20"/>
                <w:color w:val="auto"/>
              </w:rPr>
            </w:pPr>
            <w:r>
              <w:rPr>
                <w:rFonts w:ascii="Arial" w:cs="Arial" w:eastAsia="Arial" w:hAnsi="Arial"/>
                <w:sz w:val="12"/>
                <w:szCs w:val="12"/>
                <w:b w:val="1"/>
                <w:bCs w:val="1"/>
                <w:color w:val="auto"/>
              </w:rPr>
              <w:t>(Month/Day/Year)</w:t>
            </w:r>
          </w:p>
        </w:tc>
        <w:tc>
          <w:tcPr>
            <w:tcW w:w="9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spacing w:after="0" w:line="135"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78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jc w:val="right"/>
              <w:spacing w:after="0" w:line="135" w:lineRule="exact"/>
              <w:rPr>
                <w:sz w:val="20"/>
                <w:szCs w:val="20"/>
                <w:color w:val="auto"/>
              </w:rPr>
            </w:pPr>
            <w:r>
              <w:rPr>
                <w:rFonts w:ascii="Arial" w:cs="Arial" w:eastAsia="Arial" w:hAnsi="Arial"/>
                <w:sz w:val="12"/>
                <w:szCs w:val="12"/>
                <w:b w:val="1"/>
                <w:bCs w:val="1"/>
                <w:color w:val="auto"/>
              </w:rPr>
              <w:t>(A) or</w:t>
            </w:r>
          </w:p>
        </w:tc>
        <w:tc>
          <w:tcPr>
            <w:tcW w:w="74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660" w:type="dxa"/>
            <w:vAlign w:val="bottom"/>
            <w:vMerge w:val="restart"/>
          </w:tcPr>
          <w:p>
            <w:pPr>
              <w:jc w:val="right"/>
              <w:ind w:right="128"/>
              <w:spacing w:after="0"/>
              <w:rPr>
                <w:sz w:val="20"/>
                <w:szCs w:val="20"/>
                <w:color w:val="auto"/>
              </w:rPr>
            </w:pPr>
            <w:r>
              <w:rPr>
                <w:rFonts w:ascii="Arial" w:cs="Arial" w:eastAsia="Arial" w:hAnsi="Arial"/>
                <w:sz w:val="12"/>
                <w:szCs w:val="12"/>
                <w:b w:val="1"/>
                <w:bCs w:val="1"/>
                <w:color w:val="auto"/>
              </w:rPr>
              <w:t>(D)</w:t>
            </w:r>
          </w:p>
        </w:tc>
        <w:tc>
          <w:tcPr>
            <w:tcW w:w="740" w:type="dxa"/>
            <w:vAlign w:val="bottom"/>
            <w:gridSpan w:val="2"/>
            <w:vMerge w:val="continue"/>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2"/>
          </w:tcPr>
          <w:p>
            <w:pPr>
              <w:jc w:val="center"/>
              <w:ind w:left="565"/>
              <w:spacing w:after="0"/>
              <w:rPr>
                <w:sz w:val="20"/>
                <w:szCs w:val="20"/>
                <w:color w:val="auto"/>
              </w:rPr>
            </w:pPr>
            <w:r>
              <w:rPr>
                <w:rFonts w:ascii="Arial" w:cs="Arial" w:eastAsia="Arial" w:hAnsi="Arial"/>
                <w:sz w:val="18"/>
                <w:szCs w:val="18"/>
                <w:color w:val="0000FF"/>
                <w:w w:val="88"/>
              </w:rPr>
              <w:t>05/21/2008</w:t>
            </w:r>
          </w:p>
        </w:tc>
        <w:tc>
          <w:tcPr>
            <w:tcW w:w="1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114"/>
              <w:spacing w:after="0"/>
              <w:rPr>
                <w:sz w:val="20"/>
                <w:szCs w:val="20"/>
                <w:color w:val="auto"/>
              </w:rPr>
            </w:pPr>
            <w:r>
              <w:rPr>
                <w:rFonts w:ascii="Arial" w:cs="Arial" w:eastAsia="Arial" w:hAnsi="Arial"/>
                <w:sz w:val="14"/>
                <w:szCs w:val="14"/>
                <w:color w:val="0000FF"/>
              </w:rPr>
              <w:t>M</w:t>
            </w:r>
          </w:p>
        </w:tc>
        <w:tc>
          <w:tcPr>
            <w:tcW w:w="2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center"/>
              <w:ind w:left="82"/>
              <w:spacing w:after="0"/>
              <w:rPr>
                <w:sz w:val="20"/>
                <w:szCs w:val="20"/>
                <w:color w:val="auto"/>
              </w:rPr>
            </w:pPr>
            <w:r>
              <w:rPr>
                <w:rFonts w:ascii="Arial" w:cs="Arial" w:eastAsia="Arial" w:hAnsi="Arial"/>
                <w:sz w:val="18"/>
                <w:szCs w:val="18"/>
                <w:color w:val="0000FF"/>
                <w:w w:val="88"/>
              </w:rPr>
              <w:t>6,000</w:t>
            </w:r>
          </w:p>
        </w:tc>
        <w:tc>
          <w:tcPr>
            <w:tcW w:w="660" w:type="dxa"/>
            <w:vAlign w:val="bottom"/>
            <w:tcBorders>
              <w:bottom w:val="single" w:sz="8" w:color="2C2C2C"/>
            </w:tcBorders>
          </w:tcPr>
          <w:p>
            <w:pPr>
              <w:jc w:val="right"/>
              <w:ind w:right="48"/>
              <w:spacing w:after="0"/>
              <w:rPr>
                <w:sz w:val="20"/>
                <w:szCs w:val="20"/>
                <w:color w:val="auto"/>
              </w:rPr>
            </w:pPr>
            <w:r>
              <w:rPr>
                <w:rFonts w:ascii="Arial" w:cs="Arial" w:eastAsia="Arial" w:hAnsi="Arial"/>
                <w:sz w:val="18"/>
                <w:szCs w:val="18"/>
                <w:color w:val="0000FF"/>
              </w:rPr>
              <w:t>A</w:t>
            </w:r>
          </w:p>
        </w:tc>
        <w:tc>
          <w:tcPr>
            <w:tcW w:w="740" w:type="dxa"/>
            <w:vAlign w:val="bottom"/>
            <w:tcBorders>
              <w:bottom w:val="single" w:sz="8" w:color="2C2C2C"/>
            </w:tcBorders>
            <w:gridSpan w:val="2"/>
          </w:tcPr>
          <w:p>
            <w:pPr>
              <w:jc w:val="center"/>
              <w:ind w:left="4"/>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10.82</w:t>
            </w: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4"/>
              </w:rPr>
              <w:t>12,982</w:t>
            </w:r>
            <w:r>
              <w:rPr>
                <w:rFonts w:ascii="Arial" w:cs="Arial" w:eastAsia="Arial" w:hAnsi="Arial"/>
                <w:sz w:val="22"/>
                <w:szCs w:val="22"/>
                <w:color w:val="008000"/>
                <w:w w:val="84"/>
                <w:vertAlign w:val="superscript"/>
              </w:rPr>
              <w:t>(1)</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25"/>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2"/>
          </w:tcPr>
          <w:p>
            <w:pPr>
              <w:jc w:val="center"/>
              <w:ind w:left="565"/>
              <w:spacing w:after="0"/>
              <w:rPr>
                <w:sz w:val="20"/>
                <w:szCs w:val="20"/>
                <w:color w:val="auto"/>
              </w:rPr>
            </w:pPr>
            <w:r>
              <w:rPr>
                <w:rFonts w:ascii="Arial" w:cs="Arial" w:eastAsia="Arial" w:hAnsi="Arial"/>
                <w:sz w:val="18"/>
                <w:szCs w:val="18"/>
                <w:color w:val="0000FF"/>
                <w:w w:val="88"/>
              </w:rPr>
              <w:t>05/21/2008</w:t>
            </w:r>
          </w:p>
        </w:tc>
        <w:tc>
          <w:tcPr>
            <w:tcW w:w="1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114"/>
              <w:spacing w:after="0"/>
              <w:rPr>
                <w:sz w:val="20"/>
                <w:szCs w:val="20"/>
                <w:color w:val="auto"/>
              </w:rPr>
            </w:pPr>
            <w:r>
              <w:rPr>
                <w:rFonts w:ascii="Arial" w:cs="Arial" w:eastAsia="Arial" w:hAnsi="Arial"/>
                <w:sz w:val="14"/>
                <w:szCs w:val="14"/>
                <w:color w:val="0000FF"/>
                <w:w w:val="85"/>
              </w:rPr>
              <w:t>S</w:t>
            </w:r>
          </w:p>
        </w:tc>
        <w:tc>
          <w:tcPr>
            <w:tcW w:w="2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center"/>
              <w:ind w:left="82"/>
              <w:spacing w:after="0"/>
              <w:rPr>
                <w:sz w:val="20"/>
                <w:szCs w:val="20"/>
                <w:color w:val="auto"/>
              </w:rPr>
            </w:pPr>
            <w:r>
              <w:rPr>
                <w:rFonts w:ascii="Arial" w:cs="Arial" w:eastAsia="Arial" w:hAnsi="Arial"/>
                <w:sz w:val="18"/>
                <w:szCs w:val="18"/>
                <w:color w:val="0000FF"/>
                <w:w w:val="88"/>
              </w:rPr>
              <w:t>4,000</w:t>
            </w:r>
          </w:p>
        </w:tc>
        <w:tc>
          <w:tcPr>
            <w:tcW w:w="660" w:type="dxa"/>
            <w:vAlign w:val="bottom"/>
            <w:tcBorders>
              <w:bottom w:val="single" w:sz="8" w:color="2C2C2C"/>
            </w:tcBorders>
          </w:tcPr>
          <w:p>
            <w:pPr>
              <w:jc w:val="right"/>
              <w:ind w:right="48"/>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2"/>
          </w:tcPr>
          <w:p>
            <w:pPr>
              <w:jc w:val="center"/>
              <w:ind w:left="4"/>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17.01</w:t>
            </w: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2"/>
              </w:rPr>
              <w:t>8,982</w:t>
            </w:r>
            <w:r>
              <w:rPr>
                <w:rFonts w:ascii="Arial" w:cs="Arial" w:eastAsia="Arial" w:hAnsi="Arial"/>
                <w:sz w:val="22"/>
                <w:szCs w:val="22"/>
                <w:color w:val="008000"/>
                <w:w w:val="82"/>
                <w:vertAlign w:val="superscript"/>
              </w:rPr>
              <w:t>(1)</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25"/>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2"/>
          </w:tcPr>
          <w:p>
            <w:pPr>
              <w:jc w:val="center"/>
              <w:ind w:left="565"/>
              <w:spacing w:after="0"/>
              <w:rPr>
                <w:sz w:val="20"/>
                <w:szCs w:val="20"/>
                <w:color w:val="auto"/>
              </w:rPr>
            </w:pPr>
            <w:r>
              <w:rPr>
                <w:rFonts w:ascii="Arial" w:cs="Arial" w:eastAsia="Arial" w:hAnsi="Arial"/>
                <w:sz w:val="18"/>
                <w:szCs w:val="18"/>
                <w:color w:val="0000FF"/>
                <w:w w:val="88"/>
              </w:rPr>
              <w:t>05/21/2008</w:t>
            </w:r>
          </w:p>
        </w:tc>
        <w:tc>
          <w:tcPr>
            <w:tcW w:w="1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114"/>
              <w:spacing w:after="0"/>
              <w:rPr>
                <w:sz w:val="20"/>
                <w:szCs w:val="20"/>
                <w:color w:val="auto"/>
              </w:rPr>
            </w:pPr>
            <w:r>
              <w:rPr>
                <w:rFonts w:ascii="Arial" w:cs="Arial" w:eastAsia="Arial" w:hAnsi="Arial"/>
                <w:sz w:val="14"/>
                <w:szCs w:val="14"/>
                <w:color w:val="0000FF"/>
                <w:w w:val="85"/>
              </w:rPr>
              <w:t>S</w:t>
            </w:r>
          </w:p>
        </w:tc>
        <w:tc>
          <w:tcPr>
            <w:tcW w:w="2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center"/>
              <w:ind w:left="62"/>
              <w:spacing w:after="0"/>
              <w:rPr>
                <w:sz w:val="20"/>
                <w:szCs w:val="20"/>
                <w:color w:val="auto"/>
              </w:rPr>
            </w:pPr>
            <w:r>
              <w:rPr>
                <w:rFonts w:ascii="Arial" w:cs="Arial" w:eastAsia="Arial" w:hAnsi="Arial"/>
                <w:sz w:val="18"/>
                <w:szCs w:val="18"/>
                <w:color w:val="0000FF"/>
                <w:w w:val="86"/>
              </w:rPr>
              <w:t>900</w:t>
            </w:r>
          </w:p>
        </w:tc>
        <w:tc>
          <w:tcPr>
            <w:tcW w:w="660" w:type="dxa"/>
            <w:vAlign w:val="bottom"/>
            <w:tcBorders>
              <w:bottom w:val="single" w:sz="8" w:color="2C2C2C"/>
            </w:tcBorders>
          </w:tcPr>
          <w:p>
            <w:pPr>
              <w:jc w:val="right"/>
              <w:ind w:right="48"/>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2"/>
          </w:tcPr>
          <w:p>
            <w:pPr>
              <w:jc w:val="center"/>
              <w:ind w:left="4"/>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17.05</w:t>
            </w: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2"/>
              </w:rPr>
              <w:t>8,082</w:t>
            </w:r>
            <w:r>
              <w:rPr>
                <w:rFonts w:ascii="Arial" w:cs="Arial" w:eastAsia="Arial" w:hAnsi="Arial"/>
                <w:sz w:val="22"/>
                <w:szCs w:val="22"/>
                <w:color w:val="008000"/>
                <w:w w:val="82"/>
                <w:vertAlign w:val="superscript"/>
              </w:rPr>
              <w:t>(1)</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25"/>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2"/>
          </w:tcPr>
          <w:p>
            <w:pPr>
              <w:jc w:val="center"/>
              <w:ind w:left="565"/>
              <w:spacing w:after="0"/>
              <w:rPr>
                <w:sz w:val="20"/>
                <w:szCs w:val="20"/>
                <w:color w:val="auto"/>
              </w:rPr>
            </w:pPr>
            <w:r>
              <w:rPr>
                <w:rFonts w:ascii="Arial" w:cs="Arial" w:eastAsia="Arial" w:hAnsi="Arial"/>
                <w:sz w:val="18"/>
                <w:szCs w:val="18"/>
                <w:color w:val="0000FF"/>
                <w:w w:val="88"/>
              </w:rPr>
              <w:t>05/21/2008</w:t>
            </w:r>
          </w:p>
        </w:tc>
        <w:tc>
          <w:tcPr>
            <w:tcW w:w="1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114"/>
              <w:spacing w:after="0"/>
              <w:rPr>
                <w:sz w:val="20"/>
                <w:szCs w:val="20"/>
                <w:color w:val="auto"/>
              </w:rPr>
            </w:pPr>
            <w:r>
              <w:rPr>
                <w:rFonts w:ascii="Arial" w:cs="Arial" w:eastAsia="Arial" w:hAnsi="Arial"/>
                <w:sz w:val="14"/>
                <w:szCs w:val="14"/>
                <w:color w:val="0000FF"/>
                <w:w w:val="85"/>
              </w:rPr>
              <w:t>S</w:t>
            </w:r>
          </w:p>
        </w:tc>
        <w:tc>
          <w:tcPr>
            <w:tcW w:w="2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center"/>
              <w:ind w:left="62"/>
              <w:spacing w:after="0"/>
              <w:rPr>
                <w:sz w:val="20"/>
                <w:szCs w:val="20"/>
                <w:color w:val="auto"/>
              </w:rPr>
            </w:pPr>
            <w:r>
              <w:rPr>
                <w:rFonts w:ascii="Arial" w:cs="Arial" w:eastAsia="Arial" w:hAnsi="Arial"/>
                <w:sz w:val="18"/>
                <w:szCs w:val="18"/>
                <w:color w:val="0000FF"/>
                <w:w w:val="86"/>
              </w:rPr>
              <w:t>787</w:t>
            </w:r>
          </w:p>
        </w:tc>
        <w:tc>
          <w:tcPr>
            <w:tcW w:w="660" w:type="dxa"/>
            <w:vAlign w:val="bottom"/>
            <w:tcBorders>
              <w:bottom w:val="single" w:sz="8" w:color="2C2C2C"/>
            </w:tcBorders>
          </w:tcPr>
          <w:p>
            <w:pPr>
              <w:jc w:val="right"/>
              <w:ind w:right="48"/>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2"/>
          </w:tcPr>
          <w:p>
            <w:pPr>
              <w:jc w:val="center"/>
              <w:ind w:left="4"/>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17.06</w:t>
            </w: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2"/>
              </w:rPr>
              <w:t>7,295</w:t>
            </w:r>
            <w:r>
              <w:rPr>
                <w:rFonts w:ascii="Arial" w:cs="Arial" w:eastAsia="Arial" w:hAnsi="Arial"/>
                <w:sz w:val="22"/>
                <w:szCs w:val="22"/>
                <w:color w:val="008000"/>
                <w:w w:val="82"/>
                <w:vertAlign w:val="superscript"/>
              </w:rPr>
              <w:t>(1)</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25"/>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2"/>
          </w:tcPr>
          <w:p>
            <w:pPr>
              <w:jc w:val="center"/>
              <w:ind w:left="565"/>
              <w:spacing w:after="0"/>
              <w:rPr>
                <w:sz w:val="20"/>
                <w:szCs w:val="20"/>
                <w:color w:val="auto"/>
              </w:rPr>
            </w:pPr>
            <w:r>
              <w:rPr>
                <w:rFonts w:ascii="Arial" w:cs="Arial" w:eastAsia="Arial" w:hAnsi="Arial"/>
                <w:sz w:val="18"/>
                <w:szCs w:val="18"/>
                <w:color w:val="0000FF"/>
                <w:w w:val="88"/>
              </w:rPr>
              <w:t>05/21/2008</w:t>
            </w:r>
          </w:p>
        </w:tc>
        <w:tc>
          <w:tcPr>
            <w:tcW w:w="1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114"/>
              <w:spacing w:after="0"/>
              <w:rPr>
                <w:sz w:val="20"/>
                <w:szCs w:val="20"/>
                <w:color w:val="auto"/>
              </w:rPr>
            </w:pPr>
            <w:r>
              <w:rPr>
                <w:rFonts w:ascii="Arial" w:cs="Arial" w:eastAsia="Arial" w:hAnsi="Arial"/>
                <w:sz w:val="14"/>
                <w:szCs w:val="14"/>
                <w:color w:val="0000FF"/>
                <w:w w:val="85"/>
              </w:rPr>
              <w:t>S</w:t>
            </w:r>
          </w:p>
        </w:tc>
        <w:tc>
          <w:tcPr>
            <w:tcW w:w="2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center"/>
              <w:ind w:left="62"/>
              <w:spacing w:after="0"/>
              <w:rPr>
                <w:sz w:val="20"/>
                <w:szCs w:val="20"/>
                <w:color w:val="auto"/>
              </w:rPr>
            </w:pPr>
            <w:r>
              <w:rPr>
                <w:rFonts w:ascii="Arial" w:cs="Arial" w:eastAsia="Arial" w:hAnsi="Arial"/>
                <w:sz w:val="18"/>
                <w:szCs w:val="18"/>
                <w:color w:val="0000FF"/>
                <w:w w:val="86"/>
              </w:rPr>
              <w:t>113</w:t>
            </w:r>
          </w:p>
        </w:tc>
        <w:tc>
          <w:tcPr>
            <w:tcW w:w="660" w:type="dxa"/>
            <w:vAlign w:val="bottom"/>
            <w:tcBorders>
              <w:bottom w:val="single" w:sz="8" w:color="2C2C2C"/>
            </w:tcBorders>
          </w:tcPr>
          <w:p>
            <w:pPr>
              <w:jc w:val="right"/>
              <w:ind w:right="48"/>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2"/>
          </w:tcPr>
          <w:p>
            <w:pPr>
              <w:jc w:val="center"/>
              <w:ind w:left="4"/>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17.07</w:t>
            </w: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2"/>
              </w:rPr>
              <w:t>7,182</w:t>
            </w:r>
            <w:r>
              <w:rPr>
                <w:rFonts w:ascii="Arial" w:cs="Arial" w:eastAsia="Arial" w:hAnsi="Arial"/>
                <w:sz w:val="22"/>
                <w:szCs w:val="22"/>
                <w:color w:val="008000"/>
                <w:w w:val="82"/>
                <w:vertAlign w:val="superscript"/>
              </w:rPr>
              <w:t>(1)</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25"/>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2"/>
          </w:tcPr>
          <w:p>
            <w:pPr>
              <w:jc w:val="center"/>
              <w:ind w:left="565"/>
              <w:spacing w:after="0"/>
              <w:rPr>
                <w:sz w:val="20"/>
                <w:szCs w:val="20"/>
                <w:color w:val="auto"/>
              </w:rPr>
            </w:pPr>
            <w:r>
              <w:rPr>
                <w:rFonts w:ascii="Arial" w:cs="Arial" w:eastAsia="Arial" w:hAnsi="Arial"/>
                <w:sz w:val="18"/>
                <w:szCs w:val="18"/>
                <w:color w:val="0000FF"/>
                <w:w w:val="88"/>
              </w:rPr>
              <w:t>05/21/2008</w:t>
            </w:r>
          </w:p>
        </w:tc>
        <w:tc>
          <w:tcPr>
            <w:tcW w:w="1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114"/>
              <w:spacing w:after="0"/>
              <w:rPr>
                <w:sz w:val="20"/>
                <w:szCs w:val="20"/>
                <w:color w:val="auto"/>
              </w:rPr>
            </w:pPr>
            <w:r>
              <w:rPr>
                <w:rFonts w:ascii="Arial" w:cs="Arial" w:eastAsia="Arial" w:hAnsi="Arial"/>
                <w:sz w:val="14"/>
                <w:szCs w:val="14"/>
                <w:color w:val="0000FF"/>
                <w:w w:val="85"/>
              </w:rPr>
              <w:t>S</w:t>
            </w:r>
          </w:p>
        </w:tc>
        <w:tc>
          <w:tcPr>
            <w:tcW w:w="2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center"/>
              <w:ind w:left="62"/>
              <w:spacing w:after="0"/>
              <w:rPr>
                <w:sz w:val="20"/>
                <w:szCs w:val="20"/>
                <w:color w:val="auto"/>
              </w:rPr>
            </w:pPr>
            <w:r>
              <w:rPr>
                <w:rFonts w:ascii="Arial" w:cs="Arial" w:eastAsia="Arial" w:hAnsi="Arial"/>
                <w:sz w:val="18"/>
                <w:szCs w:val="18"/>
                <w:color w:val="0000FF"/>
                <w:w w:val="86"/>
              </w:rPr>
              <w:t>100</w:t>
            </w:r>
          </w:p>
        </w:tc>
        <w:tc>
          <w:tcPr>
            <w:tcW w:w="660" w:type="dxa"/>
            <w:vAlign w:val="bottom"/>
            <w:tcBorders>
              <w:bottom w:val="single" w:sz="8" w:color="2C2C2C"/>
            </w:tcBorders>
          </w:tcPr>
          <w:p>
            <w:pPr>
              <w:jc w:val="right"/>
              <w:ind w:right="48"/>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17.1</w:t>
            </w: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2"/>
              </w:rPr>
              <w:t>7,082</w:t>
            </w:r>
            <w:r>
              <w:rPr>
                <w:rFonts w:ascii="Arial" w:cs="Arial" w:eastAsia="Arial" w:hAnsi="Arial"/>
                <w:sz w:val="22"/>
                <w:szCs w:val="22"/>
                <w:color w:val="008000"/>
                <w:w w:val="82"/>
                <w:vertAlign w:val="superscript"/>
              </w:rPr>
              <w:t>(1)</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25"/>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2"/>
          </w:tcPr>
          <w:p>
            <w:pPr>
              <w:jc w:val="center"/>
              <w:ind w:left="565"/>
              <w:spacing w:after="0"/>
              <w:rPr>
                <w:sz w:val="20"/>
                <w:szCs w:val="20"/>
                <w:color w:val="auto"/>
              </w:rPr>
            </w:pPr>
            <w:r>
              <w:rPr>
                <w:rFonts w:ascii="Arial" w:cs="Arial" w:eastAsia="Arial" w:hAnsi="Arial"/>
                <w:sz w:val="18"/>
                <w:szCs w:val="18"/>
                <w:color w:val="0000FF"/>
                <w:w w:val="88"/>
              </w:rPr>
              <w:t>05/21/2008</w:t>
            </w:r>
          </w:p>
        </w:tc>
        <w:tc>
          <w:tcPr>
            <w:tcW w:w="1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114"/>
              <w:spacing w:after="0"/>
              <w:rPr>
                <w:sz w:val="20"/>
                <w:szCs w:val="20"/>
                <w:color w:val="auto"/>
              </w:rPr>
            </w:pPr>
            <w:r>
              <w:rPr>
                <w:rFonts w:ascii="Arial" w:cs="Arial" w:eastAsia="Arial" w:hAnsi="Arial"/>
                <w:sz w:val="14"/>
                <w:szCs w:val="14"/>
                <w:color w:val="0000FF"/>
                <w:w w:val="85"/>
              </w:rPr>
              <w:t>S</w:t>
            </w:r>
          </w:p>
        </w:tc>
        <w:tc>
          <w:tcPr>
            <w:tcW w:w="2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center"/>
              <w:ind w:left="62"/>
              <w:spacing w:after="0"/>
              <w:rPr>
                <w:sz w:val="20"/>
                <w:szCs w:val="20"/>
                <w:color w:val="auto"/>
              </w:rPr>
            </w:pPr>
            <w:r>
              <w:rPr>
                <w:rFonts w:ascii="Arial" w:cs="Arial" w:eastAsia="Arial" w:hAnsi="Arial"/>
                <w:sz w:val="18"/>
                <w:szCs w:val="18"/>
                <w:color w:val="0000FF"/>
                <w:w w:val="86"/>
              </w:rPr>
              <w:t>100</w:t>
            </w:r>
          </w:p>
        </w:tc>
        <w:tc>
          <w:tcPr>
            <w:tcW w:w="660" w:type="dxa"/>
            <w:vAlign w:val="bottom"/>
            <w:tcBorders>
              <w:bottom w:val="single" w:sz="8" w:color="2C2C2C"/>
            </w:tcBorders>
          </w:tcPr>
          <w:p>
            <w:pPr>
              <w:jc w:val="right"/>
              <w:ind w:right="48"/>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2"/>
          </w:tcPr>
          <w:p>
            <w:pPr>
              <w:jc w:val="center"/>
              <w:ind w:left="4"/>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17.13</w:t>
            </w: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2"/>
              </w:rPr>
              <w:t>6,982</w:t>
            </w:r>
            <w:r>
              <w:rPr>
                <w:rFonts w:ascii="Arial" w:cs="Arial" w:eastAsia="Arial" w:hAnsi="Arial"/>
                <w:sz w:val="22"/>
                <w:szCs w:val="22"/>
                <w:color w:val="008000"/>
                <w:w w:val="82"/>
                <w:vertAlign w:val="superscript"/>
              </w:rPr>
              <w:t>(1)</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25"/>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500" w:type="dxa"/>
            <w:vAlign w:val="bottom"/>
            <w:tcBorders>
              <w:top w:val="single" w:sz="8" w:color="2C2C2C"/>
            </w:tcBorders>
            <w:gridSpan w:val="13"/>
          </w:tcPr>
          <w:p>
            <w:pPr>
              <w:ind w:left="104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760" w:type="dxa"/>
            <w:vAlign w:val="bottom"/>
            <w:gridSpan w:val="11"/>
          </w:tcPr>
          <w:p>
            <w:pPr>
              <w:ind w:left="64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jc w:val="center"/>
              <w:ind w:right="325"/>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0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6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Derivative Security</w:t>
            </w:r>
          </w:p>
        </w:tc>
        <w:tc>
          <w:tcPr>
            <w:tcW w:w="60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Employee</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0" w:type="dxa"/>
            <w:vAlign w:val="bottom"/>
            <w:gridSpan w:val="2"/>
            <w:vMerge w:val="restart"/>
          </w:tcPr>
          <w:p>
            <w:pPr>
              <w:jc w:val="center"/>
              <w:spacing w:after="0"/>
              <w:rPr>
                <w:sz w:val="20"/>
                <w:szCs w:val="20"/>
                <w:color w:val="auto"/>
              </w:rPr>
            </w:pPr>
            <w:r>
              <w:rPr>
                <w:rFonts w:ascii="Arial" w:cs="Arial" w:eastAsia="Arial" w:hAnsi="Arial"/>
                <w:sz w:val="11"/>
                <w:szCs w:val="11"/>
                <w:color w:val="008000"/>
              </w:rPr>
              <w:t>(2)</w:t>
            </w: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60" w:type="dxa"/>
            <w:vAlign w:val="bottom"/>
            <w:vMerge w:val="restart"/>
          </w:tcPr>
          <w:p>
            <w:pPr>
              <w:jc w:val="right"/>
              <w:ind w:right="48"/>
              <w:spacing w:after="0"/>
              <w:rPr>
                <w:sz w:val="20"/>
                <w:szCs w:val="20"/>
                <w:color w:val="auto"/>
              </w:rPr>
            </w:pPr>
            <w:r>
              <w:rPr>
                <w:rFonts w:ascii="Arial" w:cs="Arial" w:eastAsia="Arial" w:hAnsi="Arial"/>
                <w:sz w:val="14"/>
                <w:szCs w:val="14"/>
                <w:color w:val="0000FF"/>
                <w:w w:val="91"/>
              </w:rPr>
              <w:t>Common</w:t>
            </w:r>
          </w:p>
        </w:tc>
        <w:tc>
          <w:tcPr>
            <w:tcW w:w="560" w:type="dxa"/>
            <w:vAlign w:val="bottom"/>
            <w:vMerge w:val="restart"/>
          </w:tcPr>
          <w:p>
            <w:pPr>
              <w:ind w:left="60"/>
              <w:spacing w:after="0"/>
              <w:rPr>
                <w:sz w:val="20"/>
                <w:szCs w:val="20"/>
                <w:color w:val="auto"/>
              </w:rPr>
            </w:pPr>
            <w:r>
              <w:rPr>
                <w:rFonts w:ascii="Arial" w:cs="Arial" w:eastAsia="Arial" w:hAnsi="Arial"/>
                <w:sz w:val="18"/>
                <w:szCs w:val="18"/>
                <w:color w:val="0000FF"/>
              </w:rPr>
              <w:t>6,000</w:t>
            </w: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4"/>
                <w:szCs w:val="14"/>
                <w:color w:val="0000FF"/>
              </w:rPr>
              <w:t>Option</w:t>
            </w:r>
          </w:p>
        </w:tc>
        <w:tc>
          <w:tcPr>
            <w:tcW w:w="820" w:type="dxa"/>
            <w:vAlign w:val="bottom"/>
          </w:tcPr>
          <w:p>
            <w:pPr>
              <w:ind w:left="240"/>
              <w:spacing w:after="0" w:line="133"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10.82</w:t>
            </w:r>
          </w:p>
        </w:tc>
        <w:tc>
          <w:tcPr>
            <w:tcW w:w="1140" w:type="dxa"/>
            <w:vAlign w:val="bottom"/>
          </w:tcPr>
          <w:p>
            <w:pPr>
              <w:ind w:left="260"/>
              <w:spacing w:after="0" w:line="133" w:lineRule="exact"/>
              <w:rPr>
                <w:sz w:val="20"/>
                <w:szCs w:val="20"/>
                <w:color w:val="auto"/>
              </w:rPr>
            </w:pPr>
            <w:r>
              <w:rPr>
                <w:rFonts w:ascii="Arial" w:cs="Arial" w:eastAsia="Arial" w:hAnsi="Arial"/>
                <w:sz w:val="14"/>
                <w:szCs w:val="14"/>
                <w:color w:val="0000FF"/>
              </w:rPr>
              <w:t>05/21/2008</w:t>
            </w:r>
          </w:p>
        </w:tc>
        <w:tc>
          <w:tcPr>
            <w:tcW w:w="1140" w:type="dxa"/>
            <w:vAlign w:val="bottom"/>
          </w:tcPr>
          <w:p>
            <w:pPr>
              <w:spacing w:after="0"/>
              <w:rPr>
                <w:sz w:val="11"/>
                <w:szCs w:val="11"/>
                <w:color w:val="auto"/>
              </w:rPr>
            </w:pPr>
          </w:p>
        </w:tc>
        <w:tc>
          <w:tcPr>
            <w:tcW w:w="660" w:type="dxa"/>
            <w:vAlign w:val="bottom"/>
          </w:tcPr>
          <w:p>
            <w:pPr>
              <w:ind w:left="160"/>
              <w:spacing w:after="0" w:line="133" w:lineRule="exact"/>
              <w:rPr>
                <w:sz w:val="20"/>
                <w:szCs w:val="20"/>
                <w:color w:val="auto"/>
              </w:rPr>
            </w:pPr>
            <w:r>
              <w:rPr>
                <w:rFonts w:ascii="Arial" w:cs="Arial" w:eastAsia="Arial" w:hAnsi="Arial"/>
                <w:sz w:val="14"/>
                <w:szCs w:val="14"/>
                <w:color w:val="0000FF"/>
              </w:rPr>
              <w:t>M</w:t>
            </w:r>
          </w:p>
        </w:tc>
        <w:tc>
          <w:tcPr>
            <w:tcW w:w="160" w:type="dxa"/>
            <w:vAlign w:val="bottom"/>
          </w:tcPr>
          <w:p>
            <w:pPr>
              <w:spacing w:after="0"/>
              <w:rPr>
                <w:sz w:val="11"/>
                <w:szCs w:val="11"/>
                <w:color w:val="auto"/>
              </w:rPr>
            </w:pPr>
          </w:p>
        </w:tc>
        <w:tc>
          <w:tcPr>
            <w:tcW w:w="820" w:type="dxa"/>
            <w:vAlign w:val="bottom"/>
          </w:tcPr>
          <w:p>
            <w:pPr>
              <w:ind w:left="400"/>
              <w:spacing w:after="0" w:line="133" w:lineRule="exact"/>
              <w:rPr>
                <w:sz w:val="20"/>
                <w:szCs w:val="20"/>
                <w:color w:val="auto"/>
              </w:rPr>
            </w:pPr>
            <w:r>
              <w:rPr>
                <w:rFonts w:ascii="Arial" w:cs="Arial" w:eastAsia="Arial" w:hAnsi="Arial"/>
                <w:sz w:val="14"/>
                <w:szCs w:val="14"/>
                <w:color w:val="0000FF"/>
              </w:rPr>
              <w:t>6,000</w:t>
            </w:r>
          </w:p>
        </w:tc>
        <w:tc>
          <w:tcPr>
            <w:tcW w:w="800" w:type="dxa"/>
            <w:vAlign w:val="bottom"/>
            <w:gridSpan w:val="2"/>
            <w:vMerge w:val="continue"/>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4"/>
                <w:szCs w:val="14"/>
                <w:color w:val="0000FF"/>
                <w:w w:val="99"/>
              </w:rPr>
              <w:t>12/15/2008</w:t>
            </w:r>
          </w:p>
        </w:tc>
        <w:tc>
          <w:tcPr>
            <w:tcW w:w="66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620" w:type="dxa"/>
            <w:vAlign w:val="bottom"/>
          </w:tcPr>
          <w:p>
            <w:pPr>
              <w:ind w:left="400"/>
              <w:spacing w:after="0" w:line="133" w:lineRule="exact"/>
              <w:rPr>
                <w:sz w:val="20"/>
                <w:szCs w:val="20"/>
                <w:color w:val="auto"/>
              </w:rPr>
            </w:pPr>
            <w:r>
              <w:rPr>
                <w:rFonts w:ascii="Arial" w:cs="Arial" w:eastAsia="Arial" w:hAnsi="Arial"/>
                <w:sz w:val="14"/>
                <w:szCs w:val="14"/>
                <w:color w:val="0000FF"/>
              </w:rPr>
              <w:t>0</w:t>
            </w:r>
          </w:p>
        </w:tc>
        <w:tc>
          <w:tcPr>
            <w:tcW w:w="300" w:type="dxa"/>
            <w:vAlign w:val="bottom"/>
          </w:tcPr>
          <w:p>
            <w:pPr>
              <w:spacing w:after="0"/>
              <w:rPr>
                <w:sz w:val="11"/>
                <w:szCs w:val="11"/>
                <w:color w:val="auto"/>
              </w:rPr>
            </w:pPr>
          </w:p>
        </w:tc>
        <w:tc>
          <w:tcPr>
            <w:tcW w:w="700" w:type="dxa"/>
            <w:vAlign w:val="bottom"/>
          </w:tcPr>
          <w:p>
            <w:pPr>
              <w:ind w:left="340"/>
              <w:spacing w:after="0" w:line="133" w:lineRule="exact"/>
              <w:rPr>
                <w:sz w:val="20"/>
                <w:szCs w:val="20"/>
                <w:color w:val="auto"/>
              </w:rPr>
            </w:pPr>
            <w:r>
              <w:rPr>
                <w:rFonts w:ascii="Arial" w:cs="Arial" w:eastAsia="Arial" w:hAnsi="Arial"/>
                <w:sz w:val="14"/>
                <w:szCs w:val="14"/>
                <w:color w:val="0000FF"/>
              </w:rPr>
              <w:t>D</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(Right to</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60" w:type="dxa"/>
            <w:vAlign w:val="bottom"/>
          </w:tcPr>
          <w:p>
            <w:pPr>
              <w:jc w:val="right"/>
              <w:ind w:right="148"/>
              <w:spacing w:after="0" w:line="149" w:lineRule="exact"/>
              <w:rPr>
                <w:sz w:val="20"/>
                <w:szCs w:val="20"/>
                <w:color w:val="auto"/>
              </w:rPr>
            </w:pPr>
            <w:r>
              <w:rPr>
                <w:rFonts w:ascii="Arial" w:cs="Arial" w:eastAsia="Arial" w:hAnsi="Arial"/>
                <w:sz w:val="14"/>
                <w:szCs w:val="14"/>
                <w:color w:val="0000FF"/>
              </w:rPr>
              <w:t>Stock</w:t>
            </w: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8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6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4"/>
          <w:szCs w:val="14"/>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6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Number of shares includes 6,979 Restricted Stock Units (excluding the impact of shares that will be withheld to cover tax obligations) previously reported that in the future will be converted on a one-for-one basis into shares of Cohu, Inc. Common Stock, immediately upon vesting which vesting is scheduled to occur in three or four equal annual installments (assuming continued employment).</w:t>
      </w: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option vested in four equal annual installments beginning 12/15/1999</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98" w:lineRule="exact"/>
        <w:rPr>
          <w:sz w:val="24"/>
          <w:szCs w:val="24"/>
          <w:color w:val="auto"/>
        </w:rPr>
      </w:pPr>
    </w:p>
    <w:tbl>
      <w:tblPr>
        <w:tblLayout w:type="fixed"/>
        <w:tblInd w:w="6860" w:type="dxa"/>
        <w:tblCellMar>
          <w:top w:w="0" w:type="dxa"/>
          <w:left w:w="0" w:type="dxa"/>
          <w:bottom w:w="0" w:type="dxa"/>
          <w:right w:w="0" w:type="dxa"/>
        </w:tblCellMar>
      </w:tblPr>
      <w:tr>
        <w:trPr>
          <w:trHeight w:val="227"/>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9"/>
              </w:rPr>
              <w:t>Jeffrey D. Jones (Attorney-in-</w:t>
            </w: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05/22/2008</w:t>
            </w:r>
          </w:p>
        </w:tc>
        <w:tc>
          <w:tcPr>
            <w:tcW w:w="0" w:type="dxa"/>
            <w:vAlign w:val="bottom"/>
          </w:tcPr>
          <w:p>
            <w:pPr>
              <w:spacing w:after="0"/>
              <w:rPr>
                <w:sz w:val="1"/>
                <w:szCs w:val="1"/>
                <w:color w:val="auto"/>
              </w:rPr>
            </w:pPr>
          </w:p>
        </w:tc>
      </w:tr>
      <w:tr>
        <w:trPr>
          <w:trHeight w:val="88"/>
        </w:trPr>
        <w:tc>
          <w:tcPr>
            <w:tcW w:w="2120" w:type="dxa"/>
            <w:vAlign w:val="bottom"/>
            <w:gridSpan w:val="2"/>
            <w:vMerge w:val="restart"/>
          </w:tcPr>
          <w:p>
            <w:pPr>
              <w:spacing w:after="0" w:line="196" w:lineRule="exact"/>
              <w:rPr>
                <w:sz w:val="20"/>
                <w:szCs w:val="20"/>
                <w:color w:val="auto"/>
              </w:rPr>
            </w:pPr>
            <w:r>
              <w:rPr>
                <w:rFonts w:ascii="Arial" w:cs="Arial" w:eastAsia="Arial" w:hAnsi="Arial"/>
                <w:sz w:val="18"/>
                <w:szCs w:val="18"/>
                <w:color w:val="0000FF"/>
              </w:rPr>
              <w:t>Fact)</w:t>
            </w: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60" w:type="dxa"/>
            <w:vAlign w:val="bottom"/>
            <w:shd w:val="clear" w:color="auto" w:fill="000000"/>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20724" TargetMode="External"/><Relationship Id="rId13" Type="http://schemas.openxmlformats.org/officeDocument/2006/relationships/hyperlink" Target="http://www.sec.gov/cgi-bin/browse-edgar?action=getcompany&amp;CIK=00000215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2019-12-24T02:21:21Z</dcterms:created>
  <dcterms:modified xsi:type="dcterms:W3CDTF">2019-12-24T02:21:21Z</dcterms:modified>
</cp:coreProperties>
</file>