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ectPr>
          <w:pgSz w:w="11900" w:h="16838" w:orient="portrait"/>
          <w:cols w:equalWidth="0" w:num="1">
            <w:col w:w="11520"/>
          </w:cols>
          <w:pgMar w:left="240" w:top="225" w:right="139" w:bottom="1440" w:gutter="0" w:footer="0" w:header="0"/>
        </w:sectPr>
      </w:pPr>
    </w:p>
    <w:p>
      <w:pPr>
        <w:spacing w:after="0" w:line="6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52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6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34"/>
        </w:trPr>
        <w:tc>
          <w:tcPr>
            <w:tcW w:w="6520" w:type="dxa"/>
            <w:vAlign w:val="bottom"/>
          </w:tcPr>
          <w:p>
            <w:pPr>
              <w:jc w:val="center"/>
              <w:ind w:right="197"/>
              <w:spacing w:after="0" w:line="13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5"/>
        </w:trPr>
        <w:tc>
          <w:tcPr>
            <w:tcW w:w="6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520" w:type="dxa"/>
            <w:vAlign w:val="bottom"/>
            <w:vMerge w:val="restart"/>
          </w:tcPr>
          <w:p>
            <w:pPr>
              <w:jc w:val="center"/>
              <w:ind w:right="19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2"/>
                <w:szCs w:val="12"/>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3"/>
        </w:trPr>
        <w:tc>
          <w:tcPr>
            <w:tcW w:w="6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6520" w:type="dxa"/>
            <w:vAlign w:val="bottom"/>
            <w:vMerge w:val="restart"/>
          </w:tcPr>
          <w:p>
            <w:pPr>
              <w:jc w:val="center"/>
              <w:ind w:right="197"/>
              <w:spacing w:after="0"/>
              <w:rPr>
                <w:sz w:val="20"/>
                <w:szCs w:val="20"/>
                <w:color w:val="auto"/>
              </w:rPr>
            </w:pPr>
            <w:r>
              <w:rPr>
                <w:rFonts w:ascii="Arial" w:cs="Arial" w:eastAsia="Arial" w:hAnsi="Arial"/>
                <w:sz w:val="13"/>
                <w:szCs w:val="13"/>
                <w:color w:val="auto"/>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6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-934720</wp:posOffset>
            </wp:positionV>
            <wp:extent cx="7323455" cy="5554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3455" cy="55549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40" w:space="340"/>
            <w:col w:w="8840"/>
          </w:cols>
          <w:pgMar w:left="240" w:top="225" w:right="139" w:bottom="1440" w:gutter="0" w:footer="0" w:header="0"/>
          <w:type w:val="continuous"/>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0">
        <w:r>
          <w:rPr>
            <w:rFonts w:ascii="Arial" w:cs="Arial" w:eastAsia="Arial" w:hAnsi="Arial"/>
            <w:sz w:val="21"/>
            <w:szCs w:val="21"/>
            <w:u w:val="single" w:color="auto"/>
            <w:color w:val="0000EE"/>
          </w:rPr>
          <w:t>CIARDELLA ROBERT L</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07/22/2003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75"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60" w:type="dxa"/>
            <w:vAlign w:val="bottom"/>
            <w:gridSpan w:val="7"/>
          </w:tcPr>
          <w:p>
            <w:pPr>
              <w:jc w:val="center"/>
              <w:ind w:righ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8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jc w:val="center"/>
              <w:ind w:right="13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07/22/2004</w:t>
            </w:r>
            <w:r>
              <w:rPr>
                <w:rFonts w:ascii="Arial" w:cs="Arial" w:eastAsia="Arial" w:hAnsi="Arial"/>
                <w:sz w:val="22"/>
                <w:szCs w:val="22"/>
                <w:color w:val="008000"/>
                <w:vertAlign w:val="superscript"/>
              </w:rPr>
              <w:t>(1)</w:t>
            </w:r>
          </w:p>
        </w:tc>
        <w:tc>
          <w:tcPr>
            <w:tcW w:w="6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spacing w:after="0"/>
              <w:rPr>
                <w:sz w:val="20"/>
                <w:szCs w:val="20"/>
                <w:color w:val="auto"/>
              </w:rPr>
            </w:pPr>
            <w:r>
              <w:rPr>
                <w:rFonts w:ascii="Arial" w:cs="Arial" w:eastAsia="Arial" w:hAnsi="Arial"/>
                <w:sz w:val="17"/>
                <w:szCs w:val="17"/>
                <w:color w:val="0000FF"/>
                <w:w w:val="88"/>
              </w:rPr>
              <w:t>20,000</w:t>
            </w:r>
          </w:p>
        </w:tc>
        <w:tc>
          <w:tcPr>
            <w:tcW w:w="860" w:type="dxa"/>
            <w:vAlign w:val="bottom"/>
            <w:gridSpan w:val="3"/>
            <w:vMerge w:val="restart"/>
          </w:tcPr>
          <w:p>
            <w:pPr>
              <w:ind w:left="340"/>
              <w:spacing w:after="0"/>
              <w:rPr>
                <w:sz w:val="20"/>
                <w:szCs w:val="20"/>
                <w:color w:val="auto"/>
              </w:rPr>
            </w:pPr>
            <w:r>
              <w:rPr>
                <w:rFonts w:ascii="Arial" w:cs="Arial" w:eastAsia="Arial" w:hAnsi="Arial"/>
                <w:sz w:val="21"/>
                <w:szCs w:val="21"/>
                <w:color w:val="auto"/>
              </w:rPr>
              <w:t>$</w:t>
            </w:r>
            <w:r>
              <w:rPr>
                <w:rFonts w:ascii="Arial" w:cs="Arial" w:eastAsia="Arial" w:hAnsi="Arial"/>
                <w:sz w:val="13"/>
                <w:szCs w:val="13"/>
                <w:color w:val="0000FF"/>
              </w:rPr>
              <w:t>0</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3"/>
                <w:szCs w:val="13"/>
                <w:color w:val="0000FF"/>
              </w:rPr>
              <w:t>17.8</w:t>
            </w:r>
          </w:p>
        </w:tc>
        <w:tc>
          <w:tcPr>
            <w:tcW w:w="1080" w:type="dxa"/>
            <w:vAlign w:val="bottom"/>
            <w:vMerge w:val="restart"/>
          </w:tcPr>
          <w:p>
            <w:pPr>
              <w:jc w:val="right"/>
              <w:ind w:right="153"/>
              <w:spacing w:after="0"/>
              <w:rPr>
                <w:sz w:val="20"/>
                <w:szCs w:val="20"/>
                <w:color w:val="auto"/>
              </w:rPr>
            </w:pPr>
            <w:r>
              <w:rPr>
                <w:rFonts w:ascii="Arial" w:cs="Arial" w:eastAsia="Arial" w:hAnsi="Arial"/>
                <w:sz w:val="13"/>
                <w:szCs w:val="13"/>
                <w:color w:val="0000FF"/>
              </w:rPr>
              <w:t>07/22/2003</w:t>
            </w: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40"/>
              <w:spacing w:after="0"/>
              <w:rPr>
                <w:sz w:val="20"/>
                <w:szCs w:val="20"/>
                <w:color w:val="auto"/>
              </w:rPr>
            </w:pPr>
            <w:r>
              <w:rPr>
                <w:rFonts w:ascii="Arial" w:cs="Arial" w:eastAsia="Arial" w:hAnsi="Arial"/>
                <w:sz w:val="13"/>
                <w:szCs w:val="13"/>
                <w:color w:val="0000FF"/>
              </w:rPr>
              <w:t>20,000</w:t>
            </w:r>
          </w:p>
        </w:tc>
        <w:tc>
          <w:tcPr>
            <w:tcW w:w="3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0000FF"/>
              </w:rPr>
              <w:t>07/22/2013</w:t>
            </w:r>
          </w:p>
        </w:tc>
        <w:tc>
          <w:tcPr>
            <w:tcW w:w="7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20,000</w:t>
            </w:r>
          </w:p>
        </w:tc>
        <w:tc>
          <w:tcPr>
            <w:tcW w:w="300" w:type="dxa"/>
            <w:vAlign w:val="bottom"/>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ind w:left="160"/>
              <w:spacing w:after="0" w:line="92" w:lineRule="exact"/>
              <w:rPr>
                <w:sz w:val="20"/>
                <w:szCs w:val="20"/>
                <w:color w:val="auto"/>
              </w:rPr>
            </w:pPr>
            <w:r>
              <w:rPr>
                <w:rFonts w:ascii="Arial" w:cs="Arial" w:eastAsia="Arial" w:hAnsi="Arial"/>
                <w:sz w:val="10"/>
                <w:szCs w:val="10"/>
                <w:color w:val="0000FF"/>
              </w:rPr>
              <w:t>Stock</w:t>
            </w:r>
          </w:p>
        </w:tc>
        <w:tc>
          <w:tcPr>
            <w:tcW w:w="480" w:type="dxa"/>
            <w:vAlign w:val="bottom"/>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1440" w:gutter="0" w:footer="0" w:header="0"/>
          <w:type w:val="continuous"/>
        </w:sectPr>
      </w:pP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The option vests in four equal annual installments beginning on July 22, 2004</w:t>
      </w:r>
    </w:p>
    <w:p>
      <w:pPr>
        <w:spacing w:after="0" w:line="8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John H. Allen,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-635</wp:posOffset>
            </wp:positionV>
            <wp:extent cx="1339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-12700</wp:posOffset>
            </wp:positionV>
            <wp:extent cx="391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5"/>
          <w:szCs w:val="15"/>
          <w:color w:val="0000FF"/>
        </w:rPr>
        <w:t>07/23/2003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501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1" w:lineRule="exact"/>
        <w:rPr>
          <w:sz w:val="24"/>
          <w:szCs w:val="24"/>
          <w:color w:val="auto"/>
        </w:rPr>
      </w:pPr>
    </w:p>
    <w:p>
      <w:pPr>
        <w:sectPr>
          <w:pgSz w:w="11900" w:h="16838" w:orient="portrait"/>
          <w:cols w:equalWidth="0" w:num="2">
            <w:col w:w="8960" w:space="2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w:t>
      </w:r>
    </w:p>
    <w:p>
      <w:pPr>
        <w:spacing w:after="0" w:line="7" w:lineRule="exact"/>
        <w:rPr>
          <w:sz w:val="20"/>
          <w:szCs w:val="20"/>
          <w:color w:val="auto"/>
        </w:rPr>
      </w:pPr>
    </w:p>
    <w:p>
      <w:pPr>
        <w:ind w:right="2419"/>
        <w:spacing w:after="0" w:line="253" w:lineRule="auto"/>
        <w:rPr>
          <w:sz w:val="20"/>
          <w:szCs w:val="20"/>
          <w:color w:val="auto"/>
        </w:rPr>
      </w:pPr>
      <w:r>
        <w:rPr>
          <w:rFonts w:ascii="Courier New" w:cs="Courier New" w:eastAsia="Courier New" w:hAnsi="Courier New"/>
          <w:sz w:val="17"/>
          <w:szCs w:val="17"/>
          <w:color w:val="auto"/>
        </w:rPr>
        <w:t>hereby constitutes and appoints each of JAMES A. DONAHUE and JOHN H. ALLEN, signing singly, the undersigned's true and lawful attorney-in-fact to:</w:t>
      </w:r>
    </w:p>
    <w:p>
      <w:pPr>
        <w:spacing w:after="0" w:line="394" w:lineRule="exact"/>
        <w:rPr>
          <w:sz w:val="20"/>
          <w:szCs w:val="20"/>
          <w:color w:val="auto"/>
        </w:rPr>
      </w:pPr>
    </w:p>
    <w:p>
      <w:pPr>
        <w:ind w:right="2819" w:firstLine="7"/>
        <w:spacing w:after="0" w:line="25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Cohu, Inc. (the "Company"), Forms 3, 4, and 5 in accordance with Section 16(a) of the Securities Exchange Act of 1934 and the rules thereunder;</w:t>
      </w:r>
    </w:p>
    <w:p>
      <w:pPr>
        <w:spacing w:after="0" w:line="197"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w:t>
      </w:r>
    </w:p>
    <w:p>
      <w:pPr>
        <w:spacing w:after="0" w:line="7" w:lineRule="exact"/>
        <w:rPr>
          <w:sz w:val="20"/>
          <w:szCs w:val="20"/>
          <w:color w:val="auto"/>
        </w:rPr>
      </w:pPr>
    </w:p>
    <w:p>
      <w:pPr>
        <w:ind w:right="2419"/>
        <w:spacing w:after="0" w:line="249" w:lineRule="auto"/>
        <w:rPr>
          <w:sz w:val="20"/>
          <w:szCs w:val="20"/>
          <w:color w:val="auto"/>
        </w:rPr>
      </w:pPr>
      <w:r>
        <w:rPr>
          <w:rFonts w:ascii="Courier New" w:cs="Courier New" w:eastAsia="Courier New" w:hAnsi="Courier New"/>
          <w:sz w:val="17"/>
          <w:szCs w:val="17"/>
          <w:color w:val="auto"/>
        </w:rPr>
        <w:t>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1" w:lineRule="exact"/>
        <w:rPr>
          <w:sz w:val="20"/>
          <w:szCs w:val="20"/>
          <w:color w:val="auto"/>
        </w:rPr>
      </w:pP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w:t>
      </w:r>
    </w:p>
    <w:p>
      <w:pPr>
        <w:spacing w:after="0" w:line="7" w:lineRule="exact"/>
        <w:rPr>
          <w:sz w:val="20"/>
          <w:szCs w:val="20"/>
          <w:color w:val="auto"/>
        </w:rPr>
      </w:pPr>
    </w:p>
    <w:p>
      <w:pPr>
        <w:ind w:right="2419"/>
        <w:spacing w:after="0" w:line="249" w:lineRule="auto"/>
        <w:rPr>
          <w:sz w:val="20"/>
          <w:szCs w:val="20"/>
          <w:color w:val="auto"/>
        </w:rPr>
      </w:pPr>
      <w:r>
        <w:rPr>
          <w:rFonts w:ascii="Courier New" w:cs="Courier New" w:eastAsia="Courier New" w:hAnsi="Courier New"/>
          <w:sz w:val="17"/>
          <w:szCs w:val="17"/>
          <w:color w:val="auto"/>
        </w:rPr>
        <w:t>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discrection.</w:t>
      </w:r>
    </w:p>
    <w:p>
      <w:pPr>
        <w:spacing w:after="0" w:line="202"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hereby grants to each</w:t>
      </w:r>
    </w:p>
    <w:p>
      <w:pPr>
        <w:spacing w:after="0" w:line="7" w:lineRule="exact"/>
        <w:rPr>
          <w:sz w:val="20"/>
          <w:szCs w:val="20"/>
          <w:color w:val="auto"/>
        </w:rPr>
      </w:pPr>
    </w:p>
    <w:p>
      <w:pPr>
        <w:ind w:right="2419"/>
        <w:spacing w:after="0" w:line="249" w:lineRule="auto"/>
        <w:rPr>
          <w:sz w:val="20"/>
          <w:szCs w:val="20"/>
          <w:color w:val="auto"/>
        </w:rPr>
      </w:pPr>
      <w:r>
        <w:rPr>
          <w:rFonts w:ascii="Courier New" w:cs="Courier New" w:eastAsia="Courier New" w:hAnsi="Courier New"/>
          <w:sz w:val="17"/>
          <w:szCs w:val="17"/>
          <w:color w:val="auto"/>
        </w:rPr>
        <w:t>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Exhange Act of 1934.</w:t>
      </w:r>
    </w:p>
    <w:p>
      <w:pPr>
        <w:spacing w:after="0" w:line="203"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This</w:t>
      </w:r>
    </w:p>
    <w:p>
      <w:pPr>
        <w:spacing w:after="0" w:line="7" w:lineRule="exact"/>
        <w:rPr>
          <w:sz w:val="20"/>
          <w:szCs w:val="20"/>
          <w:color w:val="auto"/>
        </w:rPr>
      </w:pPr>
    </w:p>
    <w:p>
      <w:pPr>
        <w:ind w:right="2519"/>
        <w:spacing w:after="0" w:line="249" w:lineRule="auto"/>
        <w:rPr>
          <w:sz w:val="20"/>
          <w:szCs w:val="20"/>
          <w:color w:val="auto"/>
        </w:rPr>
      </w:pPr>
      <w:r>
        <w:rPr>
          <w:rFonts w:ascii="Courier New" w:cs="Courier New" w:eastAsia="Courier New" w:hAnsi="Courier New"/>
          <w:sz w:val="17"/>
          <w:szCs w:val="17"/>
          <w:color w:val="auto"/>
        </w:rPr>
        <w:t>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IN WITNESS WHEREOF, the</w:t>
      </w:r>
    </w:p>
    <w:p>
      <w:pPr>
        <w:spacing w:after="0" w:line="7" w:lineRule="exact"/>
        <w:rPr>
          <w:sz w:val="20"/>
          <w:szCs w:val="20"/>
          <w:color w:val="auto"/>
        </w:rPr>
      </w:pPr>
    </w:p>
    <w:p>
      <w:pPr>
        <w:ind w:right="2819"/>
        <w:spacing w:after="0" w:line="251" w:lineRule="auto"/>
        <w:rPr>
          <w:sz w:val="20"/>
          <w:szCs w:val="20"/>
          <w:color w:val="auto"/>
        </w:rPr>
      </w:pPr>
      <w:r>
        <w:rPr>
          <w:rFonts w:ascii="Courier New" w:cs="Courier New" w:eastAsia="Courier New" w:hAnsi="Courier New"/>
          <w:sz w:val="17"/>
          <w:szCs w:val="17"/>
          <w:color w:val="auto"/>
        </w:rPr>
        <w:t>undersigned has caused this Power of Attorney to be executed as of this 13th day of June,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 ROBERT 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CIARDELLA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ROBERT L. CIARDELLA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49026" TargetMode="External"/><Relationship Id="rId11"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2019-12-24T00:33:24Z</dcterms:created>
  <dcterms:modified xsi:type="dcterms:W3CDTF">2019-12-24T00:33:24Z</dcterms:modified>
</cp:coreProperties>
</file>