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Cohu,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192576106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219075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Schedule is filed pursuant to Rule 13d-1(b)</w:t>
      </w:r>
    </w:p>
    <w:p>
      <w:pPr>
        <w:spacing w:after="0" w:line="22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192576106</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S.S. or I.R.S. Identification No. of Above Person</w:t>
            </w:r>
          </w:p>
        </w:tc>
        <w:tc>
          <w:tcPr>
            <w:tcW w:w="0" w:type="dxa"/>
            <w:vAlign w:val="bottom"/>
          </w:tcPr>
          <w:p>
            <w:pPr>
              <w:spacing w:after="0"/>
              <w:rPr>
                <w:sz w:val="1"/>
                <w:szCs w:val="1"/>
                <w:color w:val="auto"/>
              </w:rPr>
            </w:pPr>
          </w:p>
        </w:tc>
      </w:tr>
      <w:tr>
        <w:trPr>
          <w:trHeight w:val="445"/>
        </w:trPr>
        <w:tc>
          <w:tcPr>
            <w:tcW w:w="42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Ameriprise Financial, Inc.</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7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IRS No. 13-3180631</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9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4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w w:val="93"/>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20"/>
                <w:szCs w:val="20"/>
                <w:color w:val="auto"/>
              </w:rPr>
            </w:pPr>
          </w:p>
        </w:tc>
        <w:tc>
          <w:tcPr>
            <w:tcW w:w="158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9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92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Delaware</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9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20"/>
                <w:szCs w:val="20"/>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9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1,616,643</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1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right w:val="single" w:sz="8" w:color="auto"/>
            </w:tcBorders>
          </w:tcPr>
          <w:p>
            <w:pPr>
              <w:jc w:val="center"/>
              <w:ind w:right="290"/>
              <w:spacing w:after="0" w:line="182" w:lineRule="exact"/>
              <w:rPr>
                <w:sz w:val="20"/>
                <w:szCs w:val="20"/>
                <w:color w:val="auto"/>
              </w:rPr>
            </w:pPr>
            <w:r>
              <w:rPr>
                <w:rFonts w:ascii="Arial" w:cs="Arial" w:eastAsia="Arial" w:hAnsi="Arial"/>
                <w:sz w:val="18"/>
                <w:szCs w:val="18"/>
                <w:color w:val="auto"/>
                <w:w w:val="99"/>
              </w:rPr>
              <w:t>EACH</w:t>
            </w:r>
          </w:p>
        </w:tc>
        <w:tc>
          <w:tcPr>
            <w:tcW w:w="40" w:type="dxa"/>
            <w:vAlign w:val="bottom"/>
          </w:tcPr>
          <w:p>
            <w:pPr>
              <w:spacing w:after="0"/>
              <w:rPr>
                <w:sz w:val="15"/>
                <w:szCs w:val="15"/>
                <w:color w:val="auto"/>
              </w:rPr>
            </w:pPr>
          </w:p>
        </w:tc>
        <w:tc>
          <w:tcPr>
            <w:tcW w:w="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91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9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1,679,300</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w w:val="86"/>
              </w:rPr>
              <w:t>Aggregate</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7"/>
              </w:rPr>
              <w:t>Amount</w:t>
            </w:r>
          </w:p>
        </w:tc>
        <w:tc>
          <w:tcPr>
            <w:tcW w:w="92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1,679,300</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HC</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192576106</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18"/>
                <w:szCs w:val="18"/>
                <w:color w:val="auto"/>
              </w:rPr>
            </w:pPr>
          </w:p>
        </w:tc>
        <w:tc>
          <w:tcPr>
            <w:tcW w:w="107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S.S. or I.R.S. Identification No. of Above Person</w:t>
            </w:r>
          </w:p>
        </w:tc>
        <w:tc>
          <w:tcPr>
            <w:tcW w:w="0" w:type="dxa"/>
            <w:vAlign w:val="bottom"/>
          </w:tcPr>
          <w:p>
            <w:pPr>
              <w:spacing w:after="0"/>
              <w:rPr>
                <w:sz w:val="1"/>
                <w:szCs w:val="1"/>
                <w:color w:val="auto"/>
              </w:rPr>
            </w:pPr>
          </w:p>
        </w:tc>
      </w:tr>
      <w:tr>
        <w:trPr>
          <w:trHeight w:val="445"/>
        </w:trPr>
        <w:tc>
          <w:tcPr>
            <w:tcW w:w="42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Columbia Management Investment Advisers, LLC</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7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IRS No. 41-1533211</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9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4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w w:val="93"/>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20"/>
                <w:szCs w:val="20"/>
                <w:color w:val="auto"/>
              </w:rPr>
            </w:pPr>
          </w:p>
        </w:tc>
        <w:tc>
          <w:tcPr>
            <w:tcW w:w="158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9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92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Minnesota</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9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20"/>
                <w:szCs w:val="20"/>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9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1,299,151</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1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right w:val="single" w:sz="8" w:color="auto"/>
            </w:tcBorders>
          </w:tcPr>
          <w:p>
            <w:pPr>
              <w:jc w:val="center"/>
              <w:ind w:right="290"/>
              <w:spacing w:after="0" w:line="182" w:lineRule="exact"/>
              <w:rPr>
                <w:sz w:val="20"/>
                <w:szCs w:val="20"/>
                <w:color w:val="auto"/>
              </w:rPr>
            </w:pPr>
            <w:r>
              <w:rPr>
                <w:rFonts w:ascii="Arial" w:cs="Arial" w:eastAsia="Arial" w:hAnsi="Arial"/>
                <w:sz w:val="18"/>
                <w:szCs w:val="18"/>
                <w:color w:val="auto"/>
                <w:w w:val="99"/>
              </w:rPr>
              <w:t>EACH</w:t>
            </w:r>
          </w:p>
        </w:tc>
        <w:tc>
          <w:tcPr>
            <w:tcW w:w="40" w:type="dxa"/>
            <w:vAlign w:val="bottom"/>
          </w:tcPr>
          <w:p>
            <w:pPr>
              <w:spacing w:after="0"/>
              <w:rPr>
                <w:sz w:val="15"/>
                <w:szCs w:val="15"/>
                <w:color w:val="auto"/>
              </w:rPr>
            </w:pPr>
          </w:p>
        </w:tc>
        <w:tc>
          <w:tcPr>
            <w:tcW w:w="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916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91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1,361,648</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w w:val="86"/>
              </w:rPr>
              <w:t>Aggregate</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7"/>
              </w:rPr>
              <w:t>Amount</w:t>
            </w:r>
          </w:p>
        </w:tc>
        <w:tc>
          <w:tcPr>
            <w:tcW w:w="92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1,361,648</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Not Applicable</w:t>
            </w: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7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IA</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1(a)</w:t>
            </w:r>
          </w:p>
        </w:tc>
        <w:tc>
          <w:tcPr>
            <w:tcW w:w="3180" w:type="dxa"/>
            <w:vAlign w:val="bottom"/>
          </w:tcPr>
          <w:p>
            <w:pPr>
              <w:ind w:left="80"/>
              <w:spacing w:after="0"/>
              <w:rPr>
                <w:sz w:val="20"/>
                <w:szCs w:val="20"/>
                <w:color w:val="auto"/>
              </w:rPr>
            </w:pPr>
            <w:r>
              <w:rPr>
                <w:rFonts w:ascii="Arial" w:cs="Arial" w:eastAsia="Arial" w:hAnsi="Arial"/>
                <w:sz w:val="18"/>
                <w:szCs w:val="18"/>
                <w:color w:val="auto"/>
              </w:rPr>
              <w:t>Name of Issuer:</w:t>
            </w:r>
          </w:p>
        </w:tc>
        <w:tc>
          <w:tcPr>
            <w:tcW w:w="3180" w:type="dxa"/>
            <w:vAlign w:val="bottom"/>
          </w:tcPr>
          <w:p>
            <w:pPr>
              <w:ind w:left="400"/>
              <w:spacing w:after="0"/>
              <w:rPr>
                <w:sz w:val="20"/>
                <w:szCs w:val="20"/>
                <w:color w:val="auto"/>
              </w:rPr>
            </w:pPr>
            <w:r>
              <w:rPr>
                <w:rFonts w:ascii="Arial" w:cs="Arial" w:eastAsia="Arial" w:hAnsi="Arial"/>
                <w:sz w:val="18"/>
                <w:szCs w:val="18"/>
                <w:color w:val="auto"/>
              </w:rPr>
              <w:t>Cohu, Inc</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1(b)</w:t>
            </w:r>
          </w:p>
        </w:tc>
        <w:tc>
          <w:tcPr>
            <w:tcW w:w="3180" w:type="dxa"/>
            <w:vAlign w:val="bottom"/>
          </w:tcPr>
          <w:p>
            <w:pPr>
              <w:ind w:left="80"/>
              <w:spacing w:after="0"/>
              <w:rPr>
                <w:sz w:val="20"/>
                <w:szCs w:val="20"/>
                <w:color w:val="auto"/>
              </w:rPr>
            </w:pPr>
            <w:r>
              <w:rPr>
                <w:rFonts w:ascii="Arial" w:cs="Arial" w:eastAsia="Arial" w:hAnsi="Arial"/>
                <w:sz w:val="18"/>
                <w:szCs w:val="18"/>
                <w:color w:val="auto"/>
              </w:rPr>
              <w:t>Address of Issuer’s Principal</w:t>
            </w:r>
          </w:p>
        </w:tc>
        <w:tc>
          <w:tcPr>
            <w:tcW w:w="3180" w:type="dxa"/>
            <w:vAlign w:val="bottom"/>
          </w:tcPr>
          <w:p>
            <w:pPr>
              <w:ind w:left="400"/>
              <w:spacing w:after="0"/>
              <w:rPr>
                <w:sz w:val="20"/>
                <w:szCs w:val="20"/>
                <w:color w:val="auto"/>
              </w:rPr>
            </w:pPr>
            <w:r>
              <w:rPr>
                <w:rFonts w:ascii="Arial" w:cs="Arial" w:eastAsia="Arial" w:hAnsi="Arial"/>
                <w:sz w:val="18"/>
                <w:szCs w:val="18"/>
                <w:color w:val="auto"/>
              </w:rPr>
              <w:t>12367 Crosthwaite Circle</w:t>
            </w:r>
          </w:p>
        </w:tc>
      </w:tr>
      <w:tr>
        <w:trPr>
          <w:trHeight w:val="230"/>
        </w:trPr>
        <w:tc>
          <w:tcPr>
            <w:tcW w:w="380" w:type="dxa"/>
            <w:vAlign w:val="bottom"/>
          </w:tcPr>
          <w:p>
            <w:pPr>
              <w:spacing w:after="0"/>
              <w:rPr>
                <w:sz w:val="20"/>
                <w:szCs w:val="20"/>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Executive Offices:</w:t>
            </w:r>
          </w:p>
        </w:tc>
        <w:tc>
          <w:tcPr>
            <w:tcW w:w="3180" w:type="dxa"/>
            <w:vAlign w:val="bottom"/>
          </w:tcPr>
          <w:p>
            <w:pPr>
              <w:ind w:left="400"/>
              <w:spacing w:after="0"/>
              <w:rPr>
                <w:sz w:val="20"/>
                <w:szCs w:val="20"/>
                <w:color w:val="auto"/>
              </w:rPr>
            </w:pPr>
            <w:r>
              <w:rPr>
                <w:rFonts w:ascii="Arial" w:cs="Arial" w:eastAsia="Arial" w:hAnsi="Arial"/>
                <w:sz w:val="18"/>
                <w:szCs w:val="18"/>
                <w:color w:val="auto"/>
              </w:rPr>
              <w:t>Poway, CA 92064-6817</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2(a)</w:t>
            </w:r>
          </w:p>
        </w:tc>
        <w:tc>
          <w:tcPr>
            <w:tcW w:w="3180" w:type="dxa"/>
            <w:vAlign w:val="bottom"/>
          </w:tcPr>
          <w:p>
            <w:pPr>
              <w:ind w:left="80"/>
              <w:spacing w:after="0"/>
              <w:rPr>
                <w:sz w:val="20"/>
                <w:szCs w:val="20"/>
                <w:color w:val="auto"/>
              </w:rPr>
            </w:pPr>
            <w:r>
              <w:rPr>
                <w:rFonts w:ascii="Arial" w:cs="Arial" w:eastAsia="Arial" w:hAnsi="Arial"/>
                <w:sz w:val="18"/>
                <w:szCs w:val="18"/>
                <w:color w:val="auto"/>
              </w:rPr>
              <w:t>Name of Person Filing:</w:t>
            </w:r>
          </w:p>
        </w:tc>
        <w:tc>
          <w:tcPr>
            <w:tcW w:w="3180" w:type="dxa"/>
            <w:vAlign w:val="bottom"/>
          </w:tcPr>
          <w:p>
            <w:pPr>
              <w:ind w:left="400"/>
              <w:spacing w:after="0"/>
              <w:rPr>
                <w:sz w:val="20"/>
                <w:szCs w:val="20"/>
                <w:color w:val="auto"/>
              </w:rPr>
            </w:pPr>
            <w:r>
              <w:rPr>
                <w:rFonts w:ascii="Arial" w:cs="Arial" w:eastAsia="Arial" w:hAnsi="Arial"/>
                <w:sz w:val="18"/>
                <w:szCs w:val="18"/>
                <w:color w:val="auto"/>
                <w:w w:val="96"/>
              </w:rPr>
              <w:t>(a) Ameriprise Financial, Inc. (“AFI”)</w:t>
            </w: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w w:val="90"/>
              </w:rPr>
              <w:t>(b) Columbia Management Investment</w:t>
            </w:r>
          </w:p>
        </w:tc>
      </w:tr>
      <w:tr>
        <w:trPr>
          <w:trHeight w:val="230"/>
        </w:trPr>
        <w:tc>
          <w:tcPr>
            <w:tcW w:w="3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Advisers, LLC (“CMIA”)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2(b)</w:t>
            </w:r>
          </w:p>
        </w:tc>
        <w:tc>
          <w:tcPr>
            <w:tcW w:w="3180" w:type="dxa"/>
            <w:vAlign w:val="bottom"/>
          </w:tcPr>
          <w:p>
            <w:pPr>
              <w:ind w:left="80"/>
              <w:spacing w:after="0"/>
              <w:rPr>
                <w:sz w:val="20"/>
                <w:szCs w:val="20"/>
                <w:color w:val="auto"/>
              </w:rPr>
            </w:pPr>
            <w:r>
              <w:rPr>
                <w:rFonts w:ascii="Arial" w:cs="Arial" w:eastAsia="Arial" w:hAnsi="Arial"/>
                <w:sz w:val="18"/>
                <w:szCs w:val="18"/>
                <w:color w:val="auto"/>
              </w:rPr>
              <w:t>Address of Principal Business Office:</w:t>
            </w:r>
          </w:p>
        </w:tc>
        <w:tc>
          <w:tcPr>
            <w:tcW w:w="3180" w:type="dxa"/>
            <w:vAlign w:val="bottom"/>
          </w:tcPr>
          <w:p>
            <w:pPr>
              <w:ind w:left="400"/>
              <w:spacing w:after="0"/>
              <w:rPr>
                <w:sz w:val="20"/>
                <w:szCs w:val="20"/>
                <w:color w:val="auto"/>
              </w:rPr>
            </w:pPr>
            <w:r>
              <w:rPr>
                <w:rFonts w:ascii="Arial" w:cs="Arial" w:eastAsia="Arial" w:hAnsi="Arial"/>
                <w:sz w:val="18"/>
                <w:szCs w:val="18"/>
                <w:color w:val="auto"/>
              </w:rPr>
              <w:t>(a) Ameriprise Financial, Inc.</w:t>
            </w: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145 Ameriprise Financial Center</w:t>
            </w: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Minneapolis, MN 55474</w:t>
            </w: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(b) 225 Franklin St.</w:t>
            </w:r>
          </w:p>
        </w:tc>
      </w:tr>
      <w:tr>
        <w:trPr>
          <w:trHeight w:val="230"/>
        </w:trPr>
        <w:tc>
          <w:tcPr>
            <w:tcW w:w="3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Boston, MA 02110</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2(c)</w:t>
            </w:r>
          </w:p>
        </w:tc>
        <w:tc>
          <w:tcPr>
            <w:tcW w:w="3180" w:type="dxa"/>
            <w:vAlign w:val="bottom"/>
          </w:tcPr>
          <w:p>
            <w:pPr>
              <w:ind w:left="80"/>
              <w:spacing w:after="0"/>
              <w:rPr>
                <w:sz w:val="20"/>
                <w:szCs w:val="20"/>
                <w:color w:val="auto"/>
              </w:rPr>
            </w:pPr>
            <w:r>
              <w:rPr>
                <w:rFonts w:ascii="Arial" w:cs="Arial" w:eastAsia="Arial" w:hAnsi="Arial"/>
                <w:sz w:val="18"/>
                <w:szCs w:val="18"/>
                <w:color w:val="auto"/>
              </w:rPr>
              <w:t>Citizenship:</w:t>
            </w:r>
          </w:p>
        </w:tc>
        <w:tc>
          <w:tcPr>
            <w:tcW w:w="3180" w:type="dxa"/>
            <w:vAlign w:val="bottom"/>
          </w:tcPr>
          <w:p>
            <w:pPr>
              <w:ind w:left="400"/>
              <w:spacing w:after="0"/>
              <w:rPr>
                <w:sz w:val="20"/>
                <w:szCs w:val="20"/>
                <w:color w:val="auto"/>
              </w:rPr>
            </w:pPr>
            <w:r>
              <w:rPr>
                <w:rFonts w:ascii="Arial" w:cs="Arial" w:eastAsia="Arial" w:hAnsi="Arial"/>
                <w:sz w:val="18"/>
                <w:szCs w:val="18"/>
                <w:color w:val="auto"/>
              </w:rPr>
              <w:t>(a) Delaware</w:t>
            </w:r>
          </w:p>
        </w:tc>
      </w:tr>
      <w:tr>
        <w:trPr>
          <w:trHeight w:val="230"/>
        </w:trPr>
        <w:tc>
          <w:tcPr>
            <w:tcW w:w="3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(b) Minnesota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2(d)</w:t>
            </w:r>
          </w:p>
        </w:tc>
        <w:tc>
          <w:tcPr>
            <w:tcW w:w="3180" w:type="dxa"/>
            <w:vAlign w:val="bottom"/>
          </w:tcPr>
          <w:p>
            <w:pPr>
              <w:ind w:left="80"/>
              <w:spacing w:after="0"/>
              <w:rPr>
                <w:sz w:val="20"/>
                <w:szCs w:val="20"/>
                <w:color w:val="auto"/>
              </w:rPr>
            </w:pPr>
            <w:r>
              <w:rPr>
                <w:rFonts w:ascii="Arial" w:cs="Arial" w:eastAsia="Arial" w:hAnsi="Arial"/>
                <w:sz w:val="18"/>
                <w:szCs w:val="18"/>
                <w:color w:val="auto"/>
              </w:rPr>
              <w:t>Title of Class of Securities:</w:t>
            </w:r>
          </w:p>
        </w:tc>
        <w:tc>
          <w:tcPr>
            <w:tcW w:w="3180" w:type="dxa"/>
            <w:vAlign w:val="bottom"/>
          </w:tcPr>
          <w:p>
            <w:pPr>
              <w:ind w:left="400"/>
              <w:spacing w:after="0"/>
              <w:rPr>
                <w:sz w:val="20"/>
                <w:szCs w:val="20"/>
                <w:color w:val="auto"/>
              </w:rPr>
            </w:pPr>
            <w:r>
              <w:rPr>
                <w:rFonts w:ascii="Arial" w:cs="Arial" w:eastAsia="Arial" w:hAnsi="Arial"/>
                <w:sz w:val="18"/>
                <w:szCs w:val="18"/>
                <w:color w:val="auto"/>
              </w:rPr>
              <w:t>Common Stock</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2(e)</w:t>
            </w:r>
          </w:p>
        </w:tc>
        <w:tc>
          <w:tcPr>
            <w:tcW w:w="3180" w:type="dxa"/>
            <w:vAlign w:val="bottom"/>
          </w:tcPr>
          <w:p>
            <w:pPr>
              <w:ind w:left="80"/>
              <w:spacing w:after="0"/>
              <w:rPr>
                <w:sz w:val="20"/>
                <w:szCs w:val="20"/>
                <w:color w:val="auto"/>
              </w:rPr>
            </w:pPr>
            <w:r>
              <w:rPr>
                <w:rFonts w:ascii="Arial" w:cs="Arial" w:eastAsia="Arial" w:hAnsi="Arial"/>
                <w:sz w:val="18"/>
                <w:szCs w:val="18"/>
                <w:color w:val="auto"/>
              </w:rPr>
              <w:t>Cusip Number:</w:t>
            </w:r>
          </w:p>
        </w:tc>
        <w:tc>
          <w:tcPr>
            <w:tcW w:w="3180" w:type="dxa"/>
            <w:vAlign w:val="bottom"/>
          </w:tcPr>
          <w:p>
            <w:pPr>
              <w:ind w:left="400"/>
              <w:spacing w:after="0"/>
              <w:rPr>
                <w:sz w:val="20"/>
                <w:szCs w:val="20"/>
                <w:color w:val="auto"/>
              </w:rPr>
            </w:pPr>
            <w:r>
              <w:rPr>
                <w:rFonts w:ascii="Arial" w:cs="Arial" w:eastAsia="Arial" w:hAnsi="Arial"/>
                <w:sz w:val="18"/>
                <w:szCs w:val="18"/>
                <w:color w:val="auto"/>
              </w:rPr>
              <w:t>192576106</w:t>
            </w:r>
          </w:p>
        </w:tc>
      </w:tr>
    </w:tbl>
    <w:p>
      <w:pPr>
        <w:spacing w:after="0" w:line="10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if statement is filed pursuant to Rules 13d-1(b) or 13d-2(b):</w:t>
      </w:r>
    </w:p>
    <w:p>
      <w:pPr>
        <w:spacing w:after="0" w:line="117" w:lineRule="exact"/>
        <w:rPr>
          <w:rFonts w:ascii="Arial" w:cs="Arial" w:eastAsia="Arial" w:hAnsi="Arial"/>
          <w:sz w:val="18"/>
          <w:szCs w:val="18"/>
          <w:color w:val="auto"/>
        </w:rPr>
      </w:pPr>
    </w:p>
    <w:p>
      <w:pPr>
        <w:ind w:left="1260" w:hanging="241"/>
        <w:spacing w:after="0"/>
        <w:tabs>
          <w:tab w:leader="none" w:pos="12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Ameriprise Financial,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parent holding company in accordance with Rule 13d-1(b)(1)(ii)(G). (Note: See Item 7)</w:t>
      </w:r>
    </w:p>
    <w:p>
      <w:pPr>
        <w:spacing w:after="0" w:line="117" w:lineRule="exact"/>
        <w:rPr>
          <w:sz w:val="20"/>
          <w:szCs w:val="20"/>
          <w:color w:val="auto"/>
        </w:rPr>
      </w:pPr>
    </w:p>
    <w:p>
      <w:pPr>
        <w:ind w:left="460" w:right="5640" w:firstLine="559"/>
        <w:spacing w:after="0" w:line="431" w:lineRule="auto"/>
        <w:tabs>
          <w:tab w:leader="none" w:pos="1277" w:val="left"/>
        </w:tabs>
        <w:numPr>
          <w:ilvl w:val="0"/>
          <w:numId w:val="2"/>
        </w:numPr>
        <w:rPr>
          <w:rFonts w:ascii="Arial" w:cs="Arial" w:eastAsia="Arial" w:hAnsi="Arial"/>
          <w:sz w:val="16"/>
          <w:szCs w:val="16"/>
          <w:color w:val="auto"/>
        </w:rPr>
      </w:pPr>
      <w:r>
        <w:rPr>
          <w:rFonts w:ascii="Arial" w:cs="Arial" w:eastAsia="Arial" w:hAnsi="Arial"/>
          <w:sz w:val="16"/>
          <w:szCs w:val="16"/>
          <w:color w:val="auto"/>
        </w:rPr>
        <w:t>Columbia Management Investment Advisers, LLC An investment adviser in accordance with Rule 13d-1(b)(1)(ii)(E).</w:t>
      </w:r>
    </w:p>
    <w:p>
      <w:pPr>
        <w:spacing w:after="0" w:line="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Items (5)-(9) and (11) of the cover page pertaining to each reporting person.</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of AFI and CMIA disclaims beneficial ownership of any shares reported on this Schedule.</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Ownership of 5% or Less of a Class:</w:t>
      </w:r>
    </w:p>
    <w:p>
      <w:pPr>
        <w:spacing w:after="0" w:line="117"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If this statement is being filed to report the fact as of the date hereof the reporting person has ceased to be the beneficial owner of more than five percent of the class of securities, check the following (X).</w:t>
      </w:r>
    </w:p>
    <w:p>
      <w:pPr>
        <w:sectPr>
          <w:pgSz w:w="11900" w:h="16838" w:orient="portrait"/>
          <w:cols w:equalWidth="0" w:num="1">
            <w:col w:w="10880"/>
          </w:cols>
          <w:pgMar w:left="320" w:top="274" w:right="699" w:bottom="1440" w:gutter="0" w:footer="0" w:header="0"/>
        </w:sectPr>
      </w:pPr>
    </w:p>
    <w:bookmarkStart w:id="4" w:name="page5"/>
    <w:bookmarkEnd w:id="4"/>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Ownership of more than 5% on Behalf of Another Person: Not Applicable</w:t>
      </w:r>
    </w:p>
    <w:p>
      <w:pPr>
        <w:spacing w:after="0" w:line="131" w:lineRule="exact"/>
        <w:rPr>
          <w:sz w:val="20"/>
          <w:szCs w:val="20"/>
          <w:color w:val="auto"/>
        </w:rPr>
      </w:pPr>
    </w:p>
    <w:p>
      <w:pPr>
        <w:ind w:left="1012" w:right="920" w:hanging="1012"/>
        <w:spacing w:after="0" w:line="383" w:lineRule="auto"/>
        <w:tabs>
          <w:tab w:leader="none" w:pos="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and Classification of the Subsidiary Which Acquired the Security Being Reported on by the Parent Holding Company: AFI: See Exhibit I</w:t>
      </w:r>
    </w:p>
    <w:p>
      <w:pPr>
        <w:spacing w:after="0" w:line="1" w:lineRule="exact"/>
        <w:rPr>
          <w:sz w:val="20"/>
          <w:szCs w:val="20"/>
          <w:color w:val="auto"/>
        </w:rPr>
      </w:pPr>
    </w:p>
    <w:p>
      <w:pPr>
        <w:ind w:left="1012" w:right="6240" w:hanging="1012"/>
        <w:spacing w:after="0" w:line="383" w:lineRule="auto"/>
        <w:tabs>
          <w:tab w:leader="none" w:pos="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and Classification of Members of the Group: Not Applicable</w:t>
      </w:r>
    </w:p>
    <w:p>
      <w:pPr>
        <w:spacing w:after="0" w:line="1" w:lineRule="exact"/>
        <w:rPr>
          <w:sz w:val="20"/>
          <w:szCs w:val="20"/>
          <w:color w:val="auto"/>
        </w:rPr>
      </w:pPr>
    </w:p>
    <w:p>
      <w:pPr>
        <w:ind w:left="1012" w:right="8180" w:hanging="1012"/>
        <w:spacing w:after="0" w:line="406" w:lineRule="auto"/>
        <w:tabs>
          <w:tab w:leader="none" w:pos="447"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Notice of Dissolution of Group: Not Applicable</w:t>
      </w: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w:t>
      </w:r>
    </w:p>
    <w:p>
      <w:pPr>
        <w:spacing w:after="0" w:line="117" w:lineRule="exact"/>
        <w:rPr>
          <w:rFonts w:ascii="Arial" w:cs="Arial" w:eastAsia="Arial" w:hAnsi="Arial"/>
          <w:sz w:val="18"/>
          <w:szCs w:val="18"/>
          <w:color w:val="auto"/>
        </w:rPr>
      </w:pPr>
    </w:p>
    <w:p>
      <w:pPr>
        <w:ind w:left="452"/>
        <w:spacing w:after="0" w:line="286" w:lineRule="auto"/>
        <w:rPr>
          <w:rFonts w:ascii="Arial" w:cs="Arial" w:eastAsia="Arial" w:hAnsi="Arial"/>
          <w:sz w:val="18"/>
          <w:szCs w:val="18"/>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932"/>
          </w:cols>
          <w:pgMar w:left="328" w:top="274"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5"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Goucher</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Paul Goucher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Vice President and Assistant General Counsel</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Columbia Management Investment Advisers,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Goucher</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Paul Goucher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Vice President and Assistant Secretary</w:t>
            </w:r>
          </w:p>
        </w:tc>
      </w:tr>
    </w:tbl>
    <w:p>
      <w:pPr>
        <w:spacing w:after="0" w:line="2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Mark D. Braley</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Head of Reporting and Data Management |</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Global Operations and Investor Services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Telephone: (617) 747-0663</w:t>
      </w:r>
    </w:p>
    <w:p>
      <w:pPr>
        <w:sectPr>
          <w:pgSz w:w="11900" w:h="16838" w:orient="portrait"/>
          <w:cols w:equalWidth="0" w:num="1">
            <w:col w:w="11240"/>
          </w:cols>
          <w:pgMar w:left="320" w:top="274" w:right="3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II</w:t>
      </w:r>
      <w:r>
        <w:rPr>
          <w:sz w:val="20"/>
          <w:szCs w:val="20"/>
          <w:color w:val="auto"/>
        </w:rPr>
        <w:tab/>
      </w:r>
      <w:r>
        <w:rPr>
          <w:rFonts w:ascii="Arial" w:cs="Arial" w:eastAsia="Arial" w:hAnsi="Arial"/>
          <w:sz w:val="16"/>
          <w:szCs w:val="16"/>
          <w:color w:val="auto"/>
        </w:rPr>
        <w:t>Joint Filing Agreement</w:t>
      </w:r>
    </w:p>
    <w:p>
      <w:pPr>
        <w:sectPr>
          <w:pgSz w:w="11900" w:h="16838" w:orient="portrait"/>
          <w:cols w:equalWidth="0" w:num="1">
            <w:col w:w="10640"/>
          </w:cols>
          <w:pgMar w:left="320" w:top="274" w:right="9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Ameriprise Financial, Inc., a Delaware Corporation, is a parent holding company. The classification and identity of the relevant subsidiaries is as follows:</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100"/>
          </w:cols>
          <w:pgMar w:left="320" w:top="125" w:right="4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undersigned persons agree and consent to the joint filing on their behalf of this Schedule 13G dated February 12, 2021 in connection with their beneficial ownership of Cohu, Inc. Columbia Management Investment Advisers, LLC authorizes Ameriprise Financial, Inc. to execute the Schedule 13G to which this Exhibit is attached and make any necessary amendments 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Goucher</w:t>
            </w: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Paul Goucher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Senior Vice President and Assistant General Counsel</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Columbia Management Investment Advisers, LLC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Goucher</w:t>
            </w: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Paul Goucher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Senior Vice President and Assistant Secretary</w:t>
            </w:r>
          </w:p>
        </w:tc>
      </w:tr>
    </w:tbl>
    <w:p>
      <w:pPr>
        <w:spacing w:after="0" w:line="1" w:lineRule="exact"/>
        <w:rPr>
          <w:sz w:val="20"/>
          <w:szCs w:val="20"/>
          <w:color w:val="auto"/>
        </w:rPr>
      </w:pPr>
    </w:p>
    <w:sectPr>
      <w:pgSz w:w="11900" w:h="16838" w:orient="portrait"/>
      <w:cols w:equalWidth="0" w:num="1">
        <w:col w:w="11220"/>
      </w:cols>
      <w:pgMar w:left="32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3"/>
      <w:numFmt w:val="bullet"/>
      <w:start w:val="1"/>
    </w:lvl>
    <w:lvl w:ilvl="1">
      <w:lvlJc w:val="left"/>
      <w:lvlText w:val="(%2)"/>
      <w:numFmt w:val="lowerLetter"/>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6"/>
      <w:numFmt w:val="bullet"/>
      <w:start w:val="1"/>
    </w:lvl>
  </w:abstractNum>
  <w:abstractNum w:abstractNumId="5">
    <w:nsid w:val="79E2A9E3"/>
    <w:multiLevelType w:val="hybridMultilevel"/>
    <w:lvl w:ilvl="0">
      <w:lvlJc w:val="left"/>
      <w:lvlText w:val="7"/>
      <w:numFmt w:val="bullet"/>
      <w:start w:val="1"/>
    </w:lvl>
  </w:abstractNum>
  <w:abstractNum w:abstractNumId="6">
    <w:nsid w:val="7545E146"/>
    <w:multiLevelType w:val="hybridMultilevel"/>
    <w:lvl w:ilvl="0">
      <w:lvlJc w:val="left"/>
      <w:lvlText w:val="8"/>
      <w:numFmt w:val="bullet"/>
      <w:start w:val="1"/>
    </w:lvl>
  </w:abstractNum>
  <w:abstractNum w:abstractNumId="7">
    <w:nsid w:val="515F007C"/>
    <w:multiLevelType w:val="hybridMultilevel"/>
    <w:lvl w:ilvl="0">
      <w:lvlJc w:val="left"/>
      <w:lvlText w:val="9"/>
      <w:numFmt w:val="bullet"/>
      <w:start w:val="1"/>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2021-02-12T10:25:04Z</dcterms:created>
  <dcterms:modified xsi:type="dcterms:W3CDTF">2021-02-12T10:25:04Z</dcterms:modified>
</cp:coreProperties>
</file>