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Under the Securities and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320040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79"/>
        <w:spacing w:after="0"/>
        <w:rPr>
          <w:sz w:val="20"/>
          <w:szCs w:val="20"/>
          <w:color w:val="auto"/>
        </w:rPr>
      </w:pPr>
      <w:r>
        <w:rPr>
          <w:rFonts w:ascii="Arial" w:cs="Arial" w:eastAsia="Arial" w:hAnsi="Arial"/>
          <w:sz w:val="40"/>
          <w:szCs w:val="40"/>
          <w:b w:val="1"/>
          <w:bCs w:val="1"/>
          <w:color w:val="auto"/>
        </w:rPr>
        <w:t>Cohu, Inc</w:t>
      </w:r>
    </w:p>
    <w:p>
      <w:pPr>
        <w:spacing w:after="0" w:line="3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192576106</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2019</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This Schedule is filed pursuant to Rule 13d-1(b)</w:t>
      </w:r>
    </w:p>
    <w:p>
      <w:pPr>
        <w:spacing w:after="0" w:line="225"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The information required in the remainder of this cover page (except any items to which the form provides a cross-reference)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517" w:right="4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192576106</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520" w:type="dxa"/>
            <w:vAlign w:val="bottom"/>
            <w:tcBorders>
              <w:top w:val="single" w:sz="8" w:color="auto"/>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920" w:type="dxa"/>
            <w:vAlign w:val="bottom"/>
            <w:tcBorders>
              <w:top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520" w:type="dxa"/>
            <w:vAlign w:val="bottom"/>
            <w:tcBorders>
              <w:left w:val="single" w:sz="8" w:color="auto"/>
              <w:right w:val="single" w:sz="8" w:color="auto"/>
            </w:tcBorders>
          </w:tcPr>
          <w:p>
            <w:pPr>
              <w:spacing w:after="0"/>
              <w:rPr>
                <w:sz w:val="20"/>
                <w:szCs w:val="20"/>
                <w:color w:val="auto"/>
              </w:rPr>
            </w:pPr>
          </w:p>
        </w:tc>
        <w:tc>
          <w:tcPr>
            <w:tcW w:w="1092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S.S. or I.R.S. Identification No. of Above Person</w:t>
            </w:r>
          </w:p>
        </w:tc>
        <w:tc>
          <w:tcPr>
            <w:tcW w:w="0" w:type="dxa"/>
            <w:vAlign w:val="bottom"/>
          </w:tcPr>
          <w:p>
            <w:pPr>
              <w:spacing w:after="0"/>
              <w:rPr>
                <w:sz w:val="1"/>
                <w:szCs w:val="1"/>
                <w:color w:val="auto"/>
              </w:rPr>
            </w:pPr>
          </w:p>
        </w:tc>
      </w:tr>
      <w:tr>
        <w:trPr>
          <w:trHeight w:val="445"/>
        </w:trPr>
        <w:tc>
          <w:tcPr>
            <w:tcW w:w="520" w:type="dxa"/>
            <w:vAlign w:val="bottom"/>
            <w:tcBorders>
              <w:left w:val="single" w:sz="8" w:color="auto"/>
              <w:right w:val="single" w:sz="8" w:color="auto"/>
            </w:tcBorders>
          </w:tcPr>
          <w:p>
            <w:pPr>
              <w:spacing w:after="0"/>
              <w:rPr>
                <w:sz w:val="24"/>
                <w:szCs w:val="24"/>
                <w:color w:val="auto"/>
              </w:rPr>
            </w:pPr>
          </w:p>
        </w:tc>
        <w:tc>
          <w:tcPr>
            <w:tcW w:w="1092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Ameriprise Financial, Inc.</w:t>
            </w:r>
          </w:p>
        </w:tc>
        <w:tc>
          <w:tcPr>
            <w:tcW w:w="0" w:type="dxa"/>
            <w:vAlign w:val="bottom"/>
          </w:tcPr>
          <w:p>
            <w:pPr>
              <w:spacing w:after="0"/>
              <w:rPr>
                <w:sz w:val="1"/>
                <w:szCs w:val="1"/>
                <w:color w:val="auto"/>
              </w:rPr>
            </w:pPr>
          </w:p>
        </w:tc>
      </w:tr>
      <w:tr>
        <w:trPr>
          <w:trHeight w:val="237"/>
        </w:trPr>
        <w:tc>
          <w:tcPr>
            <w:tcW w:w="520" w:type="dxa"/>
            <w:vAlign w:val="bottom"/>
            <w:tcBorders>
              <w:left w:val="single" w:sz="8" w:color="auto"/>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w w:val="90"/>
              </w:rPr>
              <w:t>IRS No. 13-3180631</w:t>
            </w:r>
          </w:p>
        </w:tc>
        <w:tc>
          <w:tcPr>
            <w:tcW w:w="9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20" w:type="dxa"/>
            <w:vAlign w:val="bottom"/>
            <w:tcBorders>
              <w:left w:val="single" w:sz="8" w:color="auto"/>
              <w:right w:val="single" w:sz="8" w:color="auto"/>
            </w:tcBorders>
          </w:tcPr>
          <w:p>
            <w:pPr>
              <w:jc w:val="right"/>
              <w:ind w:right="30"/>
              <w:spacing w:after="0" w:line="170" w:lineRule="exact"/>
              <w:rPr>
                <w:sz w:val="20"/>
                <w:szCs w:val="20"/>
                <w:color w:val="auto"/>
              </w:rPr>
            </w:pPr>
            <w:r>
              <w:rPr>
                <w:rFonts w:ascii="Arial" w:cs="Arial" w:eastAsia="Arial" w:hAnsi="Arial"/>
                <w:sz w:val="18"/>
                <w:szCs w:val="18"/>
                <w:color w:val="auto"/>
              </w:rPr>
              <w:t>2)</w:t>
            </w:r>
          </w:p>
        </w:tc>
        <w:tc>
          <w:tcPr>
            <w:tcW w:w="10920" w:type="dxa"/>
            <w:vAlign w:val="bottom"/>
            <w:tcBorders>
              <w:right w:val="single" w:sz="8" w:color="auto"/>
            </w:tcBorders>
            <w:gridSpan w:val="6"/>
          </w:tcPr>
          <w:p>
            <w:pPr>
              <w:ind w:left="18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520" w:type="dxa"/>
            <w:vAlign w:val="bottom"/>
            <w:tcBorders>
              <w:left w:val="single" w:sz="8" w:color="auto"/>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440" w:type="dxa"/>
            <w:vAlign w:val="bottom"/>
            <w:gridSpan w:val="2"/>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9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10920" w:type="dxa"/>
            <w:vAlign w:val="bottom"/>
            <w:tcBorders>
              <w:bottom w:val="single" w:sz="8" w:color="auto"/>
              <w:right w:val="single" w:sz="8" w:color="auto"/>
            </w:tcBorders>
            <w:gridSpan w:val="6"/>
          </w:tcPr>
          <w:p>
            <w:pPr>
              <w:ind w:left="80"/>
              <w:spacing w:after="0"/>
              <w:rPr>
                <w:sz w:val="20"/>
                <w:szCs w:val="20"/>
                <w:color w:val="auto"/>
              </w:rPr>
            </w:pPr>
            <w:r>
              <w:rPr>
                <w:rFonts w:ascii="Arial" w:cs="Arial" w:eastAsia="Arial" w:hAnsi="Arial"/>
                <w:sz w:val="18"/>
                <w:szCs w:val="18"/>
                <w:color w:val="auto"/>
                <w:w w:val="95"/>
              </w:rPr>
              <w:t>* This filing describes the reporting person’s relationship with other persons, but the reporting person does not affirm the existence of a group.</w:t>
            </w:r>
          </w:p>
        </w:tc>
        <w:tc>
          <w:tcPr>
            <w:tcW w:w="0" w:type="dxa"/>
            <w:vAlign w:val="bottom"/>
          </w:tcPr>
          <w:p>
            <w:pPr>
              <w:spacing w:after="0"/>
              <w:rPr>
                <w:sz w:val="1"/>
                <w:szCs w:val="1"/>
                <w:color w:val="auto"/>
              </w:rPr>
            </w:pPr>
          </w:p>
        </w:tc>
      </w:tr>
      <w:tr>
        <w:trPr>
          <w:trHeight w:val="230"/>
        </w:trPr>
        <w:tc>
          <w:tcPr>
            <w:tcW w:w="52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240" w:type="dxa"/>
            <w:vAlign w:val="bottom"/>
            <w:gridSpan w:val="3"/>
          </w:tcPr>
          <w:p>
            <w:pPr>
              <w:ind w:left="180"/>
              <w:spacing w:after="0"/>
              <w:rPr>
                <w:sz w:val="20"/>
                <w:szCs w:val="20"/>
                <w:color w:val="auto"/>
              </w:rPr>
            </w:pPr>
            <w:r>
              <w:rPr>
                <w:rFonts w:ascii="Arial" w:cs="Arial" w:eastAsia="Arial" w:hAnsi="Arial"/>
                <w:sz w:val="18"/>
                <w:szCs w:val="18"/>
                <w:color w:val="auto"/>
                <w:w w:val="89"/>
              </w:rPr>
              <w:t>SEC Use Only</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20" w:type="dxa"/>
            <w:vAlign w:val="bottom"/>
            <w:tcBorders>
              <w:left w:val="single" w:sz="8" w:color="auto"/>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40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2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92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9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60" w:type="dxa"/>
            <w:vAlign w:val="bottom"/>
            <w:tcBorders>
              <w:left w:val="single" w:sz="8" w:color="auto"/>
            </w:tcBorders>
            <w:gridSpan w:val="2"/>
          </w:tcPr>
          <w:p>
            <w:pPr>
              <w:jc w:val="center"/>
              <w:ind w:left="210"/>
              <w:spacing w:after="0"/>
              <w:rPr>
                <w:sz w:val="20"/>
                <w:szCs w:val="20"/>
                <w:color w:val="auto"/>
              </w:rPr>
            </w:pPr>
            <w:r>
              <w:rPr>
                <w:rFonts w:ascii="Arial" w:cs="Arial" w:eastAsia="Arial" w:hAnsi="Arial"/>
                <w:sz w:val="18"/>
                <w:szCs w:val="18"/>
                <w:color w:val="auto"/>
                <w:w w:val="96"/>
              </w:rPr>
              <w:t>NUMBER OF</w:t>
            </w:r>
          </w:p>
        </w:tc>
        <w:tc>
          <w:tcPr>
            <w:tcW w:w="1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520" w:type="dxa"/>
            <w:vAlign w:val="bottom"/>
            <w:tcBorders>
              <w:left w:val="single" w:sz="8" w:color="auto"/>
            </w:tcBorders>
          </w:tcPr>
          <w:p>
            <w:pPr>
              <w:spacing w:after="0"/>
              <w:rPr>
                <w:sz w:val="20"/>
                <w:szCs w:val="20"/>
                <w:color w:val="auto"/>
              </w:rPr>
            </w:pPr>
          </w:p>
        </w:tc>
        <w:tc>
          <w:tcPr>
            <w:tcW w:w="940" w:type="dxa"/>
            <w:vAlign w:val="bottom"/>
          </w:tcPr>
          <w:p>
            <w:pPr>
              <w:jc w:val="center"/>
              <w:ind w:right="130"/>
              <w:spacing w:after="0"/>
              <w:rPr>
                <w:sz w:val="20"/>
                <w:szCs w:val="20"/>
                <w:color w:val="auto"/>
              </w:rPr>
            </w:pPr>
            <w:r>
              <w:rPr>
                <w:rFonts w:ascii="Arial" w:cs="Arial" w:eastAsia="Arial" w:hAnsi="Arial"/>
                <w:sz w:val="18"/>
                <w:szCs w:val="18"/>
                <w:color w:val="auto"/>
                <w:w w:val="91"/>
              </w:rPr>
              <w:t>SHARES</w:t>
            </w:r>
          </w:p>
        </w:tc>
        <w:tc>
          <w:tcPr>
            <w:tcW w:w="1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9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3"/>
          </w:tcPr>
          <w:p>
            <w:pPr>
              <w:jc w:val="center"/>
              <w:ind w:left="90"/>
              <w:spacing w:after="0"/>
              <w:rPr>
                <w:sz w:val="20"/>
                <w:szCs w:val="20"/>
                <w:color w:val="auto"/>
              </w:rPr>
            </w:pPr>
            <w:r>
              <w:rPr>
                <w:rFonts w:ascii="Arial" w:cs="Arial" w:eastAsia="Arial" w:hAnsi="Arial"/>
                <w:sz w:val="18"/>
                <w:szCs w:val="18"/>
                <w:color w:val="auto"/>
                <w:w w:val="99"/>
              </w:rPr>
              <w:t>BENEFICIALLY</w:t>
            </w:r>
          </w:p>
        </w:tc>
        <w:tc>
          <w:tcPr>
            <w:tcW w:w="1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2,662,961</w:t>
            </w:r>
          </w:p>
        </w:tc>
        <w:tc>
          <w:tcPr>
            <w:tcW w:w="0" w:type="dxa"/>
            <w:vAlign w:val="bottom"/>
          </w:tcPr>
          <w:p>
            <w:pPr>
              <w:spacing w:after="0"/>
              <w:rPr>
                <w:sz w:val="1"/>
                <w:szCs w:val="1"/>
                <w:color w:val="auto"/>
              </w:rPr>
            </w:pPr>
          </w:p>
        </w:tc>
      </w:tr>
      <w:tr>
        <w:trPr>
          <w:trHeight w:val="230"/>
        </w:trPr>
        <w:tc>
          <w:tcPr>
            <w:tcW w:w="1460" w:type="dxa"/>
            <w:vAlign w:val="bottom"/>
            <w:tcBorders>
              <w:left w:val="single" w:sz="8" w:color="auto"/>
            </w:tcBorders>
            <w:gridSpan w:val="2"/>
          </w:tcPr>
          <w:p>
            <w:pPr>
              <w:jc w:val="center"/>
              <w:ind w:left="210"/>
              <w:spacing w:after="0"/>
              <w:rPr>
                <w:sz w:val="20"/>
                <w:szCs w:val="20"/>
                <w:color w:val="auto"/>
              </w:rPr>
            </w:pPr>
            <w:r>
              <w:rPr>
                <w:rFonts w:ascii="Arial" w:cs="Arial" w:eastAsia="Arial" w:hAnsi="Arial"/>
                <w:sz w:val="18"/>
                <w:szCs w:val="18"/>
                <w:color w:val="auto"/>
                <w:w w:val="97"/>
              </w:rPr>
              <w:t>OWNED BY</w:t>
            </w:r>
          </w:p>
        </w:tc>
        <w:tc>
          <w:tcPr>
            <w:tcW w:w="140" w:type="dxa"/>
            <w:vAlign w:val="bottom"/>
            <w:tcBorders>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20" w:type="dxa"/>
            <w:vAlign w:val="bottom"/>
            <w:tcBorders>
              <w:left w:val="single" w:sz="8" w:color="auto"/>
            </w:tcBorders>
          </w:tcPr>
          <w:p>
            <w:pPr>
              <w:spacing w:after="0"/>
              <w:rPr>
                <w:sz w:val="15"/>
                <w:szCs w:val="15"/>
                <w:color w:val="auto"/>
              </w:rPr>
            </w:pPr>
          </w:p>
        </w:tc>
        <w:tc>
          <w:tcPr>
            <w:tcW w:w="94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5"/>
              </w:rPr>
              <w:t>EACH</w:t>
            </w:r>
          </w:p>
        </w:tc>
        <w:tc>
          <w:tcPr>
            <w:tcW w:w="1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5"/>
                <w:szCs w:val="15"/>
                <w:color w:val="auto"/>
              </w:rPr>
            </w:pPr>
          </w:p>
        </w:tc>
        <w:tc>
          <w:tcPr>
            <w:tcW w:w="92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tcBorders>
            <w:gridSpan w:val="2"/>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0" w:type="dxa"/>
            <w:vAlign w:val="bottom"/>
            <w:tcBorders>
              <w:left w:val="single" w:sz="8" w:color="auto"/>
            </w:tcBorders>
          </w:tcPr>
          <w:p>
            <w:pPr>
              <w:spacing w:after="0"/>
              <w:rPr>
                <w:sz w:val="18"/>
                <w:szCs w:val="18"/>
                <w:color w:val="auto"/>
              </w:rPr>
            </w:pPr>
          </w:p>
        </w:tc>
        <w:tc>
          <w:tcPr>
            <w:tcW w:w="940" w:type="dxa"/>
            <w:vAlign w:val="bottom"/>
          </w:tcPr>
          <w:p>
            <w:pPr>
              <w:jc w:val="center"/>
              <w:ind w:right="130"/>
              <w:spacing w:after="0"/>
              <w:rPr>
                <w:sz w:val="20"/>
                <w:szCs w:val="20"/>
                <w:color w:val="auto"/>
              </w:rPr>
            </w:pPr>
            <w:r>
              <w:rPr>
                <w:rFonts w:ascii="Arial" w:cs="Arial" w:eastAsia="Arial" w:hAnsi="Arial"/>
                <w:sz w:val="18"/>
                <w:szCs w:val="18"/>
                <w:color w:val="auto"/>
                <w:w w:val="89"/>
              </w:rPr>
              <w:t>PERSON</w:t>
            </w:r>
          </w:p>
        </w:tc>
        <w:tc>
          <w:tcPr>
            <w:tcW w:w="1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520" w:type="dxa"/>
            <w:vAlign w:val="bottom"/>
            <w:tcBorders>
              <w:left w:val="single" w:sz="8" w:color="auto"/>
            </w:tcBorders>
          </w:tcPr>
          <w:p>
            <w:pPr>
              <w:spacing w:after="0"/>
              <w:rPr>
                <w:sz w:val="5"/>
                <w:szCs w:val="5"/>
                <w:color w:val="auto"/>
              </w:rPr>
            </w:pPr>
          </w:p>
        </w:tc>
        <w:tc>
          <w:tcPr>
            <w:tcW w:w="940" w:type="dxa"/>
            <w:vAlign w:val="bottom"/>
            <w:vMerge w:val="restart"/>
          </w:tcPr>
          <w:p>
            <w:pPr>
              <w:jc w:val="center"/>
              <w:ind w:right="13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520" w:type="dxa"/>
            <w:vAlign w:val="bottom"/>
            <w:tcBorders>
              <w:left w:val="single" w:sz="8" w:color="auto"/>
            </w:tcBorders>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2"/>
                <w:szCs w:val="12"/>
                <w:color w:val="auto"/>
              </w:rPr>
            </w:pPr>
          </w:p>
        </w:tc>
        <w:tc>
          <w:tcPr>
            <w:tcW w:w="9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520" w:type="dxa"/>
            <w:vAlign w:val="bottom"/>
            <w:tcBorders>
              <w:lef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9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520" w:type="dxa"/>
            <w:vAlign w:val="bottom"/>
            <w:tcBorders>
              <w:left w:val="single" w:sz="8" w:color="auto"/>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2,783,954</w:t>
            </w:r>
          </w:p>
        </w:tc>
        <w:tc>
          <w:tcPr>
            <w:tcW w:w="0" w:type="dxa"/>
            <w:vAlign w:val="bottom"/>
          </w:tcPr>
          <w:p>
            <w:pPr>
              <w:spacing w:after="0"/>
              <w:rPr>
                <w:sz w:val="1"/>
                <w:szCs w:val="1"/>
                <w:color w:val="auto"/>
              </w:rPr>
            </w:pPr>
          </w:p>
        </w:tc>
      </w:tr>
      <w:tr>
        <w:trPr>
          <w:trHeight w:val="230"/>
        </w:trPr>
        <w:tc>
          <w:tcPr>
            <w:tcW w:w="52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40" w:type="dxa"/>
            <w:vAlign w:val="bottom"/>
            <w:gridSpan w:val="2"/>
          </w:tcPr>
          <w:p>
            <w:pPr>
              <w:spacing w:after="0"/>
              <w:rPr>
                <w:sz w:val="20"/>
                <w:szCs w:val="20"/>
                <w:color w:val="auto"/>
              </w:rPr>
            </w:pPr>
            <w:r>
              <w:rPr>
                <w:rFonts w:ascii="Arial" w:cs="Arial" w:eastAsia="Arial" w:hAnsi="Arial"/>
                <w:sz w:val="16"/>
                <w:szCs w:val="16"/>
                <w:color w:val="auto"/>
                <w:w w:val="72"/>
              </w:rPr>
              <w:t>Amount</w:t>
            </w:r>
          </w:p>
        </w:tc>
        <w:tc>
          <w:tcPr>
            <w:tcW w:w="94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52"/>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2,783,954</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92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52"/>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Not Applicable</w:t>
            </w: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92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6.75%</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92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HC</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192576106</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520" w:type="dxa"/>
            <w:vAlign w:val="bottom"/>
            <w:tcBorders>
              <w:top w:val="single" w:sz="8" w:color="auto"/>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920" w:type="dxa"/>
            <w:vAlign w:val="bottom"/>
            <w:tcBorders>
              <w:top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520" w:type="dxa"/>
            <w:vAlign w:val="bottom"/>
            <w:tcBorders>
              <w:left w:val="single" w:sz="8" w:color="auto"/>
              <w:right w:val="single" w:sz="8" w:color="auto"/>
            </w:tcBorders>
          </w:tcPr>
          <w:p>
            <w:pPr>
              <w:spacing w:after="0"/>
              <w:rPr>
                <w:sz w:val="20"/>
                <w:szCs w:val="20"/>
                <w:color w:val="auto"/>
              </w:rPr>
            </w:pPr>
          </w:p>
        </w:tc>
        <w:tc>
          <w:tcPr>
            <w:tcW w:w="1092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S.S. or I.R.S. Identification No. of Above Person</w:t>
            </w:r>
          </w:p>
        </w:tc>
        <w:tc>
          <w:tcPr>
            <w:tcW w:w="0" w:type="dxa"/>
            <w:vAlign w:val="bottom"/>
          </w:tcPr>
          <w:p>
            <w:pPr>
              <w:spacing w:after="0"/>
              <w:rPr>
                <w:sz w:val="1"/>
                <w:szCs w:val="1"/>
                <w:color w:val="auto"/>
              </w:rPr>
            </w:pPr>
          </w:p>
        </w:tc>
      </w:tr>
      <w:tr>
        <w:trPr>
          <w:trHeight w:val="445"/>
        </w:trPr>
        <w:tc>
          <w:tcPr>
            <w:tcW w:w="520" w:type="dxa"/>
            <w:vAlign w:val="bottom"/>
            <w:tcBorders>
              <w:left w:val="single" w:sz="8" w:color="auto"/>
              <w:right w:val="single" w:sz="8" w:color="auto"/>
            </w:tcBorders>
          </w:tcPr>
          <w:p>
            <w:pPr>
              <w:spacing w:after="0"/>
              <w:rPr>
                <w:sz w:val="24"/>
                <w:szCs w:val="24"/>
                <w:color w:val="auto"/>
              </w:rPr>
            </w:pPr>
          </w:p>
        </w:tc>
        <w:tc>
          <w:tcPr>
            <w:tcW w:w="1092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Columbia Management</w:t>
            </w:r>
          </w:p>
        </w:tc>
        <w:tc>
          <w:tcPr>
            <w:tcW w:w="0" w:type="dxa"/>
            <w:vAlign w:val="bottom"/>
          </w:tcPr>
          <w:p>
            <w:pPr>
              <w:spacing w:after="0"/>
              <w:rPr>
                <w:sz w:val="1"/>
                <w:szCs w:val="1"/>
                <w:color w:val="auto"/>
              </w:rPr>
            </w:pPr>
          </w:p>
        </w:tc>
      </w:tr>
      <w:tr>
        <w:trPr>
          <w:trHeight w:val="216"/>
        </w:trPr>
        <w:tc>
          <w:tcPr>
            <w:tcW w:w="520" w:type="dxa"/>
            <w:vAlign w:val="bottom"/>
            <w:tcBorders>
              <w:left w:val="single" w:sz="8" w:color="auto"/>
              <w:right w:val="single" w:sz="8" w:color="auto"/>
            </w:tcBorders>
          </w:tcPr>
          <w:p>
            <w:pPr>
              <w:spacing w:after="0"/>
              <w:rPr>
                <w:sz w:val="18"/>
                <w:szCs w:val="18"/>
                <w:color w:val="auto"/>
              </w:rPr>
            </w:pPr>
          </w:p>
        </w:tc>
        <w:tc>
          <w:tcPr>
            <w:tcW w:w="1092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Investment Advisers, LLC</w:t>
            </w:r>
          </w:p>
        </w:tc>
        <w:tc>
          <w:tcPr>
            <w:tcW w:w="0" w:type="dxa"/>
            <w:vAlign w:val="bottom"/>
          </w:tcPr>
          <w:p>
            <w:pPr>
              <w:spacing w:after="0"/>
              <w:rPr>
                <w:sz w:val="1"/>
                <w:szCs w:val="1"/>
                <w:color w:val="auto"/>
              </w:rPr>
            </w:pPr>
          </w:p>
        </w:tc>
      </w:tr>
      <w:tr>
        <w:trPr>
          <w:trHeight w:val="237"/>
        </w:trPr>
        <w:tc>
          <w:tcPr>
            <w:tcW w:w="520" w:type="dxa"/>
            <w:vAlign w:val="bottom"/>
            <w:tcBorders>
              <w:left w:val="single" w:sz="8" w:color="auto"/>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w w:val="90"/>
              </w:rPr>
              <w:t>IRS No. 41-1533211</w:t>
            </w:r>
          </w:p>
        </w:tc>
        <w:tc>
          <w:tcPr>
            <w:tcW w:w="9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20" w:type="dxa"/>
            <w:vAlign w:val="bottom"/>
            <w:tcBorders>
              <w:left w:val="single" w:sz="8" w:color="auto"/>
              <w:right w:val="single" w:sz="8" w:color="auto"/>
            </w:tcBorders>
          </w:tcPr>
          <w:p>
            <w:pPr>
              <w:jc w:val="right"/>
              <w:ind w:right="30"/>
              <w:spacing w:after="0" w:line="170" w:lineRule="exact"/>
              <w:rPr>
                <w:sz w:val="20"/>
                <w:szCs w:val="20"/>
                <w:color w:val="auto"/>
              </w:rPr>
            </w:pPr>
            <w:r>
              <w:rPr>
                <w:rFonts w:ascii="Arial" w:cs="Arial" w:eastAsia="Arial" w:hAnsi="Arial"/>
                <w:sz w:val="18"/>
                <w:szCs w:val="18"/>
                <w:color w:val="auto"/>
              </w:rPr>
              <w:t>2)</w:t>
            </w:r>
          </w:p>
        </w:tc>
        <w:tc>
          <w:tcPr>
            <w:tcW w:w="10920" w:type="dxa"/>
            <w:vAlign w:val="bottom"/>
            <w:tcBorders>
              <w:right w:val="single" w:sz="8" w:color="auto"/>
            </w:tcBorders>
            <w:gridSpan w:val="6"/>
          </w:tcPr>
          <w:p>
            <w:pPr>
              <w:ind w:left="18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520" w:type="dxa"/>
            <w:vAlign w:val="bottom"/>
            <w:tcBorders>
              <w:left w:val="single" w:sz="8" w:color="auto"/>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440" w:type="dxa"/>
            <w:vAlign w:val="bottom"/>
            <w:gridSpan w:val="2"/>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9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10920" w:type="dxa"/>
            <w:vAlign w:val="bottom"/>
            <w:tcBorders>
              <w:bottom w:val="single" w:sz="8" w:color="auto"/>
              <w:right w:val="single" w:sz="8" w:color="auto"/>
            </w:tcBorders>
            <w:gridSpan w:val="6"/>
          </w:tcPr>
          <w:p>
            <w:pPr>
              <w:ind w:left="80"/>
              <w:spacing w:after="0"/>
              <w:rPr>
                <w:sz w:val="20"/>
                <w:szCs w:val="20"/>
                <w:color w:val="auto"/>
              </w:rPr>
            </w:pPr>
            <w:r>
              <w:rPr>
                <w:rFonts w:ascii="Arial" w:cs="Arial" w:eastAsia="Arial" w:hAnsi="Arial"/>
                <w:sz w:val="18"/>
                <w:szCs w:val="18"/>
                <w:color w:val="auto"/>
                <w:w w:val="95"/>
              </w:rPr>
              <w:t>* This filing describes the reporting person’s relationship with other persons, but the reporting person does not affirm the existence of a group.</w:t>
            </w:r>
          </w:p>
        </w:tc>
        <w:tc>
          <w:tcPr>
            <w:tcW w:w="0" w:type="dxa"/>
            <w:vAlign w:val="bottom"/>
          </w:tcPr>
          <w:p>
            <w:pPr>
              <w:spacing w:after="0"/>
              <w:rPr>
                <w:sz w:val="1"/>
                <w:szCs w:val="1"/>
                <w:color w:val="auto"/>
              </w:rPr>
            </w:pPr>
          </w:p>
        </w:tc>
      </w:tr>
      <w:tr>
        <w:trPr>
          <w:trHeight w:val="230"/>
        </w:trPr>
        <w:tc>
          <w:tcPr>
            <w:tcW w:w="52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240" w:type="dxa"/>
            <w:vAlign w:val="bottom"/>
            <w:gridSpan w:val="3"/>
          </w:tcPr>
          <w:p>
            <w:pPr>
              <w:ind w:left="180"/>
              <w:spacing w:after="0"/>
              <w:rPr>
                <w:sz w:val="20"/>
                <w:szCs w:val="20"/>
                <w:color w:val="auto"/>
              </w:rPr>
            </w:pPr>
            <w:r>
              <w:rPr>
                <w:rFonts w:ascii="Arial" w:cs="Arial" w:eastAsia="Arial" w:hAnsi="Arial"/>
                <w:sz w:val="18"/>
                <w:szCs w:val="18"/>
                <w:color w:val="auto"/>
                <w:w w:val="89"/>
              </w:rPr>
              <w:t>SEC Use Only</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20" w:type="dxa"/>
            <w:vAlign w:val="bottom"/>
            <w:tcBorders>
              <w:left w:val="single" w:sz="8" w:color="auto"/>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40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2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92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1"/>
              </w:rPr>
              <w:t>Minnesota</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Borders>
              <w:lef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9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80" w:type="dxa"/>
            <w:vAlign w:val="bottom"/>
            <w:tcBorders>
              <w:left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6"/>
              </w:rPr>
              <w:t>NUMBER OF</w:t>
            </w:r>
          </w:p>
        </w:tc>
        <w:tc>
          <w:tcPr>
            <w:tcW w:w="12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520" w:type="dxa"/>
            <w:vAlign w:val="bottom"/>
            <w:tcBorders>
              <w:left w:val="single" w:sz="8" w:color="auto"/>
            </w:tcBorders>
          </w:tcPr>
          <w:p>
            <w:pPr>
              <w:spacing w:after="0"/>
              <w:rPr>
                <w:sz w:val="20"/>
                <w:szCs w:val="20"/>
                <w:color w:val="auto"/>
              </w:rPr>
            </w:pPr>
          </w:p>
        </w:tc>
        <w:tc>
          <w:tcPr>
            <w:tcW w:w="960" w:type="dxa"/>
            <w:vAlign w:val="bottom"/>
          </w:tcPr>
          <w:p>
            <w:pPr>
              <w:jc w:val="center"/>
              <w:ind w:right="150"/>
              <w:spacing w:after="0"/>
              <w:rPr>
                <w:sz w:val="20"/>
                <w:szCs w:val="20"/>
                <w:color w:val="auto"/>
              </w:rPr>
            </w:pPr>
            <w:r>
              <w:rPr>
                <w:rFonts w:ascii="Arial" w:cs="Arial" w:eastAsia="Arial" w:hAnsi="Arial"/>
                <w:sz w:val="18"/>
                <w:szCs w:val="18"/>
                <w:color w:val="auto"/>
                <w:w w:val="91"/>
              </w:rPr>
              <w:t>SHARES</w:t>
            </w:r>
          </w:p>
        </w:tc>
        <w:tc>
          <w:tcPr>
            <w:tcW w:w="1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9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3"/>
          </w:tcPr>
          <w:p>
            <w:pPr>
              <w:jc w:val="center"/>
              <w:ind w:left="90"/>
              <w:spacing w:after="0"/>
              <w:rPr>
                <w:sz w:val="20"/>
                <w:szCs w:val="20"/>
                <w:color w:val="auto"/>
              </w:rPr>
            </w:pPr>
            <w:r>
              <w:rPr>
                <w:rFonts w:ascii="Arial" w:cs="Arial" w:eastAsia="Arial" w:hAnsi="Arial"/>
                <w:sz w:val="18"/>
                <w:szCs w:val="18"/>
                <w:color w:val="auto"/>
                <w:w w:val="99"/>
              </w:rPr>
              <w:t>BENEFICIALLY</w:t>
            </w:r>
          </w:p>
        </w:tc>
        <w:tc>
          <w:tcPr>
            <w:tcW w:w="1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1,957,628</w:t>
            </w:r>
          </w:p>
        </w:tc>
        <w:tc>
          <w:tcPr>
            <w:tcW w:w="0" w:type="dxa"/>
            <w:vAlign w:val="bottom"/>
          </w:tcPr>
          <w:p>
            <w:pPr>
              <w:spacing w:after="0"/>
              <w:rPr>
                <w:sz w:val="1"/>
                <w:szCs w:val="1"/>
                <w:color w:val="auto"/>
              </w:rPr>
            </w:pPr>
          </w:p>
        </w:tc>
      </w:tr>
      <w:tr>
        <w:trPr>
          <w:trHeight w:val="230"/>
        </w:trPr>
        <w:tc>
          <w:tcPr>
            <w:tcW w:w="1480" w:type="dxa"/>
            <w:vAlign w:val="bottom"/>
            <w:tcBorders>
              <w:left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7"/>
              </w:rPr>
              <w:t>OWNED BY</w:t>
            </w:r>
          </w:p>
        </w:tc>
        <w:tc>
          <w:tcPr>
            <w:tcW w:w="120" w:type="dxa"/>
            <w:vAlign w:val="bottom"/>
            <w:tcBorders>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20" w:type="dxa"/>
            <w:vAlign w:val="bottom"/>
            <w:tcBorders>
              <w:left w:val="single" w:sz="8" w:color="auto"/>
            </w:tcBorders>
          </w:tcPr>
          <w:p>
            <w:pPr>
              <w:spacing w:after="0"/>
              <w:rPr>
                <w:sz w:val="15"/>
                <w:szCs w:val="15"/>
                <w:color w:val="auto"/>
              </w:rPr>
            </w:pPr>
          </w:p>
        </w:tc>
        <w:tc>
          <w:tcPr>
            <w:tcW w:w="960" w:type="dxa"/>
            <w:vAlign w:val="bottom"/>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1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5"/>
                <w:szCs w:val="15"/>
                <w:color w:val="auto"/>
              </w:rPr>
            </w:pPr>
          </w:p>
        </w:tc>
        <w:tc>
          <w:tcPr>
            <w:tcW w:w="92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80" w:type="dxa"/>
            <w:vAlign w:val="bottom"/>
            <w:tcBorders>
              <w:left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0" w:type="dxa"/>
            <w:vAlign w:val="bottom"/>
            <w:tcBorders>
              <w:left w:val="single" w:sz="8" w:color="auto"/>
            </w:tcBorders>
          </w:tcPr>
          <w:p>
            <w:pPr>
              <w:spacing w:after="0"/>
              <w:rPr>
                <w:sz w:val="18"/>
                <w:szCs w:val="18"/>
                <w:color w:val="auto"/>
              </w:rPr>
            </w:pPr>
          </w:p>
        </w:tc>
        <w:tc>
          <w:tcPr>
            <w:tcW w:w="960" w:type="dxa"/>
            <w:vAlign w:val="bottom"/>
          </w:tcPr>
          <w:p>
            <w:pPr>
              <w:jc w:val="center"/>
              <w:ind w:right="150"/>
              <w:spacing w:after="0"/>
              <w:rPr>
                <w:sz w:val="20"/>
                <w:szCs w:val="20"/>
                <w:color w:val="auto"/>
              </w:rPr>
            </w:pPr>
            <w:r>
              <w:rPr>
                <w:rFonts w:ascii="Arial" w:cs="Arial" w:eastAsia="Arial" w:hAnsi="Arial"/>
                <w:sz w:val="18"/>
                <w:szCs w:val="18"/>
                <w:color w:val="auto"/>
                <w:w w:val="89"/>
              </w:rPr>
              <w:t>PERSON</w:t>
            </w: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520" w:type="dxa"/>
            <w:vAlign w:val="bottom"/>
            <w:tcBorders>
              <w:left w:val="single" w:sz="8" w:color="auto"/>
            </w:tcBorders>
          </w:tcPr>
          <w:p>
            <w:pPr>
              <w:spacing w:after="0"/>
              <w:rPr>
                <w:sz w:val="5"/>
                <w:szCs w:val="5"/>
                <w:color w:val="auto"/>
              </w:rPr>
            </w:pPr>
          </w:p>
        </w:tc>
        <w:tc>
          <w:tcPr>
            <w:tcW w:w="960" w:type="dxa"/>
            <w:vAlign w:val="bottom"/>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120" w:type="dxa"/>
            <w:vAlign w:val="bottom"/>
            <w:tcBorders>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520" w:type="dxa"/>
            <w:vAlign w:val="bottom"/>
            <w:tcBorders>
              <w:left w:val="single" w:sz="8" w:color="auto"/>
            </w:tcBorders>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2"/>
                <w:szCs w:val="12"/>
                <w:color w:val="auto"/>
              </w:rPr>
            </w:pPr>
          </w:p>
        </w:tc>
        <w:tc>
          <w:tcPr>
            <w:tcW w:w="9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520" w:type="dxa"/>
            <w:vAlign w:val="bottom"/>
            <w:tcBorders>
              <w:lef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9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520" w:type="dxa"/>
            <w:vAlign w:val="bottom"/>
            <w:tcBorders>
              <w:left w:val="single" w:sz="8" w:color="auto"/>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2,078,621</w:t>
            </w:r>
          </w:p>
        </w:tc>
        <w:tc>
          <w:tcPr>
            <w:tcW w:w="0" w:type="dxa"/>
            <w:vAlign w:val="bottom"/>
          </w:tcPr>
          <w:p>
            <w:pPr>
              <w:spacing w:after="0"/>
              <w:rPr>
                <w:sz w:val="1"/>
                <w:szCs w:val="1"/>
                <w:color w:val="auto"/>
              </w:rPr>
            </w:pPr>
          </w:p>
        </w:tc>
      </w:tr>
      <w:tr>
        <w:trPr>
          <w:trHeight w:val="230"/>
        </w:trPr>
        <w:tc>
          <w:tcPr>
            <w:tcW w:w="52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440" w:type="dxa"/>
            <w:vAlign w:val="bottom"/>
            <w:gridSpan w:val="2"/>
          </w:tcPr>
          <w:p>
            <w:pPr>
              <w:spacing w:after="0"/>
              <w:rPr>
                <w:sz w:val="20"/>
                <w:szCs w:val="20"/>
                <w:color w:val="auto"/>
              </w:rPr>
            </w:pPr>
            <w:r>
              <w:rPr>
                <w:rFonts w:ascii="Arial" w:cs="Arial" w:eastAsia="Arial" w:hAnsi="Arial"/>
                <w:sz w:val="16"/>
                <w:szCs w:val="16"/>
                <w:color w:val="auto"/>
                <w:w w:val="72"/>
              </w:rPr>
              <w:t>Amount</w:t>
            </w:r>
          </w:p>
        </w:tc>
        <w:tc>
          <w:tcPr>
            <w:tcW w:w="94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52"/>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2,078,621</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92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52"/>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Not Applicable</w:t>
            </w: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92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92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520" w:type="dxa"/>
            <w:vAlign w:val="bottom"/>
            <w:tcBorders>
              <w:left w:val="single" w:sz="8" w:color="auto"/>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IA</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1(a)</w:t>
            </w:r>
          </w:p>
        </w:tc>
        <w:tc>
          <w:tcPr>
            <w:tcW w:w="3280" w:type="dxa"/>
            <w:vAlign w:val="bottom"/>
          </w:tcPr>
          <w:p>
            <w:pPr>
              <w:ind w:left="100"/>
              <w:spacing w:after="0"/>
              <w:rPr>
                <w:sz w:val="20"/>
                <w:szCs w:val="20"/>
                <w:color w:val="auto"/>
              </w:rPr>
            </w:pPr>
            <w:r>
              <w:rPr>
                <w:rFonts w:ascii="Arial" w:cs="Arial" w:eastAsia="Arial" w:hAnsi="Arial"/>
                <w:sz w:val="18"/>
                <w:szCs w:val="18"/>
                <w:color w:val="auto"/>
              </w:rPr>
              <w:t>Name of Issuer:</w:t>
            </w:r>
          </w:p>
        </w:tc>
        <w:tc>
          <w:tcPr>
            <w:tcW w:w="3300" w:type="dxa"/>
            <w:vAlign w:val="bottom"/>
          </w:tcPr>
          <w:p>
            <w:pPr>
              <w:ind w:left="460"/>
              <w:spacing w:after="0"/>
              <w:rPr>
                <w:sz w:val="20"/>
                <w:szCs w:val="20"/>
                <w:color w:val="auto"/>
              </w:rPr>
            </w:pPr>
            <w:r>
              <w:rPr>
                <w:rFonts w:ascii="Arial" w:cs="Arial" w:eastAsia="Arial" w:hAnsi="Arial"/>
                <w:sz w:val="18"/>
                <w:szCs w:val="18"/>
                <w:color w:val="auto"/>
              </w:rPr>
              <w:t>Cohu, Inc</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1(b)</w:t>
            </w:r>
          </w:p>
        </w:tc>
        <w:tc>
          <w:tcPr>
            <w:tcW w:w="3280" w:type="dxa"/>
            <w:vAlign w:val="bottom"/>
          </w:tcPr>
          <w:p>
            <w:pPr>
              <w:ind w:left="100"/>
              <w:spacing w:after="0"/>
              <w:rPr>
                <w:sz w:val="20"/>
                <w:szCs w:val="20"/>
                <w:color w:val="auto"/>
              </w:rPr>
            </w:pPr>
            <w:r>
              <w:rPr>
                <w:rFonts w:ascii="Arial" w:cs="Arial" w:eastAsia="Arial" w:hAnsi="Arial"/>
                <w:sz w:val="18"/>
                <w:szCs w:val="18"/>
                <w:color w:val="auto"/>
              </w:rPr>
              <w:t>Address of Issuer’s Principal</w:t>
            </w:r>
          </w:p>
        </w:tc>
        <w:tc>
          <w:tcPr>
            <w:tcW w:w="3300" w:type="dxa"/>
            <w:vAlign w:val="bottom"/>
          </w:tcPr>
          <w:p>
            <w:pPr>
              <w:ind w:left="460"/>
              <w:spacing w:after="0"/>
              <w:rPr>
                <w:sz w:val="20"/>
                <w:szCs w:val="20"/>
                <w:color w:val="auto"/>
              </w:rPr>
            </w:pPr>
            <w:r>
              <w:rPr>
                <w:rFonts w:ascii="Arial" w:cs="Arial" w:eastAsia="Arial" w:hAnsi="Arial"/>
                <w:sz w:val="18"/>
                <w:szCs w:val="18"/>
                <w:color w:val="auto"/>
              </w:rPr>
              <w:t>12367 Crosthwaite Circle</w:t>
            </w:r>
          </w:p>
        </w:tc>
      </w:tr>
      <w:tr>
        <w:trPr>
          <w:trHeight w:val="230"/>
        </w:trPr>
        <w:tc>
          <w:tcPr>
            <w:tcW w:w="380" w:type="dxa"/>
            <w:vAlign w:val="bottom"/>
          </w:tcPr>
          <w:p>
            <w:pPr>
              <w:spacing w:after="0"/>
              <w:rPr>
                <w:sz w:val="20"/>
                <w:szCs w:val="20"/>
                <w:color w:val="auto"/>
              </w:rPr>
            </w:pPr>
          </w:p>
        </w:tc>
        <w:tc>
          <w:tcPr>
            <w:tcW w:w="3280" w:type="dxa"/>
            <w:vAlign w:val="bottom"/>
          </w:tcPr>
          <w:p>
            <w:pPr>
              <w:ind w:left="100"/>
              <w:spacing w:after="0"/>
              <w:rPr>
                <w:sz w:val="20"/>
                <w:szCs w:val="20"/>
                <w:color w:val="auto"/>
              </w:rPr>
            </w:pPr>
            <w:r>
              <w:rPr>
                <w:rFonts w:ascii="Arial" w:cs="Arial" w:eastAsia="Arial" w:hAnsi="Arial"/>
                <w:sz w:val="18"/>
                <w:szCs w:val="18"/>
                <w:color w:val="auto"/>
              </w:rPr>
              <w:t>Executive Offices:</w:t>
            </w:r>
          </w:p>
        </w:tc>
        <w:tc>
          <w:tcPr>
            <w:tcW w:w="3300" w:type="dxa"/>
            <w:vAlign w:val="bottom"/>
          </w:tcPr>
          <w:p>
            <w:pPr>
              <w:ind w:left="460"/>
              <w:spacing w:after="0"/>
              <w:rPr>
                <w:sz w:val="20"/>
                <w:szCs w:val="20"/>
                <w:color w:val="auto"/>
              </w:rPr>
            </w:pPr>
            <w:r>
              <w:rPr>
                <w:rFonts w:ascii="Arial" w:cs="Arial" w:eastAsia="Arial" w:hAnsi="Arial"/>
                <w:sz w:val="18"/>
                <w:szCs w:val="18"/>
                <w:color w:val="auto"/>
              </w:rPr>
              <w:t>Poway, CA 92064-6817</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2(a)</w:t>
            </w:r>
          </w:p>
        </w:tc>
        <w:tc>
          <w:tcPr>
            <w:tcW w:w="3280" w:type="dxa"/>
            <w:vAlign w:val="bottom"/>
          </w:tcPr>
          <w:p>
            <w:pPr>
              <w:ind w:left="100"/>
              <w:spacing w:after="0"/>
              <w:rPr>
                <w:sz w:val="20"/>
                <w:szCs w:val="20"/>
                <w:color w:val="auto"/>
              </w:rPr>
            </w:pPr>
            <w:r>
              <w:rPr>
                <w:rFonts w:ascii="Arial" w:cs="Arial" w:eastAsia="Arial" w:hAnsi="Arial"/>
                <w:sz w:val="18"/>
                <w:szCs w:val="18"/>
                <w:color w:val="auto"/>
              </w:rPr>
              <w:t>Name of Person Filing:</w:t>
            </w:r>
          </w:p>
        </w:tc>
        <w:tc>
          <w:tcPr>
            <w:tcW w:w="3300" w:type="dxa"/>
            <w:vAlign w:val="bottom"/>
          </w:tcPr>
          <w:p>
            <w:pPr>
              <w:ind w:left="460"/>
              <w:spacing w:after="0"/>
              <w:rPr>
                <w:sz w:val="20"/>
                <w:szCs w:val="20"/>
                <w:color w:val="auto"/>
              </w:rPr>
            </w:pPr>
            <w:r>
              <w:rPr>
                <w:rFonts w:ascii="Arial" w:cs="Arial" w:eastAsia="Arial" w:hAnsi="Arial"/>
                <w:sz w:val="18"/>
                <w:szCs w:val="18"/>
                <w:color w:val="auto"/>
                <w:w w:val="98"/>
              </w:rPr>
              <w:t>(a) Ameriprise Financial, Inc. (“AFI”)</w:t>
            </w:r>
          </w:p>
        </w:tc>
      </w:tr>
      <w:tr>
        <w:trPr>
          <w:trHeight w:val="216"/>
        </w:trPr>
        <w:tc>
          <w:tcPr>
            <w:tcW w:w="3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300" w:type="dxa"/>
            <w:vAlign w:val="bottom"/>
          </w:tcPr>
          <w:p>
            <w:pPr>
              <w:ind w:left="460"/>
              <w:spacing w:after="0"/>
              <w:rPr>
                <w:sz w:val="20"/>
                <w:szCs w:val="20"/>
                <w:color w:val="auto"/>
              </w:rPr>
            </w:pPr>
            <w:r>
              <w:rPr>
                <w:rFonts w:ascii="Arial" w:cs="Arial" w:eastAsia="Arial" w:hAnsi="Arial"/>
                <w:sz w:val="18"/>
                <w:szCs w:val="18"/>
                <w:color w:val="auto"/>
                <w:w w:val="92"/>
              </w:rPr>
              <w:t>(b) Columbia Management Investment</w:t>
            </w:r>
          </w:p>
        </w:tc>
      </w:tr>
      <w:tr>
        <w:trPr>
          <w:trHeight w:val="230"/>
        </w:trPr>
        <w:tc>
          <w:tcPr>
            <w:tcW w:w="3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300" w:type="dxa"/>
            <w:vAlign w:val="bottom"/>
          </w:tcPr>
          <w:p>
            <w:pPr>
              <w:ind w:left="460"/>
              <w:spacing w:after="0"/>
              <w:rPr>
                <w:sz w:val="20"/>
                <w:szCs w:val="20"/>
                <w:color w:val="auto"/>
              </w:rPr>
            </w:pPr>
            <w:r>
              <w:rPr>
                <w:rFonts w:ascii="Arial" w:cs="Arial" w:eastAsia="Arial" w:hAnsi="Arial"/>
                <w:sz w:val="18"/>
                <w:szCs w:val="18"/>
                <w:color w:val="auto"/>
              </w:rPr>
              <w:t>Advisers, LLC (“CMIA”)</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2(b)</w:t>
            </w:r>
          </w:p>
        </w:tc>
        <w:tc>
          <w:tcPr>
            <w:tcW w:w="3280" w:type="dxa"/>
            <w:vAlign w:val="bottom"/>
          </w:tcPr>
          <w:p>
            <w:pPr>
              <w:ind w:left="100"/>
              <w:spacing w:after="0"/>
              <w:rPr>
                <w:sz w:val="20"/>
                <w:szCs w:val="20"/>
                <w:color w:val="auto"/>
              </w:rPr>
            </w:pPr>
            <w:r>
              <w:rPr>
                <w:rFonts w:ascii="Arial" w:cs="Arial" w:eastAsia="Arial" w:hAnsi="Arial"/>
                <w:sz w:val="18"/>
                <w:szCs w:val="18"/>
                <w:color w:val="auto"/>
              </w:rPr>
              <w:t>Address of Principal Business Office:</w:t>
            </w:r>
          </w:p>
        </w:tc>
        <w:tc>
          <w:tcPr>
            <w:tcW w:w="3300" w:type="dxa"/>
            <w:vAlign w:val="bottom"/>
          </w:tcPr>
          <w:p>
            <w:pPr>
              <w:ind w:left="460"/>
              <w:spacing w:after="0"/>
              <w:rPr>
                <w:sz w:val="20"/>
                <w:szCs w:val="20"/>
                <w:color w:val="auto"/>
              </w:rPr>
            </w:pPr>
            <w:r>
              <w:rPr>
                <w:rFonts w:ascii="Arial" w:cs="Arial" w:eastAsia="Arial" w:hAnsi="Arial"/>
                <w:sz w:val="18"/>
                <w:szCs w:val="18"/>
                <w:color w:val="auto"/>
              </w:rPr>
              <w:t>(a) Ameriprise Financial, Inc.</w:t>
            </w:r>
          </w:p>
        </w:tc>
      </w:tr>
      <w:tr>
        <w:trPr>
          <w:trHeight w:val="216"/>
        </w:trPr>
        <w:tc>
          <w:tcPr>
            <w:tcW w:w="3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300" w:type="dxa"/>
            <w:vAlign w:val="bottom"/>
          </w:tcPr>
          <w:p>
            <w:pPr>
              <w:ind w:left="460"/>
              <w:spacing w:after="0"/>
              <w:rPr>
                <w:sz w:val="20"/>
                <w:szCs w:val="20"/>
                <w:color w:val="auto"/>
              </w:rPr>
            </w:pPr>
            <w:r>
              <w:rPr>
                <w:rFonts w:ascii="Arial" w:cs="Arial" w:eastAsia="Arial" w:hAnsi="Arial"/>
                <w:sz w:val="18"/>
                <w:szCs w:val="18"/>
                <w:color w:val="auto"/>
              </w:rPr>
              <w:t>145 Ameriprise Financial Center</w:t>
            </w:r>
          </w:p>
        </w:tc>
      </w:tr>
      <w:tr>
        <w:trPr>
          <w:trHeight w:val="216"/>
        </w:trPr>
        <w:tc>
          <w:tcPr>
            <w:tcW w:w="3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300" w:type="dxa"/>
            <w:vAlign w:val="bottom"/>
          </w:tcPr>
          <w:p>
            <w:pPr>
              <w:ind w:left="460"/>
              <w:spacing w:after="0"/>
              <w:rPr>
                <w:sz w:val="20"/>
                <w:szCs w:val="20"/>
                <w:color w:val="auto"/>
              </w:rPr>
            </w:pPr>
            <w:r>
              <w:rPr>
                <w:rFonts w:ascii="Arial" w:cs="Arial" w:eastAsia="Arial" w:hAnsi="Arial"/>
                <w:sz w:val="18"/>
                <w:szCs w:val="18"/>
                <w:color w:val="auto"/>
              </w:rPr>
              <w:t>Minneapolis, MN 55474</w:t>
            </w:r>
          </w:p>
        </w:tc>
      </w:tr>
      <w:tr>
        <w:trPr>
          <w:trHeight w:val="216"/>
        </w:trPr>
        <w:tc>
          <w:tcPr>
            <w:tcW w:w="3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300" w:type="dxa"/>
            <w:vAlign w:val="bottom"/>
          </w:tcPr>
          <w:p>
            <w:pPr>
              <w:ind w:left="460"/>
              <w:spacing w:after="0"/>
              <w:rPr>
                <w:sz w:val="20"/>
                <w:szCs w:val="20"/>
                <w:color w:val="auto"/>
              </w:rPr>
            </w:pPr>
            <w:r>
              <w:rPr>
                <w:rFonts w:ascii="Arial" w:cs="Arial" w:eastAsia="Arial" w:hAnsi="Arial"/>
                <w:sz w:val="18"/>
                <w:szCs w:val="18"/>
                <w:color w:val="auto"/>
              </w:rPr>
              <w:t>(b) 225 Franklin St.</w:t>
            </w:r>
          </w:p>
        </w:tc>
      </w:tr>
      <w:tr>
        <w:trPr>
          <w:trHeight w:val="230"/>
        </w:trPr>
        <w:tc>
          <w:tcPr>
            <w:tcW w:w="3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300" w:type="dxa"/>
            <w:vAlign w:val="bottom"/>
          </w:tcPr>
          <w:p>
            <w:pPr>
              <w:ind w:left="460"/>
              <w:spacing w:after="0"/>
              <w:rPr>
                <w:sz w:val="20"/>
                <w:szCs w:val="20"/>
                <w:color w:val="auto"/>
              </w:rPr>
            </w:pPr>
            <w:r>
              <w:rPr>
                <w:rFonts w:ascii="Arial" w:cs="Arial" w:eastAsia="Arial" w:hAnsi="Arial"/>
                <w:sz w:val="18"/>
                <w:szCs w:val="18"/>
                <w:color w:val="auto"/>
              </w:rPr>
              <w:t>Boston, MA 02110</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2(c)</w:t>
            </w:r>
          </w:p>
        </w:tc>
        <w:tc>
          <w:tcPr>
            <w:tcW w:w="3280" w:type="dxa"/>
            <w:vAlign w:val="bottom"/>
          </w:tcPr>
          <w:p>
            <w:pPr>
              <w:ind w:left="100"/>
              <w:spacing w:after="0"/>
              <w:rPr>
                <w:sz w:val="20"/>
                <w:szCs w:val="20"/>
                <w:color w:val="auto"/>
              </w:rPr>
            </w:pPr>
            <w:r>
              <w:rPr>
                <w:rFonts w:ascii="Arial" w:cs="Arial" w:eastAsia="Arial" w:hAnsi="Arial"/>
                <w:sz w:val="18"/>
                <w:szCs w:val="18"/>
                <w:color w:val="auto"/>
              </w:rPr>
              <w:t>Citizenship:</w:t>
            </w:r>
          </w:p>
        </w:tc>
        <w:tc>
          <w:tcPr>
            <w:tcW w:w="3300" w:type="dxa"/>
            <w:vAlign w:val="bottom"/>
          </w:tcPr>
          <w:p>
            <w:pPr>
              <w:ind w:left="460"/>
              <w:spacing w:after="0"/>
              <w:rPr>
                <w:sz w:val="20"/>
                <w:szCs w:val="20"/>
                <w:color w:val="auto"/>
              </w:rPr>
            </w:pPr>
            <w:r>
              <w:rPr>
                <w:rFonts w:ascii="Arial" w:cs="Arial" w:eastAsia="Arial" w:hAnsi="Arial"/>
                <w:sz w:val="18"/>
                <w:szCs w:val="18"/>
                <w:color w:val="auto"/>
              </w:rPr>
              <w:t>(a) Delaware</w:t>
            </w:r>
          </w:p>
        </w:tc>
      </w:tr>
      <w:tr>
        <w:trPr>
          <w:trHeight w:val="230"/>
        </w:trPr>
        <w:tc>
          <w:tcPr>
            <w:tcW w:w="3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300" w:type="dxa"/>
            <w:vAlign w:val="bottom"/>
          </w:tcPr>
          <w:p>
            <w:pPr>
              <w:ind w:left="460"/>
              <w:spacing w:after="0"/>
              <w:rPr>
                <w:sz w:val="20"/>
                <w:szCs w:val="20"/>
                <w:color w:val="auto"/>
              </w:rPr>
            </w:pPr>
            <w:r>
              <w:rPr>
                <w:rFonts w:ascii="Arial" w:cs="Arial" w:eastAsia="Arial" w:hAnsi="Arial"/>
                <w:sz w:val="18"/>
                <w:szCs w:val="18"/>
                <w:color w:val="auto"/>
              </w:rPr>
              <w:t>(b) Minnesota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2(d)</w:t>
            </w:r>
          </w:p>
        </w:tc>
        <w:tc>
          <w:tcPr>
            <w:tcW w:w="3280" w:type="dxa"/>
            <w:vAlign w:val="bottom"/>
          </w:tcPr>
          <w:p>
            <w:pPr>
              <w:ind w:left="100"/>
              <w:spacing w:after="0"/>
              <w:rPr>
                <w:sz w:val="20"/>
                <w:szCs w:val="20"/>
                <w:color w:val="auto"/>
              </w:rPr>
            </w:pPr>
            <w:r>
              <w:rPr>
                <w:rFonts w:ascii="Arial" w:cs="Arial" w:eastAsia="Arial" w:hAnsi="Arial"/>
                <w:sz w:val="18"/>
                <w:szCs w:val="18"/>
                <w:color w:val="auto"/>
              </w:rPr>
              <w:t>Title of Class of Securities:</w:t>
            </w:r>
          </w:p>
        </w:tc>
        <w:tc>
          <w:tcPr>
            <w:tcW w:w="3300" w:type="dxa"/>
            <w:vAlign w:val="bottom"/>
          </w:tcPr>
          <w:p>
            <w:pPr>
              <w:ind w:left="460"/>
              <w:spacing w:after="0"/>
              <w:rPr>
                <w:sz w:val="20"/>
                <w:szCs w:val="20"/>
                <w:color w:val="auto"/>
              </w:rPr>
            </w:pPr>
            <w:r>
              <w:rPr>
                <w:rFonts w:ascii="Arial" w:cs="Arial" w:eastAsia="Arial" w:hAnsi="Arial"/>
                <w:sz w:val="18"/>
                <w:szCs w:val="18"/>
                <w:color w:val="auto"/>
              </w:rPr>
              <w:t>Common Stock</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2(e)</w:t>
            </w:r>
          </w:p>
        </w:tc>
        <w:tc>
          <w:tcPr>
            <w:tcW w:w="3280" w:type="dxa"/>
            <w:vAlign w:val="bottom"/>
          </w:tcPr>
          <w:p>
            <w:pPr>
              <w:ind w:left="100"/>
              <w:spacing w:after="0"/>
              <w:rPr>
                <w:sz w:val="20"/>
                <w:szCs w:val="20"/>
                <w:color w:val="auto"/>
              </w:rPr>
            </w:pPr>
            <w:r>
              <w:rPr>
                <w:rFonts w:ascii="Arial" w:cs="Arial" w:eastAsia="Arial" w:hAnsi="Arial"/>
                <w:sz w:val="18"/>
                <w:szCs w:val="18"/>
                <w:color w:val="auto"/>
              </w:rPr>
              <w:t>Cusip Number:</w:t>
            </w:r>
          </w:p>
        </w:tc>
        <w:tc>
          <w:tcPr>
            <w:tcW w:w="3300" w:type="dxa"/>
            <w:vAlign w:val="bottom"/>
          </w:tcPr>
          <w:p>
            <w:pPr>
              <w:ind w:left="460"/>
              <w:spacing w:after="0"/>
              <w:rPr>
                <w:sz w:val="20"/>
                <w:szCs w:val="20"/>
                <w:color w:val="auto"/>
              </w:rPr>
            </w:pPr>
            <w:r>
              <w:rPr>
                <w:rFonts w:ascii="Arial" w:cs="Arial" w:eastAsia="Arial" w:hAnsi="Arial"/>
                <w:sz w:val="18"/>
                <w:szCs w:val="18"/>
                <w:color w:val="auto"/>
              </w:rPr>
              <w:t>192576106</w:t>
            </w:r>
          </w:p>
        </w:tc>
      </w:tr>
      <w:tr>
        <w:trPr>
          <w:trHeight w:val="459"/>
        </w:trPr>
        <w:tc>
          <w:tcPr>
            <w:tcW w:w="380" w:type="dxa"/>
            <w:vAlign w:val="bottom"/>
          </w:tcPr>
          <w:p>
            <w:pPr>
              <w:spacing w:after="0"/>
              <w:rPr>
                <w:sz w:val="20"/>
                <w:szCs w:val="20"/>
                <w:color w:val="auto"/>
              </w:rPr>
            </w:pPr>
            <w:r>
              <w:rPr>
                <w:rFonts w:ascii="Arial" w:cs="Arial" w:eastAsia="Arial" w:hAnsi="Arial"/>
                <w:sz w:val="18"/>
                <w:szCs w:val="18"/>
                <w:color w:val="auto"/>
              </w:rPr>
              <w:t>3</w:t>
            </w:r>
          </w:p>
        </w:tc>
        <w:tc>
          <w:tcPr>
            <w:tcW w:w="6580" w:type="dxa"/>
            <w:vAlign w:val="bottom"/>
            <w:gridSpan w:val="2"/>
          </w:tcPr>
          <w:p>
            <w:pPr>
              <w:ind w:left="80"/>
              <w:spacing w:after="0"/>
              <w:rPr>
                <w:sz w:val="20"/>
                <w:szCs w:val="20"/>
                <w:color w:val="auto"/>
              </w:rPr>
            </w:pPr>
            <w:r>
              <w:rPr>
                <w:rFonts w:ascii="Arial" w:cs="Arial" w:eastAsia="Arial" w:hAnsi="Arial"/>
                <w:sz w:val="18"/>
                <w:szCs w:val="18"/>
                <w:color w:val="auto"/>
              </w:rPr>
              <w:t>Information if statement is filed pursuant to Rules 13d-1(b) or 13d-2(b):</w:t>
            </w:r>
          </w:p>
        </w:tc>
      </w:tr>
      <w:tr>
        <w:trPr>
          <w:trHeight w:val="324"/>
        </w:trPr>
        <w:tc>
          <w:tcPr>
            <w:tcW w:w="380" w:type="dxa"/>
            <w:vAlign w:val="bottom"/>
          </w:tcPr>
          <w:p>
            <w:pPr>
              <w:spacing w:after="0"/>
              <w:rPr>
                <w:sz w:val="24"/>
                <w:szCs w:val="24"/>
                <w:color w:val="auto"/>
              </w:rPr>
            </w:pPr>
          </w:p>
        </w:tc>
        <w:tc>
          <w:tcPr>
            <w:tcW w:w="3280" w:type="dxa"/>
            <w:vAlign w:val="bottom"/>
          </w:tcPr>
          <w:p>
            <w:pPr>
              <w:ind w:left="660"/>
              <w:spacing w:after="0"/>
              <w:rPr>
                <w:sz w:val="20"/>
                <w:szCs w:val="20"/>
                <w:color w:val="auto"/>
              </w:rPr>
            </w:pPr>
            <w:r>
              <w:rPr>
                <w:rFonts w:ascii="Arial" w:cs="Arial" w:eastAsia="Arial" w:hAnsi="Arial"/>
                <w:sz w:val="18"/>
                <w:szCs w:val="18"/>
                <w:color w:val="auto"/>
              </w:rPr>
              <w:t>(a) Ameriprise Financial, Inc.</w:t>
            </w:r>
          </w:p>
        </w:tc>
        <w:tc>
          <w:tcPr>
            <w:tcW w:w="3300" w:type="dxa"/>
            <w:vAlign w:val="bottom"/>
          </w:tcPr>
          <w:p>
            <w:pPr>
              <w:spacing w:after="0"/>
              <w:rPr>
                <w:sz w:val="24"/>
                <w:szCs w:val="24"/>
                <w:color w:val="auto"/>
              </w:rPr>
            </w:pPr>
          </w:p>
        </w:tc>
      </w:tr>
      <w:tr>
        <w:trPr>
          <w:trHeight w:val="324"/>
        </w:trPr>
        <w:tc>
          <w:tcPr>
            <w:tcW w:w="380" w:type="dxa"/>
            <w:vAlign w:val="bottom"/>
          </w:tcPr>
          <w:p>
            <w:pPr>
              <w:spacing w:after="0"/>
              <w:rPr>
                <w:sz w:val="24"/>
                <w:szCs w:val="24"/>
                <w:color w:val="auto"/>
              </w:rPr>
            </w:pPr>
          </w:p>
        </w:tc>
        <w:tc>
          <w:tcPr>
            <w:tcW w:w="6580" w:type="dxa"/>
            <w:vAlign w:val="bottom"/>
            <w:gridSpan w:val="2"/>
          </w:tcPr>
          <w:p>
            <w:pPr>
              <w:ind w:left="80"/>
              <w:spacing w:after="0"/>
              <w:rPr>
                <w:sz w:val="20"/>
                <w:szCs w:val="20"/>
                <w:color w:val="auto"/>
              </w:rPr>
            </w:pPr>
            <w:r>
              <w:rPr>
                <w:rFonts w:ascii="Arial" w:cs="Arial" w:eastAsia="Arial" w:hAnsi="Arial"/>
                <w:sz w:val="18"/>
                <w:szCs w:val="18"/>
                <w:color w:val="auto"/>
                <w:w w:val="92"/>
              </w:rPr>
              <w:t>A parent holding company in accordance with Rule 13d-1(b)(1)(ii)(G). (Note: See Item 7)</w:t>
            </w:r>
          </w:p>
        </w:tc>
      </w:tr>
      <w:tr>
        <w:trPr>
          <w:trHeight w:val="324"/>
        </w:trPr>
        <w:tc>
          <w:tcPr>
            <w:tcW w:w="380" w:type="dxa"/>
            <w:vAlign w:val="bottom"/>
          </w:tcPr>
          <w:p>
            <w:pPr>
              <w:spacing w:after="0"/>
              <w:rPr>
                <w:sz w:val="24"/>
                <w:szCs w:val="24"/>
                <w:color w:val="auto"/>
              </w:rPr>
            </w:pPr>
          </w:p>
        </w:tc>
        <w:tc>
          <w:tcPr>
            <w:tcW w:w="6580" w:type="dxa"/>
            <w:vAlign w:val="bottom"/>
            <w:gridSpan w:val="2"/>
          </w:tcPr>
          <w:p>
            <w:pPr>
              <w:ind w:left="660"/>
              <w:spacing w:after="0"/>
              <w:rPr>
                <w:sz w:val="20"/>
                <w:szCs w:val="20"/>
                <w:color w:val="auto"/>
              </w:rPr>
            </w:pPr>
            <w:r>
              <w:rPr>
                <w:rFonts w:ascii="Arial" w:cs="Arial" w:eastAsia="Arial" w:hAnsi="Arial"/>
                <w:sz w:val="18"/>
                <w:szCs w:val="18"/>
                <w:color w:val="auto"/>
              </w:rPr>
              <w:t>(b) Columbia Management Investment Advisers, LLC</w:t>
            </w:r>
          </w:p>
        </w:tc>
      </w:tr>
      <w:tr>
        <w:trPr>
          <w:trHeight w:val="324"/>
        </w:trPr>
        <w:tc>
          <w:tcPr>
            <w:tcW w:w="380" w:type="dxa"/>
            <w:vAlign w:val="bottom"/>
          </w:tcPr>
          <w:p>
            <w:pPr>
              <w:spacing w:after="0"/>
              <w:rPr>
                <w:sz w:val="24"/>
                <w:szCs w:val="24"/>
                <w:color w:val="auto"/>
              </w:rPr>
            </w:pPr>
          </w:p>
        </w:tc>
        <w:tc>
          <w:tcPr>
            <w:tcW w:w="6580" w:type="dxa"/>
            <w:vAlign w:val="bottom"/>
            <w:gridSpan w:val="2"/>
          </w:tcPr>
          <w:p>
            <w:pPr>
              <w:ind w:left="80"/>
              <w:spacing w:after="0"/>
              <w:rPr>
                <w:sz w:val="20"/>
                <w:szCs w:val="20"/>
                <w:color w:val="auto"/>
              </w:rPr>
            </w:pPr>
            <w:r>
              <w:rPr>
                <w:rFonts w:ascii="Arial" w:cs="Arial" w:eastAsia="Arial" w:hAnsi="Arial"/>
                <w:sz w:val="18"/>
                <w:szCs w:val="18"/>
                <w:color w:val="auto"/>
              </w:rPr>
              <w:t>An investment adviser in accordance with Rule 13d-1(b)(1)(ii)(E).</w:t>
            </w:r>
          </w:p>
        </w:tc>
      </w:tr>
    </w:tbl>
    <w:p>
      <w:pPr>
        <w:spacing w:after="0" w:line="229"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Incorporated by reference to Items (5)-(9) and (11) of the cover page pertaining to each reporting person.</w:t>
      </w:r>
    </w:p>
    <w:p>
      <w:pPr>
        <w:spacing w:after="0" w:line="117"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AFI, as the parent company of CMIA, may be deemed to beneficially own the shares reported herein by CMIA. Accordingly, the shares reported herein by AFI include those shares separately reported herein by CMIA.</w:t>
      </w:r>
    </w:p>
    <w:p>
      <w:pPr>
        <w:spacing w:after="0" w:line="6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Each of AFI and CMIA disclaims beneficial ownership of any shares reported on this Schedule.</w:t>
      </w:r>
    </w:p>
    <w:p>
      <w:pPr>
        <w:spacing w:after="0" w:line="252"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Ownership of 5% or Less of a Class: Not Applicable</w:t>
      </w:r>
    </w:p>
    <w:p>
      <w:pPr>
        <w:spacing w:after="0" w:line="252"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Ownership of more than 5% on Behalf of Another Person: Not Applicable</w:t>
      </w:r>
    </w:p>
    <w:p>
      <w:pPr>
        <w:spacing w:after="0" w:line="252" w:lineRule="exact"/>
        <w:rPr>
          <w:sz w:val="20"/>
          <w:szCs w:val="20"/>
          <w:color w:val="auto"/>
        </w:rPr>
      </w:pPr>
    </w:p>
    <w:p>
      <w:pPr>
        <w:ind w:left="1040" w:right="1360" w:hanging="1032"/>
        <w:spacing w:after="0" w:line="528" w:lineRule="auto"/>
        <w:tabs>
          <w:tab w:leader="none" w:pos="459"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and Classification of the Subsidiary Which Acquired the Security Being Reported on by the Parent Holding Company: AFI: See Exhibit I</w:t>
      </w:r>
    </w:p>
    <w:p>
      <w:pPr>
        <w:sectPr>
          <w:pgSz w:w="11900" w:h="16838" w:orient="portrait"/>
          <w:cols w:equalWidth="0" w:num="1">
            <w:col w:w="11380"/>
          </w:cols>
          <w:pgMar w:left="240" w:top="274" w:right="279" w:bottom="1440" w:gutter="0" w:footer="0" w:header="0"/>
        </w:sectPr>
      </w:pPr>
    </w:p>
    <w:bookmarkStart w:id="4" w:name="page5"/>
    <w:bookmarkEnd w:id="4"/>
    <w:p>
      <w:pPr>
        <w:ind w:left="1032" w:right="6700" w:hanging="1032"/>
        <w:spacing w:after="0" w:line="402" w:lineRule="auto"/>
        <w:tabs>
          <w:tab w:leader="none" w:pos="451"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Identification and Classification of Members of the Group: Not Applicable</w:t>
      </w:r>
    </w:p>
    <w:p>
      <w:pPr>
        <w:spacing w:after="0" w:line="90" w:lineRule="exact"/>
        <w:rPr>
          <w:sz w:val="20"/>
          <w:szCs w:val="20"/>
          <w:color w:val="auto"/>
        </w:rPr>
      </w:pPr>
    </w:p>
    <w:p>
      <w:pPr>
        <w:jc w:val="center"/>
        <w:ind w:left="1032" w:right="8640" w:hanging="1032"/>
        <w:spacing w:after="0" w:line="547" w:lineRule="auto"/>
        <w:tabs>
          <w:tab w:leader="none" w:pos="451" w:val="left"/>
        </w:tabs>
        <w:numPr>
          <w:ilvl w:val="0"/>
          <w:numId w:val="6"/>
        </w:numPr>
        <w:rPr>
          <w:rFonts w:ascii="Arial" w:cs="Arial" w:eastAsia="Arial" w:hAnsi="Arial"/>
          <w:sz w:val="17"/>
          <w:szCs w:val="17"/>
          <w:color w:val="auto"/>
        </w:rPr>
      </w:pPr>
      <w:r>
        <w:rPr>
          <w:rFonts w:ascii="Arial" w:cs="Arial" w:eastAsia="Arial" w:hAnsi="Arial"/>
          <w:sz w:val="17"/>
          <w:szCs w:val="17"/>
          <w:color w:val="auto"/>
        </w:rPr>
        <w:t>Notice of Dissolution of Group: Not Applicable</w:t>
      </w:r>
    </w:p>
    <w:p>
      <w:pPr>
        <w:ind w:left="452" w:hanging="452"/>
        <w:spacing w:after="0"/>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Certification:</w:t>
      </w:r>
    </w:p>
    <w:p>
      <w:pPr>
        <w:spacing w:after="0" w:line="225" w:lineRule="exact"/>
        <w:rPr>
          <w:rFonts w:ascii="Arial" w:cs="Arial" w:eastAsia="Arial" w:hAnsi="Arial"/>
          <w:sz w:val="18"/>
          <w:szCs w:val="18"/>
          <w:color w:val="auto"/>
        </w:rPr>
      </w:pPr>
    </w:p>
    <w:p>
      <w:pPr>
        <w:ind w:left="452"/>
        <w:spacing w:after="0" w:line="264" w:lineRule="auto"/>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ectPr>
          <w:pgSz w:w="11900" w:h="16838" w:orient="portrait"/>
          <w:cols w:equalWidth="0" w:num="1">
            <w:col w:w="11392"/>
          </w:cols>
          <w:pgMar w:left="248" w:top="274"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ind w:left="460" w:right="50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2020</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Ameriprise Financial,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 Clarke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Michael G. Clarke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Co-Head of Global Operations</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Columbia Management Investment Advisers,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 Clarke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Michael G. Clarke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Co-Head of Global Operations</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Mark D. Braley</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jc w:val="right"/>
        <w:ind w:right="340"/>
        <w:spacing w:after="0"/>
        <w:rPr>
          <w:sz w:val="20"/>
          <w:szCs w:val="20"/>
          <w:color w:val="auto"/>
        </w:rPr>
      </w:pPr>
      <w:r>
        <w:rPr>
          <w:rFonts w:ascii="Arial" w:cs="Arial" w:eastAsia="Arial" w:hAnsi="Arial"/>
          <w:sz w:val="18"/>
          <w:szCs w:val="18"/>
          <w:color w:val="auto"/>
        </w:rPr>
        <w:t>Head of Reporting and Data Management | Global</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Operations and Investor Services</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Telephone: (617) 747-0663</w:t>
      </w:r>
    </w:p>
    <w:p>
      <w:pPr>
        <w:sectPr>
          <w:pgSz w:w="11900" w:h="16838" w:orient="portrait"/>
          <w:cols w:equalWidth="0" w:num="1">
            <w:col w:w="11420"/>
          </w:cols>
          <w:pgMar w:left="240" w:top="274" w:right="239" w:bottom="1440" w:gutter="0" w:footer="0" w:header="0"/>
        </w:sectPr>
      </w:pPr>
    </w:p>
    <w:bookmarkStart w:id="6" w:name="page7"/>
    <w:bookmarkEnd w:id="6"/>
    <w:p>
      <w:pPr>
        <w:ind w:left="52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36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I</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11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II</w:t>
      </w:r>
      <w:r>
        <w:rPr>
          <w:sz w:val="20"/>
          <w:szCs w:val="20"/>
          <w:color w:val="auto"/>
        </w:rPr>
        <w:tab/>
      </w:r>
      <w:r>
        <w:rPr>
          <w:rFonts w:ascii="Arial" w:cs="Arial" w:eastAsia="Arial" w:hAnsi="Arial"/>
          <w:sz w:val="16"/>
          <w:szCs w:val="16"/>
          <w:color w:val="auto"/>
        </w:rPr>
        <w:t>Joint Filing Agreement</w:t>
      </w:r>
    </w:p>
    <w:p>
      <w:pPr>
        <w:sectPr>
          <w:pgSz w:w="11900" w:h="16838" w:orient="portrait"/>
          <w:cols w:equalWidth="0" w:num="1">
            <w:col w:w="10660"/>
          </w:cols>
          <w:pgMar w:left="240" w:top="274" w:right="99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Exhibit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Ameriprise Financial, Inc., a Delaware Corporation, is a parent holding company. The classification and identity of the relevant subsidiaries is as follows:</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Investment Adviser – Columbia Management Investment Advisers, LLC is an investment adviser registered under section 203 of the Investment Advisers Act of 1940.</w:t>
      </w:r>
    </w:p>
    <w:p>
      <w:pPr>
        <w:sectPr>
          <w:pgSz w:w="11900" w:h="16838" w:orient="portrait"/>
          <w:cols w:equalWidth="0" w:num="1">
            <w:col w:w="11400"/>
          </w:cols>
          <w:pgMar w:left="240" w:top="125" w:right="25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color w:val="auto"/>
        </w:rPr>
        <w:t>Exhibit 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Schedule 13G</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undersigned persons agree and consent to the joint filing on their behalf of this Schedule 13G dated February 14, 2020 in connection with their beneficial ownership of Cohu, Inc. Columbia Management Investment Advisers, LLC authorizes Ameriprise Financial, Inc. to execute the Schedule 13G to which this Exhibit is attached and make any necessary amendments thereto.</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Ameriprise Financial,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 Clarke</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Michael G. Clarke</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 Co-Head of Global Operations</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Columbia Management Investment Advisers, LLC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 Clarke</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Michael G. Clarke</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 Co-Head of Global Operations</w:t>
            </w:r>
          </w:p>
        </w:tc>
      </w:tr>
    </w:tbl>
    <w:p>
      <w:pPr>
        <w:spacing w:after="0" w:line="1" w:lineRule="exact"/>
        <w:rPr>
          <w:sz w:val="20"/>
          <w:szCs w:val="20"/>
          <w:color w:val="auto"/>
        </w:rPr>
      </w:pP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4"/>
      <w:numFmt w:val="bullet"/>
      <w:start w:val="1"/>
    </w:lvl>
  </w:abstractNum>
  <w:abstractNum w:abstractNumId="1">
    <w:nsid w:val="238E1F29"/>
    <w:multiLevelType w:val="hybridMultilevel"/>
    <w:lvl w:ilvl="0">
      <w:lvlJc w:val="left"/>
      <w:lvlText w:val="5"/>
      <w:numFmt w:val="bullet"/>
      <w:start w:val="1"/>
    </w:lvl>
  </w:abstractNum>
  <w:abstractNum w:abstractNumId="2">
    <w:nsid w:val="46E87CCD"/>
    <w:multiLevelType w:val="hybridMultilevel"/>
    <w:lvl w:ilvl="0">
      <w:lvlJc w:val="left"/>
      <w:lvlText w:val="6"/>
      <w:numFmt w:val="bullet"/>
      <w:start w:val="1"/>
    </w:lvl>
  </w:abstractNum>
  <w:abstractNum w:abstractNumId="3">
    <w:nsid w:val="3D1B58BA"/>
    <w:multiLevelType w:val="hybridMultilevel"/>
    <w:lvl w:ilvl="0">
      <w:lvlJc w:val="left"/>
      <w:lvlText w:val="7"/>
      <w:numFmt w:val="bullet"/>
      <w:start w:val="1"/>
    </w:lvl>
  </w:abstractNum>
  <w:abstractNum w:abstractNumId="4">
    <w:nsid w:val="507ED7AB"/>
    <w:multiLevelType w:val="hybridMultilevel"/>
    <w:lvl w:ilvl="0">
      <w:lvlJc w:val="left"/>
      <w:lvlText w:val="8"/>
      <w:numFmt w:val="bullet"/>
      <w:start w:val="1"/>
    </w:lvl>
  </w:abstractNum>
  <w:abstractNum w:abstractNumId="5">
    <w:nsid w:val="2EB141F2"/>
    <w:multiLevelType w:val="hybridMultilevel"/>
    <w:lvl w:ilvl="0">
      <w:lvlJc w:val="left"/>
      <w:lvlText w:val="9"/>
      <w:numFmt w:val="bullet"/>
      <w:start w:val="1"/>
    </w:lvl>
  </w:abstractNum>
  <w:abstractNum w:abstractNumId="6">
    <w:nsid w:val="41B71EFB"/>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2020-02-14T10:16:23Z</dcterms:created>
  <dcterms:modified xsi:type="dcterms:W3CDTF">2020-02-14T10:16:23Z</dcterms:modified>
</cp:coreProperties>
</file>