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ind w:left="2420"/>
        <w:spacing w:after="0"/>
        <w:tabs>
          <w:tab w:leader="none" w:pos="76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February 17, 2015</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92075</wp:posOffset>
            </wp:positionV>
            <wp:extent cx="26841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4280" w:type="dxa"/>
            <w:vAlign w:val="bottom"/>
          </w:tcPr>
          <w:p>
            <w:pPr>
              <w:jc w:val="center"/>
              <w:ind w:right="1010"/>
              <w:spacing w:after="0"/>
              <w:rPr>
                <w:sz w:val="20"/>
                <w:szCs w:val="20"/>
                <w:color w:val="auto"/>
              </w:rPr>
            </w:pPr>
            <w:r>
              <w:rPr>
                <w:rFonts w:ascii="Arial" w:cs="Arial" w:eastAsia="Arial" w:hAnsi="Arial"/>
                <w:sz w:val="18"/>
                <w:szCs w:val="18"/>
                <w:color w:val="auto"/>
                <w:w w:val="92"/>
              </w:rPr>
              <w:t>Delaware</w:t>
            </w:r>
          </w:p>
        </w:tc>
        <w:tc>
          <w:tcPr>
            <w:tcW w:w="2460" w:type="dxa"/>
            <w:vAlign w:val="bottom"/>
          </w:tcPr>
          <w:p>
            <w:pPr>
              <w:jc w:val="right"/>
              <w:ind w:right="770"/>
              <w:spacing w:after="0"/>
              <w:rPr>
                <w:sz w:val="20"/>
                <w:szCs w:val="20"/>
                <w:color w:val="auto"/>
              </w:rPr>
            </w:pPr>
            <w:r>
              <w:rPr>
                <w:rFonts w:ascii="Arial" w:cs="Arial" w:eastAsia="Arial" w:hAnsi="Arial"/>
                <w:sz w:val="18"/>
                <w:szCs w:val="18"/>
                <w:color w:val="auto"/>
              </w:rPr>
              <w:t>001-04298</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89"/>
              </w:rPr>
              <w:t>95-1934119</w:t>
            </w:r>
          </w:p>
        </w:tc>
      </w:tr>
      <w:tr>
        <w:trPr>
          <w:trHeight w:val="216"/>
        </w:trPr>
        <w:tc>
          <w:tcPr>
            <w:tcW w:w="4280" w:type="dxa"/>
            <w:vAlign w:val="bottom"/>
          </w:tcPr>
          <w:p>
            <w:pPr>
              <w:jc w:val="right"/>
              <w:ind w:right="1650"/>
              <w:spacing w:after="0"/>
              <w:rPr>
                <w:sz w:val="20"/>
                <w:szCs w:val="20"/>
                <w:color w:val="auto"/>
              </w:rPr>
            </w:pPr>
            <w:r>
              <w:rPr>
                <w:rFonts w:ascii="Arial" w:cs="Arial" w:eastAsia="Arial" w:hAnsi="Arial"/>
                <w:sz w:val="18"/>
                <w:szCs w:val="18"/>
                <w:color w:val="auto"/>
              </w:rPr>
              <w:t>_____________________</w:t>
            </w:r>
          </w:p>
        </w:tc>
        <w:tc>
          <w:tcPr>
            <w:tcW w:w="2460" w:type="dxa"/>
            <w:vAlign w:val="bottom"/>
          </w:tcPr>
          <w:p>
            <w:pPr>
              <w:jc w:val="right"/>
              <w:ind w:right="630"/>
              <w:spacing w:after="0"/>
              <w:rPr>
                <w:sz w:val="20"/>
                <w:szCs w:val="20"/>
                <w:color w:val="auto"/>
              </w:rPr>
            </w:pPr>
            <w:r>
              <w:rPr>
                <w:rFonts w:ascii="Arial" w:cs="Arial" w:eastAsia="Arial" w:hAnsi="Arial"/>
                <w:sz w:val="18"/>
                <w:szCs w:val="18"/>
                <w:color w:val="auto"/>
              </w:rPr>
              <w:t>____________</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89"/>
              </w:rPr>
              <w:t>______________</w:t>
            </w:r>
          </w:p>
        </w:tc>
      </w:tr>
      <w:tr>
        <w:trPr>
          <w:trHeight w:val="230"/>
        </w:trPr>
        <w:tc>
          <w:tcPr>
            <w:tcW w:w="428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w:t>
            </w:r>
          </w:p>
        </w:tc>
        <w:tc>
          <w:tcPr>
            <w:tcW w:w="2460" w:type="dxa"/>
            <w:vAlign w:val="bottom"/>
          </w:tcPr>
          <w:p>
            <w:pPr>
              <w:ind w:left="720"/>
              <w:spacing w:after="0"/>
              <w:rPr>
                <w:sz w:val="20"/>
                <w:szCs w:val="20"/>
                <w:color w:val="auto"/>
              </w:rPr>
            </w:pPr>
            <w:r>
              <w:rPr>
                <w:rFonts w:ascii="Arial" w:cs="Arial" w:eastAsia="Arial" w:hAnsi="Arial"/>
                <w:sz w:val="18"/>
                <w:szCs w:val="18"/>
                <w:color w:val="auto"/>
              </w:rPr>
              <w:t>(Commission</w:t>
            </w:r>
          </w:p>
        </w:tc>
        <w:tc>
          <w:tcPr>
            <w:tcW w:w="3160" w:type="dxa"/>
            <w:vAlign w:val="bottom"/>
          </w:tcPr>
          <w:p>
            <w:pPr>
              <w:jc w:val="center"/>
              <w:ind w:left="1750"/>
              <w:spacing w:after="0"/>
              <w:rPr>
                <w:sz w:val="20"/>
                <w:szCs w:val="20"/>
                <w:color w:val="auto"/>
              </w:rPr>
            </w:pPr>
            <w:r>
              <w:rPr>
                <w:rFonts w:ascii="Arial" w:cs="Arial" w:eastAsia="Arial" w:hAnsi="Arial"/>
                <w:sz w:val="18"/>
                <w:szCs w:val="18"/>
                <w:color w:val="auto"/>
                <w:w w:val="93"/>
              </w:rPr>
              <w:t>(I.R.S. Employer</w:t>
            </w:r>
          </w:p>
        </w:tc>
      </w:tr>
      <w:tr>
        <w:trPr>
          <w:trHeight w:val="230"/>
        </w:trPr>
        <w:tc>
          <w:tcPr>
            <w:tcW w:w="4280" w:type="dxa"/>
            <w:vAlign w:val="bottom"/>
          </w:tcPr>
          <w:p>
            <w:pPr>
              <w:jc w:val="center"/>
              <w:ind w:right="1010"/>
              <w:spacing w:after="0"/>
              <w:rPr>
                <w:sz w:val="20"/>
                <w:szCs w:val="20"/>
                <w:color w:val="auto"/>
              </w:rPr>
            </w:pPr>
            <w:r>
              <w:rPr>
                <w:rFonts w:ascii="Arial" w:cs="Arial" w:eastAsia="Arial" w:hAnsi="Arial"/>
                <w:sz w:val="18"/>
                <w:szCs w:val="18"/>
                <w:color w:val="auto"/>
                <w:w w:val="93"/>
              </w:rPr>
              <w:t>of incorporation)</w:t>
            </w:r>
          </w:p>
        </w:tc>
        <w:tc>
          <w:tcPr>
            <w:tcW w:w="2460" w:type="dxa"/>
            <w:vAlign w:val="bottom"/>
          </w:tcPr>
          <w:p>
            <w:pPr>
              <w:ind w:left="720"/>
              <w:spacing w:after="0"/>
              <w:rPr>
                <w:sz w:val="20"/>
                <w:szCs w:val="20"/>
                <w:color w:val="auto"/>
              </w:rPr>
            </w:pPr>
            <w:r>
              <w:rPr>
                <w:rFonts w:ascii="Arial" w:cs="Arial" w:eastAsia="Arial" w:hAnsi="Arial"/>
                <w:sz w:val="18"/>
                <w:szCs w:val="18"/>
                <w:color w:val="auto"/>
              </w:rPr>
              <w:t>File Number)</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5"/>
              </w:rPr>
              <w:t>Identification No.)</w:t>
            </w:r>
          </w:p>
        </w:tc>
      </w:tr>
      <w:tr>
        <w:trPr>
          <w:trHeight w:val="377"/>
        </w:trPr>
        <w:tc>
          <w:tcPr>
            <w:tcW w:w="4280" w:type="dxa"/>
            <w:vAlign w:val="bottom"/>
          </w:tcPr>
          <w:p>
            <w:pPr>
              <w:jc w:val="center"/>
              <w:ind w:right="1010"/>
              <w:spacing w:after="0"/>
              <w:rPr>
                <w:sz w:val="20"/>
                <w:szCs w:val="20"/>
                <w:color w:val="auto"/>
              </w:rPr>
            </w:pPr>
            <w:r>
              <w:rPr>
                <w:rFonts w:ascii="Arial" w:cs="Arial" w:eastAsia="Arial" w:hAnsi="Arial"/>
                <w:sz w:val="18"/>
                <w:szCs w:val="18"/>
                <w:color w:val="auto"/>
                <w:w w:val="91"/>
              </w:rPr>
              <w:t>12367 Crosthwaite Circle, Poway,</w:t>
            </w:r>
          </w:p>
        </w:tc>
        <w:tc>
          <w:tcPr>
            <w:tcW w:w="2460" w:type="dxa"/>
            <w:vAlign w:val="bottom"/>
          </w:tcPr>
          <w:p>
            <w:pPr>
              <w:spacing w:after="0"/>
              <w:rPr>
                <w:sz w:val="24"/>
                <w:szCs w:val="24"/>
                <w:color w:val="auto"/>
              </w:rPr>
            </w:pPr>
          </w:p>
        </w:tc>
        <w:tc>
          <w:tcPr>
            <w:tcW w:w="3160" w:type="dxa"/>
            <w:vAlign w:val="bottom"/>
          </w:tcPr>
          <w:p>
            <w:pPr>
              <w:jc w:val="center"/>
              <w:ind w:left="1750"/>
              <w:spacing w:after="0"/>
              <w:rPr>
                <w:sz w:val="20"/>
                <w:szCs w:val="20"/>
                <w:color w:val="auto"/>
              </w:rPr>
            </w:pPr>
            <w:r>
              <w:rPr>
                <w:rFonts w:ascii="Arial" w:cs="Arial" w:eastAsia="Arial" w:hAnsi="Arial"/>
                <w:sz w:val="18"/>
                <w:szCs w:val="18"/>
                <w:color w:val="auto"/>
                <w:w w:val="87"/>
              </w:rPr>
              <w:t>92064</w:t>
            </w:r>
          </w:p>
        </w:tc>
      </w:tr>
      <w:tr>
        <w:trPr>
          <w:trHeight w:val="230"/>
        </w:trPr>
        <w:tc>
          <w:tcPr>
            <w:tcW w:w="4280" w:type="dxa"/>
            <w:vAlign w:val="bottom"/>
          </w:tcPr>
          <w:p>
            <w:pPr>
              <w:jc w:val="center"/>
              <w:ind w:right="1010"/>
              <w:spacing w:after="0"/>
              <w:rPr>
                <w:sz w:val="20"/>
                <w:szCs w:val="20"/>
                <w:color w:val="auto"/>
              </w:rPr>
            </w:pPr>
            <w:r>
              <w:rPr>
                <w:rFonts w:ascii="Arial" w:cs="Arial" w:eastAsia="Arial" w:hAnsi="Arial"/>
                <w:sz w:val="18"/>
                <w:szCs w:val="18"/>
                <w:color w:val="auto"/>
                <w:w w:val="97"/>
              </w:rPr>
              <w:t>California</w:t>
            </w:r>
          </w:p>
        </w:tc>
        <w:tc>
          <w:tcPr>
            <w:tcW w:w="246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216"/>
        </w:trPr>
        <w:tc>
          <w:tcPr>
            <w:tcW w:w="4280" w:type="dxa"/>
            <w:vAlign w:val="bottom"/>
          </w:tcPr>
          <w:p>
            <w:pPr>
              <w:jc w:val="right"/>
              <w:ind w:right="1170"/>
              <w:spacing w:after="0"/>
              <w:rPr>
                <w:sz w:val="20"/>
                <w:szCs w:val="20"/>
                <w:color w:val="auto"/>
              </w:rPr>
            </w:pPr>
            <w:r>
              <w:rPr>
                <w:rFonts w:ascii="Arial" w:cs="Arial" w:eastAsia="Arial" w:hAnsi="Arial"/>
                <w:sz w:val="18"/>
                <w:szCs w:val="18"/>
                <w:color w:val="auto"/>
                <w:w w:val="93"/>
              </w:rPr>
              <w:t>________________________________</w:t>
            </w:r>
          </w:p>
        </w:tc>
        <w:tc>
          <w:tcPr>
            <w:tcW w:w="2460" w:type="dxa"/>
            <w:vAlign w:val="bottom"/>
          </w:tcPr>
          <w:p>
            <w:pPr>
              <w:spacing w:after="0"/>
              <w:rPr>
                <w:sz w:val="18"/>
                <w:szCs w:val="18"/>
                <w:color w:val="auto"/>
              </w:rPr>
            </w:pP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89"/>
              </w:rPr>
              <w:t>__________</w:t>
            </w:r>
          </w:p>
        </w:tc>
      </w:tr>
      <w:tr>
        <w:trPr>
          <w:trHeight w:val="230"/>
        </w:trPr>
        <w:tc>
          <w:tcPr>
            <w:tcW w:w="428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2460" w:type="dxa"/>
            <w:vAlign w:val="bottom"/>
          </w:tcPr>
          <w:p>
            <w:pPr>
              <w:spacing w:after="0"/>
              <w:rPr>
                <w:sz w:val="20"/>
                <w:szCs w:val="20"/>
                <w:color w:val="auto"/>
              </w:rPr>
            </w:pPr>
          </w:p>
        </w:tc>
        <w:tc>
          <w:tcPr>
            <w:tcW w:w="3160" w:type="dxa"/>
            <w:vAlign w:val="bottom"/>
          </w:tcPr>
          <w:p>
            <w:pPr>
              <w:jc w:val="center"/>
              <w:ind w:left="1750"/>
              <w:spacing w:after="0"/>
              <w:rPr>
                <w:sz w:val="20"/>
                <w:szCs w:val="20"/>
                <w:color w:val="auto"/>
              </w:rPr>
            </w:pPr>
            <w:r>
              <w:rPr>
                <w:rFonts w:ascii="Arial" w:cs="Arial" w:eastAsia="Arial" w:hAnsi="Arial"/>
                <w:sz w:val="18"/>
                <w:szCs w:val="18"/>
                <w:color w:val="auto"/>
                <w:w w:val="94"/>
              </w:rPr>
              <w:t>(Zip Code)</w:t>
            </w:r>
          </w:p>
        </w:tc>
      </w:tr>
      <w:tr>
        <w:trPr>
          <w:trHeight w:val="473"/>
        </w:trPr>
        <w:tc>
          <w:tcPr>
            <w:tcW w:w="4280" w:type="dxa"/>
            <w:vAlign w:val="bottom"/>
          </w:tcPr>
          <w:p>
            <w:pPr>
              <w:spacing w:after="0"/>
              <w:rPr>
                <w:sz w:val="20"/>
                <w:szCs w:val="20"/>
                <w:color w:val="auto"/>
              </w:rPr>
            </w:pPr>
            <w:r>
              <w:rPr>
                <w:rFonts w:ascii="Arial" w:cs="Arial" w:eastAsia="Arial" w:hAnsi="Arial"/>
                <w:sz w:val="18"/>
                <w:szCs w:val="18"/>
                <w:color w:val="auto"/>
              </w:rPr>
              <w:t>Registrant’s telephone number, including area code:</w:t>
            </w:r>
          </w:p>
        </w:tc>
        <w:tc>
          <w:tcPr>
            <w:tcW w:w="2460" w:type="dxa"/>
            <w:vAlign w:val="bottom"/>
          </w:tcPr>
          <w:p>
            <w:pPr>
              <w:spacing w:after="0"/>
              <w:rPr>
                <w:sz w:val="24"/>
                <w:szCs w:val="24"/>
                <w:color w:val="auto"/>
              </w:rPr>
            </w:pPr>
          </w:p>
        </w:tc>
        <w:tc>
          <w:tcPr>
            <w:tcW w:w="3160" w:type="dxa"/>
            <w:vAlign w:val="bottom"/>
          </w:tcPr>
          <w:p>
            <w:pPr>
              <w:jc w:val="right"/>
              <w:ind w:right="1350"/>
              <w:spacing w:after="0"/>
              <w:rPr>
                <w:sz w:val="20"/>
                <w:szCs w:val="20"/>
                <w:color w:val="auto"/>
              </w:rPr>
            </w:pPr>
            <w:r>
              <w:rPr>
                <w:rFonts w:ascii="Arial" w:cs="Arial" w:eastAsia="Arial" w:hAnsi="Arial"/>
                <w:sz w:val="18"/>
                <w:szCs w:val="18"/>
                <w:color w:val="auto"/>
              </w:rPr>
              <w:t>858-848-8100</w:t>
            </w:r>
          </w:p>
        </w:tc>
      </w:tr>
      <w:tr>
        <w:trPr>
          <w:trHeight w:val="432"/>
        </w:trPr>
        <w:tc>
          <w:tcPr>
            <w:tcW w:w="4280" w:type="dxa"/>
            <w:vAlign w:val="bottom"/>
          </w:tcPr>
          <w:p>
            <w:pPr>
              <w:spacing w:after="0"/>
              <w:rPr>
                <w:sz w:val="24"/>
                <w:szCs w:val="24"/>
                <w:color w:val="auto"/>
              </w:rPr>
            </w:pPr>
          </w:p>
        </w:tc>
        <w:tc>
          <w:tcPr>
            <w:tcW w:w="2460" w:type="dxa"/>
            <w:vAlign w:val="bottom"/>
          </w:tcPr>
          <w:p>
            <w:pPr>
              <w:ind w:left="520"/>
              <w:spacing w:after="0"/>
              <w:rPr>
                <w:sz w:val="20"/>
                <w:szCs w:val="20"/>
                <w:color w:val="auto"/>
              </w:rPr>
            </w:pPr>
            <w:r>
              <w:rPr>
                <w:rFonts w:ascii="Arial" w:cs="Arial" w:eastAsia="Arial" w:hAnsi="Arial"/>
                <w:sz w:val="18"/>
                <w:szCs w:val="18"/>
                <w:color w:val="auto"/>
              </w:rPr>
              <w:t>Not Applicable</w:t>
            </w:r>
          </w:p>
        </w:tc>
        <w:tc>
          <w:tcPr>
            <w:tcW w:w="3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205740</wp:posOffset>
            </wp:positionV>
            <wp:extent cx="3044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466"/>
        </w:trPr>
        <w:tc>
          <w:tcPr>
            <w:tcW w:w="120" w:type="dxa"/>
            <w:vAlign w:val="bottom"/>
            <w:tcBorders>
              <w:bottom w:val="single" w:sz="8" w:color="CCCCCC"/>
            </w:tcBorders>
          </w:tcPr>
          <w:p>
            <w:pPr>
              <w:spacing w:after="0"/>
              <w:rPr>
                <w:sz w:val="24"/>
                <w:szCs w:val="24"/>
                <w:color w:val="auto"/>
              </w:rPr>
            </w:pPr>
          </w:p>
        </w:tc>
        <w:tc>
          <w:tcPr>
            <w:tcW w:w="160" w:type="dxa"/>
            <w:vAlign w:val="bottom"/>
            <w:tcBorders>
              <w:bottom w:val="single" w:sz="8" w:color="CCCCCC"/>
            </w:tcBorders>
          </w:tcPr>
          <w:p>
            <w:pPr>
              <w:spacing w:after="0"/>
              <w:rPr>
                <w:sz w:val="24"/>
                <w:szCs w:val="24"/>
                <w:color w:val="auto"/>
              </w:rPr>
            </w:pPr>
          </w:p>
        </w:tc>
        <w:tc>
          <w:tcPr>
            <w:tcW w:w="11140" w:type="dxa"/>
            <w:vAlign w:val="bottom"/>
            <w:tcBorders>
              <w:bottom w:val="single" w:sz="8" w:color="CCCCCC"/>
            </w:tcBorders>
          </w:tcPr>
          <w:p>
            <w:pPr>
              <w:spacing w:after="0"/>
              <w:rPr>
                <w:sz w:val="24"/>
                <w:szCs w:val="24"/>
                <w:color w:val="auto"/>
              </w:rPr>
            </w:pPr>
          </w:p>
        </w:tc>
      </w:tr>
    </w:tbl>
    <w:p>
      <w:pPr>
        <w:sectPr>
          <w:pgSz w:w="11900" w:h="16838" w:orient="portrait"/>
          <w:cols w:equalWidth="0" w:num="1">
            <w:col w:w="11420"/>
          </w:cols>
          <w:pgMar w:left="240" w:top="2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February 19, 2015 Cohu, Inc. (the “Company”) issued a press release regarding its financial results for the fourth quarter and full year ended December 27, 2014. The Company’s press release is attached as Exhibit 99.1 to this Current Report on Form 8-K and incorporated by reference herein.</w:t>
      </w:r>
    </w:p>
    <w:p>
      <w:pPr>
        <w:spacing w:after="0" w:line="8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2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financial results determined in accordance with generally accepted accounting principles (“GAAP”), the earnings press release also contains financial information determined by methods other than in accordance with GAAP. The Company’s management uses these non-GAAP measures in their analysis of the Company’s performance. These non-GAAP financial measures adjust the Company’s actual results prepared under GAAP to exclude charges and the related income tax effect for share-based compensation, the amortization of acquired intangible assets, manufacturing transition costs, employee severance costs, goodwill and other asset impairment, other acquisition costs and the purchase accounting inventory step-up included in cost of goods sold. 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the Company’s financial performance using some of the same measures as management. These disclosures should not be viewed as a substitute for operating results determined in accordance with GAAP, nor are they necessarily comparable to non-GAAP performance measures that may be presented by other companies.</w:t>
      </w:r>
    </w:p>
    <w:p>
      <w:pPr>
        <w:spacing w:after="0" w:line="16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17, 2015, the Board of Directors of Cohu, Inc. elected Karl H. Funke to serve as a Class 2 Director, effective March 9, 2015, and in accordance with the Company’s Bylaws he will stand for election at the Company’s 2015 annual meeting of stockholders. Mr. Funke was named to the Audit Committee of the Board of Directors.</w:t>
      </w:r>
    </w:p>
    <w:p>
      <w:pPr>
        <w:spacing w:after="0" w:line="14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Board of Directors determined that, in its judgment, Mr. Funke satisfies the requirements for independence set forth in the Company’s Corporate Governance Guidelines and by the NASDAQ listing standards. There were no arrangements or understandings pursuant to which Mr. Funke was elected or any relationships or related transactions between the Company and Mr. Funke which would require disclosure pursuant to Item 404(a) of Regulation S-K. As a non-employee director, Mr. Funke will be compensated in accordance with the director compensation program as described in the Company’s Proxy Statement filed with the Securities and Exchange Commission on April 9, 2014, the description of which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announcing Mr. Funke, is attached as Exhibit 99.2 to this Current Report on Form 8-K and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being furnished with this Current Report on Form 8-K.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No. - 99.1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Description - Fourth Quarter 2014 Earnings Release, dated February 19, 2015, of Cohu,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No. - 99.2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Description - Karl H. Funke Elected to Cohu’s Board of Directors</w:t>
      </w:r>
    </w:p>
    <w:p>
      <w:pPr>
        <w:sectPr>
          <w:pgSz w:w="11900" w:h="16838" w:orient="portrait"/>
          <w:cols w:equalWidth="0" w:num="1">
            <w:col w:w="11320"/>
          </w:cols>
          <w:pgMar w:left="240" w:top="270"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720" w:val="left"/>
          <w:tab w:leader="none" w:pos="6680" w:val="left"/>
        </w:tabs>
        <w:rPr>
          <w:sz w:val="20"/>
          <w:szCs w:val="20"/>
          <w:color w:val="auto"/>
        </w:rPr>
      </w:pPr>
      <w:r>
        <w:rPr>
          <w:rFonts w:ascii="Arial" w:cs="Arial" w:eastAsia="Arial" w:hAnsi="Arial"/>
          <w:sz w:val="18"/>
          <w:szCs w:val="18"/>
          <w:i w:val="1"/>
          <w:iCs w:val="1"/>
          <w:color w:val="auto"/>
        </w:rPr>
        <w:t>February 20, 2015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Jeffrey D. Jones</w:t>
      </w: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-130175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729"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120" w:type="dxa"/>
            <w:vAlign w:val="bottom"/>
          </w:tcPr>
          <w:p>
            <w:pPr>
              <w:ind w:left="292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432"/>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1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820" w:type="dxa"/>
            <w:vAlign w:val="bottom"/>
            <w:tcBorders>
              <w:bottom w:val="single" w:sz="8" w:color="CCCCCC"/>
            </w:tcBorders>
          </w:tcPr>
          <w:p>
            <w:pPr>
              <w:spacing w:after="0"/>
              <w:rPr>
                <w:sz w:val="11"/>
                <w:szCs w:val="11"/>
                <w:color w:val="auto"/>
              </w:rPr>
            </w:pPr>
          </w:p>
        </w:tc>
        <w:tc>
          <w:tcPr>
            <w:tcW w:w="460" w:type="dxa"/>
            <w:vAlign w:val="bottom"/>
            <w:vMerge w:val="restart"/>
          </w:tcPr>
          <w:p>
            <w:pPr>
              <w:spacing w:after="0"/>
              <w:rPr>
                <w:sz w:val="11"/>
                <w:szCs w:val="11"/>
                <w:color w:val="auto"/>
              </w:rPr>
            </w:pPr>
          </w:p>
        </w:tc>
        <w:tc>
          <w:tcPr>
            <w:tcW w:w="912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vMerge w:val="continue"/>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Fourth Quarter 2014 Earnings Release, dated February 19, 2015, of Cohu, Inc.</w:t>
            </w:r>
          </w:p>
        </w:tc>
        <w:tc>
          <w:tcPr>
            <w:tcW w:w="0" w:type="dxa"/>
            <w:vAlign w:val="bottom"/>
          </w:tcPr>
          <w:p>
            <w:pPr>
              <w:spacing w:after="0"/>
              <w:rPr>
                <w:sz w:val="1"/>
                <w:szCs w:val="1"/>
                <w:color w:val="auto"/>
              </w:rPr>
            </w:pPr>
          </w:p>
        </w:tc>
      </w:tr>
      <w:tr>
        <w:trPr>
          <w:trHeight w:val="323"/>
        </w:trPr>
        <w:tc>
          <w:tcPr>
            <w:tcW w:w="1840" w:type="dxa"/>
            <w:vAlign w:val="bottom"/>
            <w:gridSpan w:val="2"/>
          </w:tcPr>
          <w:p>
            <w:pPr>
              <w:spacing w:after="0"/>
              <w:rPr>
                <w:sz w:val="20"/>
                <w:szCs w:val="20"/>
                <w:color w:val="auto"/>
              </w:rPr>
            </w:pPr>
            <w:r>
              <w:rPr>
                <w:rFonts w:ascii="Arial" w:cs="Arial" w:eastAsia="Arial" w:hAnsi="Arial"/>
                <w:sz w:val="18"/>
                <w:szCs w:val="18"/>
                <w:color w:val="auto"/>
              </w:rPr>
              <w:t>99.2</w:t>
            </w:r>
          </w:p>
        </w:tc>
        <w:tc>
          <w:tcPr>
            <w:tcW w:w="46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Karl H. Funke Elected to Cohu’s Board of Directors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169545</wp:posOffset>
            </wp:positionV>
            <wp:extent cx="3207385" cy="1397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738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Cohu Reports Fourth Quarter 2014 Operating Results</w:t>
      </w:r>
    </w:p>
    <w:p>
      <w:pPr>
        <w:spacing w:after="0" w:line="2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POWAY, Calif., February 19, 2015 – Cohu, Inc. (NASDAQ:COHU) today reported fiscal 2014 fourth quarter net sales of $96.2 million and GAAP income of $1.3 million or $0.05 per share. Net sales for the twelve months ended 2014 were $333.3 million and GAAP income was $5.8 million or $0.22 per share. Income for the fourth quarter and year ended December 27, 2014 included a $5.0 million non-cash, pretax charge for the impairment of goodwill and other assets due to a reduction in the estimated market value of our microwave communications equipment reporting unit. </w:t>
      </w:r>
      <w:r>
        <w:rPr>
          <w:rFonts w:ascii="Arial" w:cs="Arial" w:eastAsia="Arial" w:hAnsi="Arial"/>
          <w:sz w:val="14"/>
          <w:szCs w:val="14"/>
          <w:color w:val="auto"/>
        </w:rPr>
        <w:t>(1)</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Company also reported non-GAAP results, with fourth quarter 2014 income of $10.2 million or $0.39 per share and income of $26.5 million or $1.02 per share for the twelve months ended 2014. </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964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96456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15"/>
          <w:szCs w:val="15"/>
          <w:b w:val="1"/>
          <w:bCs w:val="1"/>
          <w:color w:val="auto"/>
        </w:rPr>
        <w:t>(1)</w:t>
      </w:r>
    </w:p>
    <w:p>
      <w:pPr>
        <w:spacing w:after="0" w:line="7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6220" w:type="dxa"/>
            <w:vAlign w:val="bottom"/>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Q4 FY</w:t>
            </w: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Q3 FY</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Q4 FY</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 Months</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 Months</w:t>
            </w:r>
          </w:p>
        </w:tc>
      </w:tr>
      <w:tr>
        <w:trPr>
          <w:trHeight w:val="241"/>
        </w:trPr>
        <w:tc>
          <w:tcPr>
            <w:tcW w:w="622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11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1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2013</w:t>
            </w:r>
          </w:p>
        </w:tc>
      </w:tr>
      <w:tr>
        <w:trPr>
          <w:trHeight w:val="21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$ 96.2</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$ 94.4</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$ 61.1</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$ 333.3</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$ 231.6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Income (loss)</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$ 1.3</w:t>
            </w:r>
          </w:p>
        </w:tc>
        <w:tc>
          <w:tcPr>
            <w:tcW w:w="2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$ 6.9</w:t>
            </w:r>
          </w:p>
        </w:tc>
        <w:tc>
          <w:tcPr>
            <w:tcW w:w="2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 (6.6)</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$ 5.8</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 (34.3)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267575" cy="818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818515"/>
                    </a:xfrm>
                    <a:prstGeom prst="rect">
                      <a:avLst/>
                    </a:prstGeom>
                    <a:noFill/>
                  </pic:spPr>
                </pic:pic>
              </a:graphicData>
            </a:graphic>
          </wp:anchor>
        </w:drawing>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15"/>
          <w:szCs w:val="15"/>
          <w:b w:val="1"/>
          <w:bCs w:val="1"/>
          <w:color w:val="auto"/>
        </w:rPr>
        <w:t>(1)</w:t>
      </w:r>
    </w:p>
    <w:p>
      <w:pPr>
        <w:spacing w:after="0" w:line="7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Q4 FY</w:t>
            </w: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Q3 FY</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Q4 FY</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 Months</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 Months</w:t>
            </w:r>
          </w:p>
        </w:tc>
      </w:tr>
      <w:tr>
        <w:trPr>
          <w:trHeight w:val="241"/>
        </w:trPr>
        <w:tc>
          <w:tcPr>
            <w:tcW w:w="594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2013</w:t>
            </w: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$ 10.2</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$ 10.9</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(2.6)</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$ 26.5</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(19.5)</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Income (loss) per share</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36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36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$1.02</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$(0.78)</w:t>
            </w:r>
          </w:p>
        </w:tc>
      </w:tr>
    </w:tbl>
    <w:p>
      <w:pPr>
        <w:spacing w:after="0" w:line="34" w:lineRule="exact"/>
        <w:rPr>
          <w:sz w:val="20"/>
          <w:szCs w:val="20"/>
          <w:color w:val="auto"/>
        </w:rPr>
      </w:pPr>
    </w:p>
    <w:p>
      <w:pPr>
        <w:ind w:left="220" w:right="220" w:hanging="212"/>
        <w:spacing w:after="0" w:line="291" w:lineRule="auto"/>
        <w:tabs>
          <w:tab w:leader="none" w:pos="220" w:val="left"/>
        </w:tabs>
        <w:numPr>
          <w:ilvl w:val="0"/>
          <w:numId w:val="1"/>
        </w:numPr>
        <w:rPr>
          <w:rFonts w:ascii="Arial" w:cs="Arial" w:eastAsia="Arial" w:hAnsi="Arial"/>
          <w:sz w:val="11"/>
          <w:szCs w:val="11"/>
          <w:color w:val="auto"/>
        </w:rPr>
      </w:pPr>
      <w:r>
        <w:rPr>
          <w:rFonts w:ascii="Arial" w:cs="Arial" w:eastAsia="Arial" w:hAnsi="Arial"/>
          <w:sz w:val="13"/>
          <w:szCs w:val="13"/>
          <w:color w:val="auto"/>
        </w:rPr>
        <w:t>On June 6, 2014 the Company announced the completion of the sale of substantially all the assets of its video camera segment, Cohu Electronics and, as a result, the operating results of Cohu Electronics have been presented as discontinued operations and all prior period amounts have been reclassified accordingly. All amounts presented are from continuing operations.</w:t>
      </w:r>
    </w:p>
    <w:p>
      <w:pPr>
        <w:spacing w:after="0" w:line="128" w:lineRule="exact"/>
        <w:rPr>
          <w:sz w:val="20"/>
          <w:szCs w:val="20"/>
          <w:color w:val="auto"/>
        </w:rPr>
      </w:pPr>
    </w:p>
    <w:p>
      <w:pPr>
        <w:ind w:right="680"/>
        <w:spacing w:after="0" w:line="405" w:lineRule="auto"/>
        <w:rPr>
          <w:sz w:val="20"/>
          <w:szCs w:val="20"/>
          <w:color w:val="auto"/>
        </w:rPr>
      </w:pPr>
      <w:r>
        <w:rPr>
          <w:rFonts w:ascii="Arial" w:cs="Arial" w:eastAsia="Arial" w:hAnsi="Arial"/>
          <w:sz w:val="16"/>
          <w:szCs w:val="16"/>
          <w:color w:val="auto"/>
        </w:rPr>
        <w:t>Sales of semiconductor equipment accounted for 94% of fiscal 2014 fourth quarter sales and microwave communications equipment contributed 6%. Orders were $60.7 million for the fourth quarter of 2014 and $86.7 million for the third quarter of 2014. Orders for semiconductor equipment were</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$56.0 million in the fourth quarter of 2014 compared to $82.6 million in the third quarter of 2014 as customers digested the significant capacity additions from recent quarters. Total consolidated backlog was $75.4 million at December 27, 2014 compared to $110.9 million at September 27, 2014. Cohu expects first quarter 2015 sales to be approximately $63.0 million.</w:t>
      </w:r>
    </w:p>
    <w:p>
      <w:pPr>
        <w:spacing w:after="0" w:line="15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Luis A. Müller, President and Chief Executive Officer of Cohu stated, “Fourth quarter sales were above our guidance and benefited from early acceptances of our new handlers. This wraps up a highly successful year, in which we gained market share, increased sales by 44% to $333.3 million, an all-time record, and improved non-GAAP operating income by approximately $52 million year-over-year.”</w:t>
      </w:r>
    </w:p>
    <w:p>
      <w:pPr>
        <w:spacing w:after="0" w:line="15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Müller concluded, “Midway through Q1 2015, equipment utilization remains at 80% and customer activity is strong in key markets. In January we received a $17.8 million follow-on order for our T-Core thermal subsystem for testing mobile processors. Our strategy is to continue driving incremental sales synergies across our product portfolio, grow share in key markets, lower product cost and apply a strict financial discipline to managing product development.”</w:t>
      </w:r>
    </w:p>
    <w:p>
      <w:pPr>
        <w:sectPr>
          <w:pgSz w:w="11900" w:h="16838" w:orient="portrait"/>
          <w:cols w:equalWidth="0" w:num="1">
            <w:col w:w="11420"/>
          </w:cols>
          <w:pgMar w:left="240" w:top="125" w:right="23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Cohu’s Board of Directors approved a quarterly cash dividend of $0.06 per share payable on April 17, 2015 to shareholders of record on March 3, 2015. Cohu has paid consecutive quarterly cash dividends since 1977.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Included within this press release are non-GAAP financial measures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manufacturing transition costs, employee severance costs, goodwill and other asset impairment, other acquisition costs and the purchase accounting inventory step-up included in cost of goods sold. Reconciliations of GAAP to non-GAAP amounts for the periods presented herein are provided in schedules accompanying this release and should be considered together with the Condensed Consolidated Statements of Operations.</w:t>
      </w:r>
    </w:p>
    <w:p>
      <w:pPr>
        <w:spacing w:after="0" w:line="13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matters discussed in this release, including statements regarding market share gains, expectations of business and market conditions, orders, sales, revenues and operating results are forward-looking statements that are subject to risks and uncertainties that could cause actual results to differ materially from those projected or forecasted. Such risks and uncertainties include, but are not limited to, risks associated with acquisitions, inventory, goodwill and other asset write-downs; our ability to convert new products under development into production on a timely basis, support product development and meet customer delivery and acceptance requirements for next generation equipment; our reliance on third-party contract manufacturers; failure to obtain customer acceptance resulting in the inability to recognize revenue and accounts receivable collection problems; customer orders may be canceled or delayed; the concentration of our revenues from a limited number of customers; intense competition in the semiconductor test handler industry; our reliance on patents and intellectual property; compliance with U.S. export regulations; and the cyclical and unpredictable nature of capital expenditures by semiconductor manufacturers. These and other risks and uncertainties are discussed more fully in Cohu’s filings with the Securities and Exchange Commission, including the most recently filed Form 10-K and Form 10-Q. Cohu assumes no obligation to update the information in this release.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18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Cohu is a leading supplier of semiconductor test and inspection handlers, micro-electro mechanical system (MEMS) test modules, test contactors and thermal sub-systems used by global semiconductor manufacturers and test subcontractors as well as a supplier of mobile microwave communications equipment.</w:t>
      </w:r>
    </w:p>
    <w:p>
      <w:pPr>
        <w:spacing w:after="0" w:line="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Cohu will be conducting their conference call on Thursday, February 19, 2015 at 1:30 p.m. Pacific Time/4:30 p.m. Eastern Time. The call will be webcast at www.cohu.com. Replays of the call can be accessed at www.cohu.com.</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press releases and other information of interest to investors, please visit Cohu’s website at www.cohu.com. Contact: Jeffrey D. Jones - Investor Relations (858) 848-8106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tcPr>
          <w:p>
            <w:pPr>
              <w:ind w:left="140"/>
              <w:spacing w:after="0"/>
              <w:rPr>
                <w:sz w:val="20"/>
                <w:szCs w:val="20"/>
                <w:color w:val="auto"/>
              </w:rPr>
            </w:pPr>
            <w:r>
              <w:rPr>
                <w:rFonts w:ascii="Arial" w:cs="Arial" w:eastAsia="Arial" w:hAnsi="Arial"/>
                <w:sz w:val="14"/>
                <w:szCs w:val="14"/>
                <w:color w:val="auto"/>
              </w:rPr>
              <w:t xml:space="preserve">Three Months Ended </w:t>
            </w:r>
            <w:r>
              <w:rPr>
                <w:rFonts w:ascii="Arial" w:cs="Arial" w:eastAsia="Arial" w:hAnsi="Arial"/>
                <w:sz w:val="12"/>
                <w:szCs w:val="12"/>
                <w:color w:val="auto"/>
              </w:rPr>
              <w:t>(1)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340"/>
              <w:spacing w:after="0"/>
              <w:rPr>
                <w:sz w:val="20"/>
                <w:szCs w:val="20"/>
                <w:color w:val="auto"/>
              </w:rPr>
            </w:pPr>
            <w:r>
              <w:rPr>
                <w:rFonts w:ascii="Arial" w:cs="Arial" w:eastAsia="Arial" w:hAnsi="Arial"/>
                <w:sz w:val="14"/>
                <w:szCs w:val="14"/>
                <w:color w:val="auto"/>
                <w:w w:val="98"/>
              </w:rPr>
              <w:t xml:space="preserve">Twelve Months Ended </w:t>
            </w:r>
            <w:r>
              <w:rPr>
                <w:rFonts w:ascii="Arial" w:cs="Arial" w:eastAsia="Arial" w:hAnsi="Arial"/>
                <w:sz w:val="12"/>
                <w:szCs w:val="12"/>
                <w:color w:val="auto"/>
                <w:w w:val="98"/>
              </w:rPr>
              <w:t>(1)</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December 28,</w:t>
            </w:r>
          </w:p>
        </w:tc>
        <w:tc>
          <w:tcPr>
            <w:tcW w:w="2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27,</w:t>
            </w:r>
          </w:p>
        </w:tc>
        <w:tc>
          <w:tcPr>
            <w:tcW w:w="3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w w:val="97"/>
              </w:rPr>
              <w:t>December 28,</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2013</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2013</w:t>
            </w:r>
          </w:p>
        </w:tc>
        <w:tc>
          <w:tcPr>
            <w:tcW w:w="80" w:type="dxa"/>
            <w:vAlign w:val="bottom"/>
            <w:tcBorders>
              <w:bottom w:val="single" w:sz="8" w:color="CCEEFF"/>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96,168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333,323</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231,574</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Cost and expenses: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sales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64,793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43,888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221,088</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168,186</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10,182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11,251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40,601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46,452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14,124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57,536</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54,053</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240"/>
              <w:spacing w:after="0" w:line="202" w:lineRule="exact"/>
              <w:rPr>
                <w:sz w:val="20"/>
                <w:szCs w:val="20"/>
                <w:color w:val="auto"/>
              </w:rPr>
            </w:pPr>
            <w:r>
              <w:rPr>
                <w:rFonts w:ascii="Arial" w:cs="Arial" w:eastAsia="Arial" w:hAnsi="Arial"/>
                <w:sz w:val="14"/>
                <w:szCs w:val="14"/>
                <w:color w:val="auto"/>
              </w:rPr>
              <w:t xml:space="preserve">Impairment of goodwill and other assets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94,099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67,803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324,225</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268,691</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2,069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(6,667)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9,098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(37,117)</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net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0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before taxes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(6,655)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9,128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(37,063)</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(benefit)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3,293</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0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1,337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(6,578)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5,835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(34,260)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6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60"/>
              <w:spacing w:after="0" w:line="202" w:lineRule="exact"/>
              <w:rPr>
                <w:sz w:val="20"/>
                <w:szCs w:val="20"/>
                <w:color w:val="auto"/>
              </w:rPr>
            </w:pPr>
            <w:r>
              <w:rPr>
                <w:rFonts w:ascii="Arial" w:cs="Arial" w:eastAsia="Arial" w:hAnsi="Arial"/>
                <w:sz w:val="14"/>
                <w:szCs w:val="14"/>
                <w:color w:val="auto"/>
              </w:rPr>
              <w:t xml:space="preserve">Income from discontinued operations before taxes </w:t>
            </w:r>
            <w:r>
              <w:rPr>
                <w:rFonts w:ascii="Arial" w:cs="Arial" w:eastAsia="Arial" w:hAnsi="Arial"/>
                <w:sz w:val="23"/>
                <w:szCs w:val="23"/>
                <w:color w:val="auto"/>
                <w:vertAlign w:val="superscript"/>
              </w:rPr>
              <w:t>(3)</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4,192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1,317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provision</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1,319</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6"/>
                <w:szCs w:val="16"/>
                <w:color w:val="auto"/>
              </w:rPr>
              <w:t>Income (loss) from discontinued operations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2,873</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374</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(6,450)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8,708</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(33,418)</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6"/>
                <w:szCs w:val="16"/>
                <w:color w:val="auto"/>
              </w:rPr>
              <w:t>Income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0.05</w:t>
            </w:r>
          </w:p>
        </w:tc>
        <w:tc>
          <w:tcPr>
            <w:tcW w:w="200" w:type="dxa"/>
            <w:vAlign w:val="bottom"/>
          </w:tcPr>
          <w:p>
            <w:pPr>
              <w:spacing w:after="0"/>
              <w:rPr>
                <w:sz w:val="17"/>
                <w:szCs w:val="17"/>
                <w:color w:val="auto"/>
              </w:rPr>
            </w:pPr>
          </w:p>
        </w:tc>
        <w:tc>
          <w:tcPr>
            <w:tcW w:w="3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(0.27)</w:t>
            </w:r>
          </w:p>
        </w:tc>
        <w:tc>
          <w:tcPr>
            <w:tcW w:w="360" w:type="dxa"/>
            <w:vAlign w:val="bottom"/>
            <w:gridSpan w:val="2"/>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0.23</w:t>
            </w:r>
          </w:p>
        </w:tc>
        <w:tc>
          <w:tcPr>
            <w:tcW w:w="5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(1.37)</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(loss) from discontinued operations</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(0.04)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0.34</w:t>
            </w:r>
          </w:p>
        </w:tc>
        <w:tc>
          <w:tcPr>
            <w:tcW w:w="3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0.05</w:t>
            </w:r>
          </w:p>
        </w:tc>
        <w:tc>
          <w:tcPr>
            <w:tcW w:w="200" w:type="dxa"/>
            <w:vAlign w:val="bottom"/>
          </w:tcPr>
          <w:p>
            <w:pPr>
              <w:spacing w:after="0"/>
              <w:rPr>
                <w:sz w:val="17"/>
                <w:szCs w:val="17"/>
                <w:color w:val="auto"/>
              </w:rPr>
            </w:pPr>
          </w:p>
        </w:tc>
        <w:tc>
          <w:tcPr>
            <w:tcW w:w="3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(0.27)</w:t>
            </w:r>
          </w:p>
        </w:tc>
        <w:tc>
          <w:tcPr>
            <w:tcW w:w="360" w:type="dxa"/>
            <w:vAlign w:val="bottom"/>
            <w:gridSpan w:val="2"/>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0.22</w:t>
            </w:r>
          </w:p>
        </w:tc>
        <w:tc>
          <w:tcPr>
            <w:tcW w:w="5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(1.37)</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(loss) from discontinued operations</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(0.04)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0.33</w:t>
            </w:r>
          </w:p>
        </w:tc>
        <w:tc>
          <w:tcPr>
            <w:tcW w:w="3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480" w:type="dxa"/>
            <w:vAlign w:val="bottom"/>
            <w:shd w:val="clear" w:color="auto" w:fill="CCEEFF"/>
          </w:tcPr>
          <w:p>
            <w:pPr>
              <w:spacing w:after="0" w:line="199" w:lineRule="exact"/>
              <w:rPr>
                <w:sz w:val="20"/>
                <w:szCs w:val="20"/>
                <w:color w:val="auto"/>
              </w:rPr>
            </w:pPr>
            <w:r>
              <w:rPr>
                <w:rFonts w:ascii="Arial" w:cs="Arial" w:eastAsia="Arial" w:hAnsi="Arial"/>
                <w:sz w:val="14"/>
                <w:szCs w:val="14"/>
                <w:color w:val="auto"/>
              </w:rPr>
              <w:t xml:space="preserve">Weighted average shares used in computing income (loss) per share: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25,646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25,393</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26,338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26,006</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24,859</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80" w:right="200" w:hanging="331"/>
        <w:spacing w:after="0" w:line="238" w:lineRule="auto"/>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three- and twelve-month periods ended December 27, 2014 and December 28, 2013 were comprised of 13 weeks and 52 weeks, respectively. On June 6, 2014 the Company announced the completion of the sale of substantially all the assets of its video camera segment, Cohu Electronics and, as a result, the operating results of Cohu Electronics have been presented as discontinued operations and all prior period amounts have been reclassified accordingly.</w:t>
      </w:r>
    </w:p>
    <w:p>
      <w:pPr>
        <w:spacing w:after="0" w:line="88" w:lineRule="exact"/>
        <w:rPr>
          <w:rFonts w:ascii="Arial" w:cs="Arial" w:eastAsia="Arial" w:hAnsi="Arial"/>
          <w:sz w:val="14"/>
          <w:szCs w:val="14"/>
          <w:color w:val="auto"/>
        </w:rPr>
      </w:pPr>
    </w:p>
    <w:p>
      <w:pPr>
        <w:ind w:left="380" w:right="240" w:hanging="331"/>
        <w:spacing w:after="0" w:line="253" w:lineRule="auto"/>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 represents an impairment charge recorded against goodwill and other assets of the Company’s mobile microwave communications equipment segment during the fourth quarter of 2014.</w:t>
      </w:r>
    </w:p>
    <w:p>
      <w:pPr>
        <w:spacing w:after="0" w:line="79" w:lineRule="exact"/>
        <w:rPr>
          <w:rFonts w:ascii="Arial" w:cs="Arial" w:eastAsia="Arial" w:hAnsi="Arial"/>
          <w:sz w:val="14"/>
          <w:szCs w:val="14"/>
          <w:color w:val="auto"/>
        </w:rPr>
      </w:pPr>
    </w:p>
    <w:p>
      <w:pPr>
        <w:ind w:left="380" w:right="160" w:hanging="331"/>
        <w:spacing w:after="0" w:line="253" w:lineRule="auto"/>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 gain on sale of our video camera segment of $4.4 million for the twelve-month period ended December 27, 2014 and $0.3 million for the three months ended December 27, 2014. The additional gain recognized in the fourth quarter was a result of a fair market value adjustment to the contingent consideration expected to be received.</w:t>
      </w:r>
    </w:p>
    <w:p>
      <w:pPr>
        <w:spacing w:after="0" w:line="79" w:lineRule="exact"/>
        <w:rPr>
          <w:rFonts w:ascii="Arial" w:cs="Arial" w:eastAsia="Arial" w:hAnsi="Arial"/>
          <w:sz w:val="14"/>
          <w:szCs w:val="14"/>
          <w:color w:val="auto"/>
        </w:rPr>
      </w:pPr>
    </w:p>
    <w:p>
      <w:pPr>
        <w:ind w:left="380" w:right="20" w:hanging="331"/>
        <w:spacing w:after="0" w:line="234" w:lineRule="auto"/>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 has utilized the “control number” concept in the computation of diluted earnings per share to determine whether a potential common stock instrument is dilutive. The control number used is income/loss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is recognized in the calculation of income from discontinued operations per share for the three and twelve months ended December 28, 2013.</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December 28,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1"/>
              <w:spacing w:after="0" w:line="220" w:lineRule="exact"/>
              <w:rPr>
                <w:sz w:val="20"/>
                <w:szCs w:val="20"/>
                <w:color w:val="auto"/>
              </w:rPr>
            </w:pPr>
            <w:r>
              <w:rPr>
                <w:rFonts w:ascii="Arial" w:cs="Arial" w:eastAsia="Arial" w:hAnsi="Arial"/>
                <w:sz w:val="15"/>
                <w:szCs w:val="15"/>
                <w:b w:val="1"/>
                <w:bCs w:val="1"/>
                <w:color w:val="auto"/>
              </w:rPr>
              <w:t xml:space="preserve">2014 </w:t>
            </w:r>
            <w:r>
              <w:rPr>
                <w:rFonts w:ascii="Arial" w:cs="Arial" w:eastAsia="Arial" w:hAnsi="Arial"/>
                <w:sz w:val="25"/>
                <w:szCs w:val="25"/>
                <w:b w:val="1"/>
                <w:bCs w:val="1"/>
                <w:color w:val="auto"/>
                <w:vertAlign w:val="superscript"/>
              </w:rPr>
              <w:t>(1)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line="220" w:lineRule="exact"/>
              <w:rPr>
                <w:sz w:val="20"/>
                <w:szCs w:val="20"/>
                <w:color w:val="auto"/>
              </w:rPr>
            </w:pPr>
            <w:r>
              <w:rPr>
                <w:rFonts w:ascii="Arial" w:cs="Arial" w:eastAsia="Arial" w:hAnsi="Arial"/>
                <w:sz w:val="15"/>
                <w:szCs w:val="15"/>
                <w:color w:val="auto"/>
              </w:rPr>
              <w:t xml:space="preserve">2013 </w:t>
            </w:r>
            <w:r>
              <w:rPr>
                <w:rFonts w:ascii="Arial" w:cs="Arial" w:eastAsia="Arial" w:hAnsi="Arial"/>
                <w:sz w:val="25"/>
                <w:szCs w:val="25"/>
                <w:color w:val="auto"/>
                <w:vertAlign w:val="superscript"/>
              </w:rPr>
              <w:t>(1)</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investments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72,040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73,646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13,586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214,817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63,132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5,928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348,818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Liabilities &amp; Stockholders’ Equity:</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profit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 of discontinued operations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69,553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247,068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348,818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460" w:hanging="344"/>
        <w:spacing w:after="0" w:line="253"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June 6, 2014 the Company announced the completion of the sale of substantially all the assets of its video camera segment, Cohu Electronics and, as a result, the assets and liabilities of Cohu Electronics have been presented as discontinued operations and all prior period amounts have been reclassified accordingly.</w:t>
      </w:r>
    </w:p>
    <w:p>
      <w:pPr>
        <w:sectPr>
          <w:pgSz w:w="11900" w:h="16838" w:orient="portrait"/>
          <w:cols w:equalWidth="0" w:num="1">
            <w:col w:w="11260"/>
          </w:cols>
          <w:pgMar w:left="240" w:top="270"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4"/>
          </w:tcPr>
          <w:p>
            <w:pPr>
              <w:ind w:left="140"/>
              <w:spacing w:after="0"/>
              <w:rPr>
                <w:sz w:val="20"/>
                <w:szCs w:val="20"/>
                <w:color w:val="auto"/>
              </w:rPr>
            </w:pPr>
            <w:r>
              <w:rPr>
                <w:rFonts w:ascii="Arial" w:cs="Arial" w:eastAsia="Arial" w:hAnsi="Arial"/>
                <w:sz w:val="16"/>
                <w:szCs w:val="16"/>
                <w:color w:val="auto"/>
              </w:rPr>
              <w:t>Three Months Ended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6"/>
                <w:szCs w:val="16"/>
                <w:color w:val="auto"/>
              </w:rPr>
              <w:t>December 27,</w:t>
            </w:r>
          </w:p>
        </w:tc>
        <w:tc>
          <w:tcPr>
            <w:tcW w:w="34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color w:val="auto"/>
              </w:rPr>
              <w:t>September 27,</w:t>
            </w:r>
          </w:p>
        </w:tc>
        <w:tc>
          <w:tcPr>
            <w:tcW w:w="1000" w:type="dxa"/>
            <w:vAlign w:val="bottom"/>
            <w:gridSpan w:val="3"/>
          </w:tcPr>
          <w:p>
            <w:pPr>
              <w:spacing w:after="0"/>
              <w:rPr>
                <w:sz w:val="20"/>
                <w:szCs w:val="20"/>
                <w:color w:val="auto"/>
              </w:rPr>
            </w:pPr>
            <w:r>
              <w:rPr>
                <w:rFonts w:ascii="Arial" w:cs="Arial" w:eastAsia="Arial" w:hAnsi="Arial"/>
                <w:sz w:val="16"/>
                <w:szCs w:val="16"/>
                <w:color w:val="auto"/>
                <w:w w:val="97"/>
              </w:rPr>
              <w:t>December 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2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2014</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2014</w:t>
            </w: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 - GAAP basis (a)</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9,408</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Non-GAAP adjustments: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Share-based compensation included in (b):</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320"/>
              <w:spacing w:after="0"/>
              <w:rPr>
                <w:sz w:val="20"/>
                <w:szCs w:val="20"/>
                <w:color w:val="auto"/>
              </w:rPr>
            </w:pPr>
            <w:r>
              <w:rPr>
                <w:rFonts w:ascii="Arial" w:cs="Arial" w:eastAsia="Arial" w:hAnsi="Arial"/>
                <w:sz w:val="16"/>
                <w:szCs w:val="16"/>
                <w:color w:val="auto"/>
              </w:rPr>
              <w:t>Cost of goods sold</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rPr>
                <w:sz w:val="20"/>
                <w:szCs w:val="20"/>
                <w:color w:val="auto"/>
              </w:rPr>
            </w:pPr>
            <w:r>
              <w:rPr>
                <w:rFonts w:ascii="Arial" w:cs="Arial" w:eastAsia="Arial" w:hAnsi="Arial"/>
                <w:sz w:val="16"/>
                <w:szCs w:val="16"/>
                <w:color w:val="auto"/>
              </w:rPr>
              <w:t>Amortization of intangible assets included in (c):</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goods sold</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rPr>
                <w:sz w:val="20"/>
                <w:szCs w:val="20"/>
                <w:color w:val="auto"/>
              </w:rPr>
            </w:pPr>
            <w:r>
              <w:rPr>
                <w:rFonts w:ascii="Arial" w:cs="Arial" w:eastAsia="Arial" w:hAnsi="Arial"/>
                <w:sz w:val="16"/>
                <w:szCs w:val="16"/>
                <w:color w:val="auto"/>
              </w:rPr>
              <w:t>Manufacturing transition and severance costs included in (d):</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goods sold</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4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721</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Impairment of goodwill and other assets (e)</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6"/>
                <w:szCs w:val="16"/>
                <w:color w:val="auto"/>
              </w:rPr>
              <w:t>Inventory step-up included in cost of goods sold (f)</w:t>
            </w:r>
          </w:p>
        </w:tc>
        <w:tc>
          <w:tcPr>
            <w:tcW w:w="1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 - non-GAAP basis (g)</w:t>
            </w:r>
          </w:p>
        </w:tc>
        <w:tc>
          <w:tcPr>
            <w:tcW w:w="1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13,777</w:t>
            </w:r>
          </w:p>
        </w:tc>
        <w:tc>
          <w:tcPr>
            <w:tcW w:w="4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6"/>
                <w:szCs w:val="16"/>
                <w:color w:val="auto"/>
              </w:rPr>
              <w:t>Income (loss) from continuing operations - GAAP basis</w:t>
            </w: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40" w:type="dxa"/>
            <w:vAlign w:val="bottom"/>
            <w:gridSpan w:val="2"/>
            <w:vMerge w:val="continue"/>
          </w:tcPr>
          <w:p>
            <w:pPr>
              <w:spacing w:after="0"/>
              <w:rPr>
                <w:sz w:val="16"/>
                <w:szCs w:val="16"/>
                <w:color w:val="auto"/>
              </w:rPr>
            </w:pPr>
          </w:p>
        </w:tc>
        <w:tc>
          <w:tcPr>
            <w:tcW w:w="1540" w:type="dxa"/>
            <w:vAlign w:val="bottom"/>
            <w:gridSpan w:val="2"/>
          </w:tcPr>
          <w:p>
            <w:pPr>
              <w:ind w:left="13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1,337</w:t>
            </w:r>
          </w:p>
        </w:tc>
        <w:tc>
          <w:tcPr>
            <w:tcW w:w="140" w:type="dxa"/>
            <w:vAlign w:val="bottom"/>
          </w:tcPr>
          <w:p>
            <w:pPr>
              <w:spacing w:after="0"/>
              <w:rPr>
                <w:sz w:val="16"/>
                <w:szCs w:val="16"/>
                <w:color w:val="auto"/>
              </w:rPr>
            </w:pPr>
          </w:p>
        </w:tc>
        <w:tc>
          <w:tcPr>
            <w:tcW w:w="5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6,921</w:t>
            </w:r>
          </w:p>
        </w:tc>
        <w:tc>
          <w:tcPr>
            <w:tcW w:w="4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Non-GAAP adjustments (as scheduled above)</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9,372</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6"/>
                <w:szCs w:val="16"/>
                <w:color w:val="auto"/>
              </w:rPr>
              <w:t>Tax effect of non-GAAP adjustments (h)</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(493)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6"/>
                <w:szCs w:val="16"/>
                <w:color w:val="auto"/>
              </w:rPr>
              <w:t>(342)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 - non-GAAP basis</w:t>
            </w:r>
          </w:p>
        </w:tc>
        <w:tc>
          <w:tcPr>
            <w:tcW w:w="134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10,216</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10,948</w:t>
            </w:r>
          </w:p>
        </w:tc>
        <w:tc>
          <w:tcPr>
            <w:tcW w:w="48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6"/>
                <w:szCs w:val="16"/>
                <w:color w:val="auto"/>
              </w:rPr>
              <w:t>GAAP income (loss) from continuing operations per share - diluted</w:t>
            </w: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40" w:type="dxa"/>
            <w:vAlign w:val="bottom"/>
            <w:gridSpan w:val="2"/>
            <w:vMerge w:val="continue"/>
          </w:tcPr>
          <w:p>
            <w:pPr>
              <w:spacing w:after="0"/>
              <w:rPr>
                <w:sz w:val="16"/>
                <w:szCs w:val="16"/>
                <w:color w:val="auto"/>
              </w:rPr>
            </w:pPr>
          </w:p>
        </w:tc>
        <w:tc>
          <w:tcPr>
            <w:tcW w:w="1540" w:type="dxa"/>
            <w:vAlign w:val="bottom"/>
            <w:gridSpan w:val="2"/>
          </w:tcPr>
          <w:p>
            <w:pPr>
              <w:ind w:left="13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6"/>
                <w:szCs w:val="16"/>
                <w:color w:val="auto"/>
              </w:rPr>
            </w:pPr>
          </w:p>
        </w:tc>
        <w:tc>
          <w:tcPr>
            <w:tcW w:w="5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0.27</w:t>
            </w:r>
          </w:p>
        </w:tc>
        <w:tc>
          <w:tcPr>
            <w:tcW w:w="4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Non-GAAP income (loss) from continuing operations per share - diluted (i)</w:t>
            </w:r>
          </w:p>
        </w:tc>
        <w:tc>
          <w:tcPr>
            <w:tcW w:w="154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Goodwill and other asset impairment exists when the reporting unit’s carrying value exceeds its fair value. Management has excluded this item because it is not reflective of the ongoing operating results and because of the infrequent and non-cash nature of this activity. Inventory step-up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ind w:left="340" w:hanging="224"/>
        <w:spacing w:after="0" w:line="232"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2.2%, 10.0% and (10.9)% of net sales, respectively.</w:t>
      </w:r>
    </w:p>
    <w:p>
      <w:pPr>
        <w:ind w:left="340" w:hanging="224"/>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340" w:hanging="224"/>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340" w:hanging="224"/>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eliminate manufacturing transition and employee severance costs.</w:t>
      </w:r>
    </w:p>
    <w:p>
      <w:pPr>
        <w:ind w:left="340" w:hanging="224"/>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eliminate the impairment charge for goodwill and other assets recorded by our microwave communications equipment reporting unit.</w:t>
      </w:r>
    </w:p>
    <w:p>
      <w:pPr>
        <w:ind w:left="340" w:hanging="224"/>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eliminate the inventory step-up costs incurred related to the acquisition of Ismeca.</w:t>
      </w:r>
    </w:p>
    <w:p>
      <w:pPr>
        <w:ind w:left="340" w:hanging="224"/>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11.9%, 14.6% and (3.6)% of net sales, respectively.</w:t>
      </w:r>
    </w:p>
    <w:p>
      <w:pPr>
        <w:ind w:left="340" w:hanging="224"/>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ind w:left="340" w:hanging="224"/>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Computed using number of GAAP diluted shares outstanding for each period presented.</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6"/>
          </w:tcPr>
          <w:p>
            <w:pPr>
              <w:ind w:left="200"/>
              <w:spacing w:after="0"/>
              <w:rPr>
                <w:sz w:val="20"/>
                <w:szCs w:val="20"/>
                <w:color w:val="auto"/>
              </w:rPr>
            </w:pPr>
            <w:r>
              <w:rPr>
                <w:rFonts w:ascii="Arial" w:cs="Arial" w:eastAsia="Arial" w:hAnsi="Arial"/>
                <w:sz w:val="16"/>
                <w:szCs w:val="16"/>
                <w:color w:val="auto"/>
              </w:rPr>
              <w:t>Twelve Months Ended</w:t>
            </w:r>
          </w:p>
        </w:tc>
      </w:tr>
      <w:tr>
        <w:trPr>
          <w:trHeight w:val="203"/>
        </w:trPr>
        <w:tc>
          <w:tcPr>
            <w:tcW w:w="908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auto"/>
              </w:rPr>
              <w:t>December 27,</w:t>
            </w:r>
          </w:p>
        </w:tc>
        <w:tc>
          <w:tcPr>
            <w:tcW w:w="1000" w:type="dxa"/>
            <w:vAlign w:val="bottom"/>
            <w:gridSpan w:val="4"/>
          </w:tcPr>
          <w:p>
            <w:pPr>
              <w:spacing w:after="0"/>
              <w:rPr>
                <w:sz w:val="20"/>
                <w:szCs w:val="20"/>
                <w:color w:val="auto"/>
              </w:rPr>
            </w:pPr>
            <w:r>
              <w:rPr>
                <w:rFonts w:ascii="Arial" w:cs="Arial" w:eastAsia="Arial" w:hAnsi="Arial"/>
                <w:sz w:val="16"/>
                <w:szCs w:val="16"/>
                <w:color w:val="auto"/>
                <w:w w:val="97"/>
              </w:rPr>
              <w:t>December 28,</w:t>
            </w:r>
          </w:p>
        </w:tc>
      </w:tr>
      <w:tr>
        <w:trPr>
          <w:trHeight w:val="206"/>
        </w:trPr>
        <w:tc>
          <w:tcPr>
            <w:tcW w:w="90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2014</w:t>
            </w:r>
          </w:p>
        </w:tc>
        <w:tc>
          <w:tcPr>
            <w:tcW w:w="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2013</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r>
      <w:tr>
        <w:trPr>
          <w:trHeight w:val="202"/>
        </w:trPr>
        <w:tc>
          <w:tcPr>
            <w:tcW w:w="90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 - GAAP basis (a)</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9,098</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rPr>
                <w:sz w:val="20"/>
                <w:szCs w:val="20"/>
                <w:color w:val="auto"/>
              </w:rPr>
            </w:pPr>
            <w:r>
              <w:rPr>
                <w:rFonts w:ascii="Arial" w:cs="Arial" w:eastAsia="Arial" w:hAnsi="Arial"/>
                <w:sz w:val="16"/>
                <w:szCs w:val="16"/>
                <w:color w:val="auto"/>
              </w:rPr>
              <w:t>Non-GAAP adjustments: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 included in (b):</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80" w:type="dxa"/>
            <w:vAlign w:val="bottom"/>
          </w:tcPr>
          <w:p>
            <w:pPr>
              <w:ind w:left="3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08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4,193</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80" w:type="dxa"/>
            <w:vAlign w:val="bottom"/>
          </w:tcPr>
          <w:p>
            <w:pPr>
              <w:ind w:left="180"/>
              <w:spacing w:after="0"/>
              <w:rPr>
                <w:sz w:val="20"/>
                <w:szCs w:val="20"/>
                <w:color w:val="auto"/>
              </w:rPr>
            </w:pPr>
            <w:r>
              <w:rPr>
                <w:rFonts w:ascii="Arial" w:cs="Arial" w:eastAsia="Arial" w:hAnsi="Arial"/>
                <w:sz w:val="16"/>
                <w:szCs w:val="16"/>
                <w:color w:val="auto"/>
              </w:rPr>
              <w:t>Amortization of intangible assets included in (c):</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goods sold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6,409</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08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8,090</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80" w:type="dxa"/>
            <w:vAlign w:val="bottom"/>
          </w:tcPr>
          <w:p>
            <w:pPr>
              <w:ind w:left="180"/>
              <w:spacing w:after="0"/>
              <w:rPr>
                <w:sz w:val="20"/>
                <w:szCs w:val="20"/>
                <w:color w:val="auto"/>
              </w:rPr>
            </w:pPr>
            <w:r>
              <w:rPr>
                <w:rFonts w:ascii="Arial" w:cs="Arial" w:eastAsia="Arial" w:hAnsi="Arial"/>
                <w:sz w:val="16"/>
                <w:szCs w:val="16"/>
                <w:color w:val="auto"/>
              </w:rPr>
              <w:t>Manufacturing transition and severance costs included in (d):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goods sold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8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478</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9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3,078</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2,335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9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of goodwill and other assets (e)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80" w:type="dxa"/>
            <w:vAlign w:val="bottom"/>
          </w:tcPr>
          <w:p>
            <w:pPr>
              <w:ind w:left="180"/>
              <w:spacing w:after="0"/>
              <w:rPr>
                <w:sz w:val="20"/>
                <w:szCs w:val="20"/>
                <w:color w:val="auto"/>
              </w:rPr>
            </w:pPr>
            <w:r>
              <w:rPr>
                <w:rFonts w:ascii="Arial" w:cs="Arial" w:eastAsia="Arial" w:hAnsi="Arial"/>
                <w:sz w:val="16"/>
                <w:szCs w:val="16"/>
                <w:color w:val="auto"/>
              </w:rPr>
              <w:t>Other acquisition costs included in selling, general and administrative (f)</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 step-up included in costs of goods sold (g)</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9080" w:type="dxa"/>
            <w:vAlign w:val="bottom"/>
          </w:tcPr>
          <w:p>
            <w:pPr>
              <w:spacing w:after="0"/>
              <w:rPr>
                <w:sz w:val="20"/>
                <w:szCs w:val="20"/>
                <w:color w:val="auto"/>
              </w:rPr>
            </w:pPr>
            <w:r>
              <w:rPr>
                <w:rFonts w:ascii="Arial" w:cs="Arial" w:eastAsia="Arial" w:hAnsi="Arial"/>
                <w:sz w:val="16"/>
                <w:szCs w:val="16"/>
                <w:color w:val="auto"/>
              </w:rPr>
              <w:t>Income (loss) from operations - non-GAAP basis (h)</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31,851</w:t>
            </w:r>
          </w:p>
        </w:tc>
        <w:tc>
          <w:tcPr>
            <w:tcW w:w="4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(20,014)</w:t>
            </w:r>
          </w:p>
        </w:tc>
        <w:tc>
          <w:tcPr>
            <w:tcW w:w="60" w:type="dxa"/>
            <w:vAlign w:val="bottom"/>
          </w:tcPr>
          <w:p>
            <w:pPr>
              <w:spacing w:after="0"/>
              <w:rPr>
                <w:sz w:val="17"/>
                <w:szCs w:val="17"/>
                <w:color w:val="auto"/>
              </w:rPr>
            </w:pPr>
          </w:p>
        </w:tc>
      </w:tr>
      <w:tr>
        <w:trPr>
          <w:trHeight w:val="20"/>
        </w:trPr>
        <w:tc>
          <w:tcPr>
            <w:tcW w:w="9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90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 - GAAP basis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(34,260)</w:t>
            </w:r>
          </w:p>
        </w:tc>
        <w:tc>
          <w:tcPr>
            <w:tcW w:w="60" w:type="dxa"/>
            <w:vAlign w:val="bottom"/>
            <w:shd w:val="clear" w:color="auto" w:fill="CCEEFF"/>
          </w:tcPr>
          <w:p>
            <w:pPr>
              <w:spacing w:after="0"/>
              <w:rPr>
                <w:sz w:val="17"/>
                <w:szCs w:val="17"/>
                <w:color w:val="auto"/>
              </w:rPr>
            </w:pPr>
          </w:p>
        </w:tc>
      </w:tr>
      <w:tr>
        <w:trPr>
          <w:trHeight w:val="203"/>
        </w:trPr>
        <w:tc>
          <w:tcPr>
            <w:tcW w:w="9080" w:type="dxa"/>
            <w:vAlign w:val="bottom"/>
          </w:tcPr>
          <w:p>
            <w:pPr>
              <w:ind w:left="180"/>
              <w:spacing w:after="0"/>
              <w:rPr>
                <w:sz w:val="20"/>
                <w:szCs w:val="20"/>
                <w:color w:val="auto"/>
              </w:rPr>
            </w:pPr>
            <w:r>
              <w:rPr>
                <w:rFonts w:ascii="Arial" w:cs="Arial" w:eastAsia="Arial" w:hAnsi="Arial"/>
                <w:sz w:val="16"/>
                <w:szCs w:val="16"/>
                <w:color w:val="auto"/>
              </w:rPr>
              <w:t>Non-GAAP adjustments (as scheduled above)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22,753</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17,103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 effect of non-GAAP adjustments (i)</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(2,072)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(2,335)</w:t>
            </w:r>
          </w:p>
        </w:tc>
        <w:tc>
          <w:tcPr>
            <w:tcW w:w="60" w:type="dxa"/>
            <w:vAlign w:val="bottom"/>
            <w:shd w:val="clear" w:color="auto" w:fill="CCEEFF"/>
          </w:tcPr>
          <w:p>
            <w:pPr>
              <w:spacing w:after="0"/>
              <w:rPr>
                <w:sz w:val="17"/>
                <w:szCs w:val="17"/>
                <w:color w:val="auto"/>
              </w:rPr>
            </w:pPr>
          </w:p>
        </w:tc>
      </w:tr>
      <w:tr>
        <w:trPr>
          <w:trHeight w:val="207"/>
        </w:trPr>
        <w:tc>
          <w:tcPr>
            <w:tcW w:w="9080" w:type="dxa"/>
            <w:vAlign w:val="bottom"/>
          </w:tcPr>
          <w:p>
            <w:pPr>
              <w:spacing w:after="0"/>
              <w:rPr>
                <w:sz w:val="20"/>
                <w:szCs w:val="20"/>
                <w:color w:val="auto"/>
              </w:rPr>
            </w:pPr>
            <w:r>
              <w:rPr>
                <w:rFonts w:ascii="Arial" w:cs="Arial" w:eastAsia="Arial" w:hAnsi="Arial"/>
                <w:sz w:val="16"/>
                <w:szCs w:val="16"/>
                <w:color w:val="auto"/>
              </w:rPr>
              <w:t>Income (loss) from continuing operations - non-GAAP basis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26,516</w:t>
            </w:r>
          </w:p>
        </w:tc>
        <w:tc>
          <w:tcPr>
            <w:tcW w:w="4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(19,492)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9080" w:type="dxa"/>
            <w:vAlign w:val="bottom"/>
            <w:shd w:val="clear" w:color="auto" w:fill="CCEEFF"/>
          </w:tcPr>
          <w:p>
            <w:pPr>
              <w:spacing w:after="0"/>
              <w:rPr>
                <w:sz w:val="20"/>
                <w:szCs w:val="20"/>
                <w:color w:val="auto"/>
              </w:rPr>
            </w:pPr>
            <w:r>
              <w:rPr>
                <w:rFonts w:ascii="Arial" w:cs="Arial" w:eastAsia="Arial" w:hAnsi="Arial"/>
                <w:sz w:val="16"/>
                <w:szCs w:val="16"/>
                <w:color w:val="auto"/>
              </w:rPr>
              <w:t>GAAP income (loss) from continuing operations per share - diluted</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60" w:type="dxa"/>
            <w:vAlign w:val="bottom"/>
            <w:shd w:val="clear" w:color="auto" w:fill="CCEEFF"/>
          </w:tcPr>
          <w:p>
            <w:pPr>
              <w:spacing w:after="0"/>
              <w:rPr>
                <w:sz w:val="17"/>
                <w:szCs w:val="17"/>
                <w:color w:val="auto"/>
              </w:rPr>
            </w:pPr>
          </w:p>
        </w:tc>
      </w:tr>
      <w:tr>
        <w:trPr>
          <w:trHeight w:val="203"/>
        </w:trPr>
        <w:tc>
          <w:tcPr>
            <w:tcW w:w="9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Non-GAAP income (loss) from continuing operations per share - diluted (j)</w:t>
            </w: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(0.78)</w:t>
            </w:r>
          </w:p>
        </w:tc>
        <w:tc>
          <w:tcPr>
            <w:tcW w:w="60" w:type="dxa"/>
            <w:vAlign w:val="bottom"/>
          </w:tcPr>
          <w:p>
            <w:pPr>
              <w:spacing w:after="0"/>
              <w:rPr>
                <w:sz w:val="17"/>
                <w:szCs w:val="17"/>
                <w:color w:val="auto"/>
              </w:rPr>
            </w:pPr>
          </w:p>
        </w:tc>
      </w:tr>
    </w:tbl>
    <w:p>
      <w:pPr>
        <w:spacing w:after="0" w:line="35"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Goodwill and other assets impairment exists when the reporting unit’s carrying value exceeds its fair value. Management has excluded this item because it is not reflective of the ongoing operating results and because of the infrequent and non-cash nature of this activity. Other acquisition costs and inventory step-up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ind w:left="340" w:hanging="224"/>
        <w:spacing w:after="0" w:line="232"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2.7% and (16.0)% of net sales, respectively.</w:t>
      </w:r>
    </w:p>
    <w:p>
      <w:pPr>
        <w:ind w:left="340" w:hanging="224"/>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340" w:hanging="224"/>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340" w:hanging="224"/>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manufacturing transition and employee severance costs.</w:t>
      </w:r>
    </w:p>
    <w:p>
      <w:pPr>
        <w:ind w:left="340" w:hanging="224"/>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the impairment charge for goodwill and other assets recorded by our microwave communications equipment reporting unit.</w:t>
      </w:r>
    </w:p>
    <w:p>
      <w:pPr>
        <w:ind w:left="340" w:hanging="224"/>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professional fees and other direct incremental expenses incurred related to the acquisition of Ismeca.</w:t>
      </w:r>
    </w:p>
    <w:p>
      <w:pPr>
        <w:ind w:left="340" w:hanging="224"/>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the inventory step-up costs incurred related to the acquisition of Ismeca.</w:t>
      </w:r>
    </w:p>
    <w:p>
      <w:pPr>
        <w:ind w:left="340" w:hanging="224"/>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9.6% and (8.6)% of net sales, respectively.</w:t>
      </w:r>
    </w:p>
    <w:p>
      <w:pPr>
        <w:ind w:left="340" w:hanging="224"/>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ind w:left="340" w:hanging="224"/>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Computed using number of GAAP diluted shares outstanding for each period presented.</w:t>
      </w:r>
    </w:p>
    <w:p>
      <w:pPr>
        <w:sectPr>
          <w:pgSz w:w="11900" w:h="16838" w:orient="portrait"/>
          <w:cols w:equalWidth="0" w:num="1">
            <w:col w:w="11420"/>
          </w:cols>
          <w:pgMar w:left="240" w:top="270" w:right="239" w:bottom="1440" w:gutter="0" w:footer="0" w:header="0"/>
        </w:sectPr>
      </w:pPr>
    </w:p>
    <w:bookmarkStart w:id="10" w:name="page11"/>
    <w:bookmarkEnd w:id="10"/>
    <w:p>
      <w:pPr>
        <w:ind w:left="10540"/>
        <w:spacing w:after="0"/>
        <w:rPr>
          <w:sz w:val="20"/>
          <w:szCs w:val="20"/>
          <w:color w:val="auto"/>
        </w:rPr>
      </w:pPr>
      <w:r>
        <w:rPr>
          <w:rFonts w:ascii="Arial" w:cs="Arial" w:eastAsia="Arial" w:hAnsi="Arial"/>
          <w:sz w:val="16"/>
          <w:szCs w:val="16"/>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184150</wp:posOffset>
            </wp:positionV>
            <wp:extent cx="3207385" cy="1397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738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Karl H. Funke Elected to Cohu’s Board of Directors</w:t>
      </w:r>
    </w:p>
    <w:p>
      <w:pPr>
        <w:spacing w:after="0" w:line="2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POWAY, Calif., February 17, 2015 — Cohu, Inc. (NASDAQ:COHU) today announced that Karl H. Funke has been elected to the Cohu Board of Directors, effective March 9, 2015.</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Funke was a senior executive of global IC test handler company, Multitest GmbH, since 1994 and served as Chief Executive Officer from 2001 until his retirement in 2009. Previously he held positions in private equity and venture capital. Mr. Funke is currently a private investor and serves on the boards of two privately held companies.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delighted to add Karl to Cohu’s Board of Directors. He is a proven senior executive, with significant experience in our industry. We look forward to being able to draw upon his expertise,” said James A. Donahue, Executive Chairman.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Cohu:</w:t>
      </w:r>
    </w:p>
    <w:p>
      <w:pPr>
        <w:spacing w:after="0" w:line="1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Cohu is a leading supplier of semiconductor test and inspection handlers, micro-electro mechanical system (MEMS) test modules, test contactors and thermal sub-systems used by global semiconductor manufacturers and test subcontractors as well as a supplier of mobile microwave communications equipment.</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Contact: Jeffrey D. Jones - Investor Relations (858) 848-8106.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2019-12-05T08:26:52Z</dcterms:created>
  <dcterms:modified xsi:type="dcterms:W3CDTF">2019-12-05T08:26:52Z</dcterms:modified>
</cp:coreProperties>
</file>