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6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ind w:left="42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2577465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760"/>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ind w:left="4580"/>
        <w:spacing w:after="0"/>
        <w:rPr>
          <w:sz w:val="20"/>
          <w:szCs w:val="20"/>
          <w:color w:val="auto"/>
        </w:rPr>
      </w:pPr>
      <w:r>
        <w:rPr>
          <w:rFonts w:ascii="Arial" w:cs="Arial" w:eastAsia="Arial" w:hAnsi="Arial"/>
          <w:sz w:val="22"/>
          <w:szCs w:val="22"/>
          <w:b w:val="1"/>
          <w:bCs w:val="1"/>
          <w:color w:val="auto"/>
        </w:rPr>
        <w:t>(Rule 13d-102)</w:t>
      </w:r>
    </w:p>
    <w:p>
      <w:pPr>
        <w:spacing w:after="0" w:line="182" w:lineRule="exact"/>
        <w:rPr>
          <w:sz w:val="24"/>
          <w:szCs w:val="24"/>
          <w:color w:val="auto"/>
        </w:rPr>
      </w:pPr>
    </w:p>
    <w:p>
      <w:pPr>
        <w:jc w:val="right"/>
        <w:ind w:right="879"/>
        <w:spacing w:after="0"/>
        <w:rPr>
          <w:sz w:val="20"/>
          <w:szCs w:val="20"/>
          <w:color w:val="auto"/>
        </w:rPr>
      </w:pPr>
      <w:r>
        <w:rPr>
          <w:rFonts w:ascii="Arial" w:cs="Arial" w:eastAsia="Arial" w:hAnsi="Arial"/>
          <w:sz w:val="22"/>
          <w:szCs w:val="22"/>
          <w:b w:val="1"/>
          <w:bCs w:val="1"/>
          <w:color w:val="auto"/>
        </w:rPr>
        <w:t>INFORMATION TO BE INCLUDED IN STATEMENTS FILED PURSUANT</w:t>
      </w:r>
    </w:p>
    <w:p>
      <w:pPr>
        <w:spacing w:after="0" w:line="14" w:lineRule="exact"/>
        <w:rPr>
          <w:sz w:val="24"/>
          <w:szCs w:val="24"/>
          <w:color w:val="auto"/>
        </w:rPr>
      </w:pPr>
    </w:p>
    <w:p>
      <w:pPr>
        <w:jc w:val="center"/>
        <w:ind w:left="2340" w:right="400"/>
        <w:spacing w:after="0" w:line="234" w:lineRule="auto"/>
        <w:rPr>
          <w:sz w:val="20"/>
          <w:szCs w:val="20"/>
          <w:color w:val="auto"/>
        </w:rPr>
      </w:pPr>
      <w:r>
        <w:rPr>
          <w:rFonts w:ascii="Arial" w:cs="Arial" w:eastAsia="Arial" w:hAnsi="Arial"/>
          <w:sz w:val="22"/>
          <w:szCs w:val="22"/>
          <w:b w:val="1"/>
          <w:bCs w:val="1"/>
          <w:color w:val="auto"/>
        </w:rPr>
        <w:t>TO RULES 13d-1(b), (c), AND (d) AND AMENDMENTS THERETO FILED PURSUANT TO RULE 13d-2 (Amendment No. 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2577465</wp:posOffset>
            </wp:positionH>
            <wp:positionV relativeFrom="paragraph">
              <wp:posOffset>304165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760"/>
        <w:spacing w:after="0"/>
        <w:rPr>
          <w:sz w:val="20"/>
          <w:szCs w:val="20"/>
          <w:color w:val="auto"/>
        </w:rPr>
      </w:pPr>
      <w:r>
        <w:rPr>
          <w:rFonts w:ascii="Arial" w:cs="Arial" w:eastAsia="Arial" w:hAnsi="Arial"/>
          <w:sz w:val="40"/>
          <w:szCs w:val="40"/>
          <w:b w:val="1"/>
          <w:bCs w:val="1"/>
          <w:color w:val="auto"/>
        </w:rPr>
        <w:t>Cohu, Inc.</w:t>
      </w:r>
    </w:p>
    <w:p>
      <w:pPr>
        <w:spacing w:after="0" w:line="35"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Common Stock, $1.00 Par Value</w:t>
      </w:r>
    </w:p>
    <w:p>
      <w:pPr>
        <w:spacing w:after="0" w:line="21" w:lineRule="exact"/>
        <w:rPr>
          <w:sz w:val="24"/>
          <w:szCs w:val="24"/>
          <w:color w:val="auto"/>
        </w:rPr>
      </w:pPr>
    </w:p>
    <w:p>
      <w:pPr>
        <w:ind w:left="4400"/>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001751-19257610</w:t>
      </w:r>
    </w:p>
    <w:p>
      <w:pPr>
        <w:spacing w:after="0" w:line="21" w:lineRule="exact"/>
        <w:rPr>
          <w:sz w:val="24"/>
          <w:szCs w:val="24"/>
          <w:color w:val="auto"/>
        </w:rPr>
      </w:pPr>
    </w:p>
    <w:p>
      <w:pPr>
        <w:ind w:left="4720"/>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December 31, 2014</w:t>
      </w:r>
    </w:p>
    <w:p>
      <w:pPr>
        <w:spacing w:after="0" w:line="21" w:lineRule="exact"/>
        <w:rPr>
          <w:sz w:val="24"/>
          <w:szCs w:val="24"/>
          <w:color w:val="auto"/>
        </w:rPr>
      </w:pPr>
    </w:p>
    <w:p>
      <w:pPr>
        <w:ind w:left="354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2577465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60" w:hanging="199"/>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660" w:hanging="199"/>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660" w:hanging="199"/>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160655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203835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59"/>
          </w:cols>
          <w:pgMar w:left="700" w:top="517" w:right="1440"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CUSIP No. 001751-19257610</w:t>
      </w:r>
    </w:p>
    <w:p>
      <w:pPr>
        <w:spacing w:after="0" w:line="144"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240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2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Nicholas J. Cedrone</w:t>
            </w:r>
          </w:p>
        </w:tc>
        <w:tc>
          <w:tcPr>
            <w:tcW w:w="0" w:type="dxa"/>
            <w:vAlign w:val="bottom"/>
          </w:tcPr>
          <w:p>
            <w:pPr>
              <w:spacing w:after="0"/>
              <w:rPr>
                <w:sz w:val="1"/>
                <w:szCs w:val="1"/>
                <w:color w:val="auto"/>
              </w:rPr>
            </w:pPr>
          </w:p>
        </w:tc>
      </w:tr>
      <w:tr>
        <w:trPr>
          <w:trHeight w:val="164"/>
        </w:trPr>
        <w:tc>
          <w:tcPr>
            <w:tcW w:w="42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1020" w:type="dxa"/>
            <w:vAlign w:val="bottom"/>
            <w:gridSpan w:val="4"/>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74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80" w:type="dxa"/>
            <w:vAlign w:val="bottom"/>
          </w:tcPr>
          <w:p>
            <w:pPr>
              <w:spacing w:after="0"/>
              <w:rPr>
                <w:sz w:val="24"/>
                <w:szCs w:val="24"/>
                <w:color w:val="auto"/>
              </w:rPr>
            </w:pPr>
          </w:p>
        </w:tc>
        <w:tc>
          <w:tcPr>
            <w:tcW w:w="1010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1102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102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20" w:type="dxa"/>
            <w:vAlign w:val="bottom"/>
            <w:tcBorders>
              <w:bottom w:val="single" w:sz="8" w:color="auto"/>
            </w:tcBorders>
          </w:tcPr>
          <w:p>
            <w:pPr>
              <w:spacing w:after="0"/>
              <w:rPr>
                <w:sz w:val="21"/>
                <w:szCs w:val="21"/>
                <w:color w:val="auto"/>
              </w:rPr>
            </w:pPr>
          </w:p>
        </w:tc>
        <w:tc>
          <w:tcPr>
            <w:tcW w:w="1102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102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United States</w:t>
            </w:r>
          </w:p>
        </w:tc>
        <w:tc>
          <w:tcPr>
            <w:tcW w:w="0" w:type="dxa"/>
            <w:vAlign w:val="bottom"/>
          </w:tcPr>
          <w:p>
            <w:pPr>
              <w:spacing w:after="0"/>
              <w:rPr>
                <w:sz w:val="1"/>
                <w:szCs w:val="1"/>
                <w:color w:val="auto"/>
              </w:rPr>
            </w:pPr>
          </w:p>
        </w:tc>
      </w:tr>
      <w:tr>
        <w:trPr>
          <w:trHeight w:val="226"/>
        </w:trPr>
        <w:tc>
          <w:tcPr>
            <w:tcW w:w="42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19"/>
                <w:szCs w:val="19"/>
                <w:color w:val="auto"/>
              </w:rPr>
            </w:pPr>
          </w:p>
        </w:tc>
        <w:tc>
          <w:tcPr>
            <w:tcW w:w="1004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0"/>
        </w:trPr>
        <w:tc>
          <w:tcPr>
            <w:tcW w:w="1160" w:type="dxa"/>
            <w:vAlign w:val="bottom"/>
            <w:tcBorders>
              <w:right w:val="single" w:sz="8" w:color="auto"/>
            </w:tcBorders>
            <w:gridSpan w:val="2"/>
            <w:vMerge w:val="restart"/>
          </w:tcPr>
          <w:p>
            <w:pPr>
              <w:jc w:val="center"/>
              <w:ind w:left="50"/>
              <w:spacing w:after="0"/>
              <w:rPr>
                <w:sz w:val="20"/>
                <w:szCs w:val="20"/>
                <w:color w:val="auto"/>
              </w:rPr>
            </w:pPr>
            <w:r>
              <w:rPr>
                <w:rFonts w:ascii="Arial" w:cs="Arial" w:eastAsia="Arial" w:hAnsi="Arial"/>
                <w:sz w:val="18"/>
                <w:szCs w:val="18"/>
                <w:color w:val="auto"/>
                <w:w w:val="92"/>
              </w:rPr>
              <w:t>Number of</w:t>
            </w:r>
          </w:p>
        </w:tc>
        <w:tc>
          <w:tcPr>
            <w:tcW w:w="18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10040" w:type="dxa"/>
            <w:vAlign w:val="bottom"/>
          </w:tcPr>
          <w:p>
            <w:pPr>
              <w:ind w:left="300"/>
              <w:spacing w:after="0"/>
              <w:rPr>
                <w:sz w:val="20"/>
                <w:szCs w:val="20"/>
                <w:color w:val="auto"/>
              </w:rPr>
            </w:pPr>
            <w:r>
              <w:rPr>
                <w:rFonts w:ascii="Arial" w:cs="Arial" w:eastAsia="Arial" w:hAnsi="Arial"/>
                <w:sz w:val="22"/>
                <w:szCs w:val="22"/>
                <w:color w:val="auto"/>
              </w:rPr>
              <w:t>Cedrone Irrevocable Trust – 300,000</w:t>
            </w:r>
          </w:p>
        </w:tc>
        <w:tc>
          <w:tcPr>
            <w:tcW w:w="0" w:type="dxa"/>
            <w:vAlign w:val="bottom"/>
          </w:tcPr>
          <w:p>
            <w:pPr>
              <w:spacing w:after="0"/>
              <w:rPr>
                <w:sz w:val="1"/>
                <w:szCs w:val="1"/>
                <w:color w:val="auto"/>
              </w:rPr>
            </w:pPr>
          </w:p>
        </w:tc>
      </w:tr>
      <w:tr>
        <w:trPr>
          <w:trHeight w:val="102"/>
        </w:trPr>
        <w:tc>
          <w:tcPr>
            <w:tcW w:w="1160" w:type="dxa"/>
            <w:vAlign w:val="bottom"/>
            <w:tcBorders>
              <w:right w:val="single" w:sz="8" w:color="auto"/>
            </w:tcBorders>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10040" w:type="dxa"/>
            <w:vAlign w:val="bottom"/>
            <w:vMerge w:val="restart"/>
          </w:tcPr>
          <w:p>
            <w:pPr>
              <w:ind w:left="300"/>
              <w:spacing w:after="0"/>
              <w:rPr>
                <w:sz w:val="20"/>
                <w:szCs w:val="20"/>
                <w:color w:val="auto"/>
              </w:rPr>
            </w:pPr>
            <w:r>
              <w:rPr>
                <w:rFonts w:ascii="Arial" w:cs="Arial" w:eastAsia="Arial" w:hAnsi="Arial"/>
                <w:sz w:val="22"/>
                <w:szCs w:val="22"/>
                <w:color w:val="auto"/>
              </w:rPr>
              <w:t>Nicholas J. Cedrone - 498,458</w:t>
            </w: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740" w:type="dxa"/>
            <w:vAlign w:val="bottom"/>
            <w:tcBorders>
              <w:right w:val="single" w:sz="8" w:color="auto"/>
            </w:tcBorders>
          </w:tcPr>
          <w:p>
            <w:pPr>
              <w:jc w:val="center"/>
              <w:ind w:right="185"/>
              <w:spacing w:after="0" w:line="157" w:lineRule="exact"/>
              <w:rPr>
                <w:sz w:val="20"/>
                <w:szCs w:val="20"/>
                <w:color w:val="auto"/>
              </w:rPr>
            </w:pPr>
            <w:r>
              <w:rPr>
                <w:rFonts w:ascii="Arial" w:cs="Arial" w:eastAsia="Arial" w:hAnsi="Arial"/>
                <w:sz w:val="18"/>
                <w:szCs w:val="18"/>
                <w:color w:val="auto"/>
                <w:w w:val="85"/>
              </w:rPr>
              <w:t>shares</w:t>
            </w: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right w:val="single" w:sz="8" w:color="auto"/>
            </w:tcBorders>
          </w:tcPr>
          <w:p>
            <w:pPr>
              <w:spacing w:after="0"/>
              <w:rPr>
                <w:sz w:val="15"/>
                <w:szCs w:val="15"/>
                <w:color w:val="auto"/>
              </w:rPr>
            </w:pPr>
          </w:p>
        </w:tc>
        <w:tc>
          <w:tcPr>
            <w:tcW w:w="10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16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6"/>
              </w:rPr>
              <w:t>beneficially</w:t>
            </w:r>
          </w:p>
        </w:tc>
        <w:tc>
          <w:tcPr>
            <w:tcW w:w="18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20"/>
                <w:szCs w:val="20"/>
                <w:color w:val="auto"/>
              </w:rPr>
            </w:pPr>
          </w:p>
        </w:tc>
        <w:tc>
          <w:tcPr>
            <w:tcW w:w="1004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16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0"/>
              </w:rPr>
              <w:t>owned by</w:t>
            </w: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0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740" w:type="dxa"/>
            <w:vAlign w:val="bottom"/>
            <w:tcBorders>
              <w:right w:val="single" w:sz="8" w:color="auto"/>
            </w:tcBorders>
          </w:tcPr>
          <w:p>
            <w:pPr>
              <w:jc w:val="center"/>
              <w:ind w:right="185"/>
              <w:spacing w:after="0" w:line="182" w:lineRule="exact"/>
              <w:rPr>
                <w:sz w:val="20"/>
                <w:szCs w:val="20"/>
                <w:color w:val="auto"/>
              </w:rPr>
            </w:pPr>
            <w:r>
              <w:rPr>
                <w:rFonts w:ascii="Arial" w:cs="Arial" w:eastAsia="Arial" w:hAnsi="Arial"/>
                <w:sz w:val="18"/>
                <w:szCs w:val="18"/>
                <w:color w:val="auto"/>
                <w:w w:val="86"/>
              </w:rPr>
              <w:t>each</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60" w:type="dxa"/>
            <w:vAlign w:val="bottom"/>
            <w:tcBorders>
              <w:right w:val="single" w:sz="8" w:color="auto"/>
            </w:tcBorders>
          </w:tcPr>
          <w:p>
            <w:pPr>
              <w:spacing w:after="0"/>
              <w:rPr>
                <w:sz w:val="15"/>
                <w:szCs w:val="15"/>
                <w:color w:val="auto"/>
              </w:rPr>
            </w:pPr>
          </w:p>
        </w:tc>
        <w:tc>
          <w:tcPr>
            <w:tcW w:w="1004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6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2"/>
              </w:rPr>
              <w:t>reporting</w:t>
            </w:r>
          </w:p>
        </w:tc>
        <w:tc>
          <w:tcPr>
            <w:tcW w:w="1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20" w:type="dxa"/>
            <w:vAlign w:val="bottom"/>
          </w:tcPr>
          <w:p>
            <w:pPr>
              <w:spacing w:after="0"/>
              <w:rPr>
                <w:sz w:val="21"/>
                <w:szCs w:val="21"/>
                <w:color w:val="auto"/>
              </w:rPr>
            </w:pPr>
          </w:p>
        </w:tc>
        <w:tc>
          <w:tcPr>
            <w:tcW w:w="740" w:type="dxa"/>
            <w:vAlign w:val="bottom"/>
            <w:tcBorders>
              <w:right w:val="single" w:sz="8" w:color="auto"/>
            </w:tcBorders>
          </w:tcPr>
          <w:p>
            <w:pPr>
              <w:jc w:val="center"/>
              <w:ind w:right="165"/>
              <w:spacing w:after="0"/>
              <w:rPr>
                <w:sz w:val="20"/>
                <w:szCs w:val="20"/>
                <w:color w:val="auto"/>
              </w:rPr>
            </w:pPr>
            <w:r>
              <w:rPr>
                <w:rFonts w:ascii="Arial" w:cs="Arial" w:eastAsia="Arial" w:hAnsi="Arial"/>
                <w:sz w:val="18"/>
                <w:szCs w:val="18"/>
                <w:color w:val="auto"/>
                <w:w w:val="87"/>
              </w:rPr>
              <w:t>person</w:t>
            </w:r>
          </w:p>
        </w:tc>
        <w:tc>
          <w:tcPr>
            <w:tcW w:w="18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10040" w:type="dxa"/>
            <w:vAlign w:val="bottom"/>
          </w:tcPr>
          <w:p>
            <w:pPr>
              <w:ind w:left="300"/>
              <w:spacing w:after="0" w:line="244" w:lineRule="exact"/>
              <w:rPr>
                <w:sz w:val="20"/>
                <w:szCs w:val="20"/>
                <w:color w:val="auto"/>
              </w:rPr>
            </w:pPr>
            <w:r>
              <w:rPr>
                <w:rFonts w:ascii="Arial" w:cs="Arial" w:eastAsia="Arial" w:hAnsi="Arial"/>
                <w:sz w:val="22"/>
                <w:szCs w:val="22"/>
                <w:color w:val="auto"/>
              </w:rPr>
              <w:t>Cedrone Irrevocable Trust – 300,000</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740" w:type="dxa"/>
            <w:vAlign w:val="bottom"/>
            <w:tcBorders>
              <w:right w:val="single" w:sz="8" w:color="auto"/>
            </w:tcBorders>
          </w:tcPr>
          <w:p>
            <w:pPr>
              <w:jc w:val="center"/>
              <w:ind w:right="165"/>
              <w:spacing w:after="0"/>
              <w:rPr>
                <w:sz w:val="20"/>
                <w:szCs w:val="20"/>
                <w:color w:val="auto"/>
              </w:rPr>
            </w:pPr>
            <w:r>
              <w:rPr>
                <w:rFonts w:ascii="Arial" w:cs="Arial" w:eastAsia="Arial" w:hAnsi="Arial"/>
                <w:sz w:val="18"/>
                <w:szCs w:val="18"/>
                <w:color w:val="auto"/>
                <w:w w:val="99"/>
              </w:rPr>
              <w:t>with</w:t>
            </w:r>
          </w:p>
        </w:tc>
        <w:tc>
          <w:tcPr>
            <w:tcW w:w="18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10040" w:type="dxa"/>
            <w:vAlign w:val="bottom"/>
            <w:vMerge w:val="restart"/>
          </w:tcPr>
          <w:p>
            <w:pPr>
              <w:ind w:left="300"/>
              <w:spacing w:after="0"/>
              <w:rPr>
                <w:sz w:val="20"/>
                <w:szCs w:val="20"/>
                <w:color w:val="auto"/>
              </w:rPr>
            </w:pPr>
            <w:r>
              <w:rPr>
                <w:rFonts w:ascii="Arial" w:cs="Arial" w:eastAsia="Arial" w:hAnsi="Arial"/>
                <w:sz w:val="22"/>
                <w:szCs w:val="22"/>
                <w:color w:val="auto"/>
              </w:rPr>
              <w:t>Nicholas J. Cedrone - 498,458</w:t>
            </w:r>
          </w:p>
        </w:tc>
        <w:tc>
          <w:tcPr>
            <w:tcW w:w="0" w:type="dxa"/>
            <w:vAlign w:val="bottom"/>
          </w:tcPr>
          <w:p>
            <w:pPr>
              <w:spacing w:after="0"/>
              <w:rPr>
                <w:sz w:val="1"/>
                <w:szCs w:val="1"/>
                <w:color w:val="auto"/>
              </w:rPr>
            </w:pPr>
          </w:p>
        </w:tc>
      </w:tr>
      <w:tr>
        <w:trPr>
          <w:trHeight w:val="78"/>
        </w:trPr>
        <w:tc>
          <w:tcPr>
            <w:tcW w:w="42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right w:val="single" w:sz="8" w:color="auto"/>
            </w:tcBorders>
          </w:tcPr>
          <w:p>
            <w:pPr>
              <w:spacing w:after="0"/>
              <w:rPr>
                <w:sz w:val="6"/>
                <w:szCs w:val="6"/>
                <w:color w:val="auto"/>
              </w:rPr>
            </w:pPr>
          </w:p>
        </w:tc>
        <w:tc>
          <w:tcPr>
            <w:tcW w:w="100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42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right w:val="single" w:sz="8" w:color="auto"/>
            </w:tcBorders>
          </w:tcPr>
          <w:p>
            <w:pPr>
              <w:spacing w:after="0"/>
              <w:rPr>
                <w:sz w:val="19"/>
                <w:szCs w:val="19"/>
                <w:color w:val="auto"/>
              </w:rPr>
            </w:pPr>
          </w:p>
        </w:tc>
        <w:tc>
          <w:tcPr>
            <w:tcW w:w="1004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42"/>
        </w:trPr>
        <w:tc>
          <w:tcPr>
            <w:tcW w:w="420" w:type="dxa"/>
            <w:vAlign w:val="bottom"/>
            <w:tcBorders>
              <w:bottom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240" w:type="dxa"/>
            <w:vAlign w:val="bottom"/>
            <w:tcBorders>
              <w:bottom w:val="single" w:sz="8" w:color="auto"/>
              <w:right w:val="single" w:sz="8" w:color="auto"/>
            </w:tcBorders>
            <w:gridSpan w:val="2"/>
          </w:tcPr>
          <w:p>
            <w:pPr>
              <w:spacing w:after="0"/>
              <w:rPr>
                <w:sz w:val="21"/>
                <w:szCs w:val="21"/>
                <w:color w:val="auto"/>
              </w:rPr>
            </w:pPr>
          </w:p>
        </w:tc>
        <w:tc>
          <w:tcPr>
            <w:tcW w:w="10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980" w:type="dxa"/>
            <w:vAlign w:val="bottom"/>
            <w:gridSpan w:val="3"/>
          </w:tcPr>
          <w:p>
            <w:pPr>
              <w:ind w:left="100"/>
              <w:spacing w:after="0"/>
              <w:rPr>
                <w:sz w:val="20"/>
                <w:szCs w:val="20"/>
                <w:color w:val="auto"/>
              </w:rPr>
            </w:pPr>
            <w:r>
              <w:rPr>
                <w:rFonts w:ascii="Arial" w:cs="Arial" w:eastAsia="Arial" w:hAnsi="Arial"/>
                <w:sz w:val="18"/>
                <w:szCs w:val="18"/>
                <w:color w:val="auto"/>
              </w:rPr>
              <w:t>Aggregate</w:t>
            </w:r>
          </w:p>
        </w:tc>
        <w:tc>
          <w:tcPr>
            <w:tcW w:w="1004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1102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798,458</w:t>
            </w:r>
          </w:p>
        </w:tc>
        <w:tc>
          <w:tcPr>
            <w:tcW w:w="0" w:type="dxa"/>
            <w:vAlign w:val="bottom"/>
          </w:tcPr>
          <w:p>
            <w:pPr>
              <w:spacing w:after="0"/>
              <w:rPr>
                <w:sz w:val="1"/>
                <w:szCs w:val="1"/>
                <w:color w:val="auto"/>
              </w:rPr>
            </w:pPr>
          </w:p>
        </w:tc>
      </w:tr>
      <w:tr>
        <w:trPr>
          <w:trHeight w:val="278"/>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1020" w:type="dxa"/>
            <w:vAlign w:val="bottom"/>
            <w:gridSpan w:val="4"/>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2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gridSpan w:val="2"/>
          </w:tcPr>
          <w:p>
            <w:pPr>
              <w:spacing w:after="0"/>
              <w:rPr>
                <w:sz w:val="16"/>
                <w:szCs w:val="16"/>
                <w:color w:val="auto"/>
              </w:rPr>
            </w:pPr>
          </w:p>
        </w:tc>
        <w:tc>
          <w:tcPr>
            <w:tcW w:w="10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102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w w:val="92"/>
              </w:rPr>
              <w:t>3.13%</w:t>
            </w:r>
          </w:p>
        </w:tc>
        <w:tc>
          <w:tcPr>
            <w:tcW w:w="6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02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IN</w:t>
            </w: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4440" w:type="dxa"/>
            <w:vAlign w:val="bottom"/>
            <w:gridSpan w:val="8"/>
          </w:tcPr>
          <w:p>
            <w:pPr>
              <w:spacing w:after="0"/>
              <w:rPr>
                <w:sz w:val="20"/>
                <w:szCs w:val="20"/>
                <w:color w:val="auto"/>
              </w:rPr>
            </w:pPr>
            <w:r>
              <w:rPr>
                <w:rFonts w:ascii="Arial" w:cs="Arial" w:eastAsia="Arial" w:hAnsi="Arial"/>
                <w:sz w:val="18"/>
                <w:szCs w:val="18"/>
                <w:color w:val="auto"/>
              </w:rPr>
              <w:t>Name of Issuer:</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40" w:type="dxa"/>
            <w:vAlign w:val="bottom"/>
          </w:tcPr>
          <w:p>
            <w:pPr>
              <w:spacing w:after="0"/>
              <w:rPr>
                <w:sz w:val="20"/>
                <w:szCs w:val="20"/>
                <w:color w:val="auto"/>
              </w:rPr>
            </w:pPr>
          </w:p>
        </w:tc>
      </w:tr>
      <w:tr>
        <w:trPr>
          <w:trHeight w:val="338"/>
        </w:trPr>
        <w:tc>
          <w:tcPr>
            <w:tcW w:w="1040" w:type="dxa"/>
            <w:vAlign w:val="bottom"/>
          </w:tcPr>
          <w:p>
            <w:pPr>
              <w:spacing w:after="0"/>
              <w:rPr>
                <w:sz w:val="24"/>
                <w:szCs w:val="24"/>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Cohu, Inc.</w:t>
            </w:r>
          </w:p>
        </w:tc>
        <w:tc>
          <w:tcPr>
            <w:tcW w:w="1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r>
        <w:trPr>
          <w:trHeight w:val="601"/>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4440" w:type="dxa"/>
            <w:vAlign w:val="bottom"/>
            <w:gridSpan w:val="8"/>
          </w:tcPr>
          <w:p>
            <w:pPr>
              <w:spacing w:after="0"/>
              <w:rPr>
                <w:sz w:val="20"/>
                <w:szCs w:val="20"/>
                <w:color w:val="auto"/>
              </w:rPr>
            </w:pPr>
            <w:r>
              <w:rPr>
                <w:rFonts w:ascii="Arial" w:cs="Arial" w:eastAsia="Arial" w:hAnsi="Arial"/>
                <w:sz w:val="18"/>
                <w:szCs w:val="18"/>
                <w:color w:val="auto"/>
              </w:rPr>
              <w:t>Address of Issuer’s Principal Executive Offices:</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338"/>
        </w:trPr>
        <w:tc>
          <w:tcPr>
            <w:tcW w:w="1040" w:type="dxa"/>
            <w:vAlign w:val="bottom"/>
          </w:tcPr>
          <w:p>
            <w:pPr>
              <w:spacing w:after="0"/>
              <w:rPr>
                <w:sz w:val="24"/>
                <w:szCs w:val="24"/>
                <w:color w:val="auto"/>
              </w:rPr>
            </w:pPr>
          </w:p>
        </w:tc>
        <w:tc>
          <w:tcPr>
            <w:tcW w:w="444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rPr>
              <w:t>12367 Crosthwaite Circle, Poway, CA 92064</w:t>
            </w: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r>
        <w:trPr>
          <w:trHeight w:val="601"/>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4440" w:type="dxa"/>
            <w:vAlign w:val="bottom"/>
            <w:gridSpan w:val="8"/>
          </w:tcPr>
          <w:p>
            <w:pPr>
              <w:spacing w:after="0"/>
              <w:rPr>
                <w:sz w:val="20"/>
                <w:szCs w:val="20"/>
                <w:color w:val="auto"/>
              </w:rPr>
            </w:pPr>
            <w:r>
              <w:rPr>
                <w:rFonts w:ascii="Arial" w:cs="Arial" w:eastAsia="Arial" w:hAnsi="Arial"/>
                <w:sz w:val="18"/>
                <w:szCs w:val="18"/>
                <w:color w:val="auto"/>
              </w:rPr>
              <w:t>Name of Person Filing:</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338"/>
        </w:trPr>
        <w:tc>
          <w:tcPr>
            <w:tcW w:w="1040" w:type="dxa"/>
            <w:vAlign w:val="bottom"/>
          </w:tcPr>
          <w:p>
            <w:pPr>
              <w:spacing w:after="0"/>
              <w:rPr>
                <w:sz w:val="24"/>
                <w:szCs w:val="24"/>
                <w:color w:val="auto"/>
              </w:rPr>
            </w:pPr>
          </w:p>
        </w:tc>
        <w:tc>
          <w:tcPr>
            <w:tcW w:w="444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rPr>
              <w:t>Nicholas J. Cedrone</w:t>
            </w: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r>
        <w:trPr>
          <w:trHeight w:val="601"/>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4440" w:type="dxa"/>
            <w:vAlign w:val="bottom"/>
            <w:gridSpan w:val="8"/>
          </w:tcPr>
          <w:p>
            <w:pPr>
              <w:spacing w:after="0"/>
              <w:rPr>
                <w:sz w:val="20"/>
                <w:szCs w:val="20"/>
                <w:color w:val="auto"/>
              </w:rPr>
            </w:pPr>
            <w:r>
              <w:rPr>
                <w:rFonts w:ascii="Arial" w:cs="Arial" w:eastAsia="Arial" w:hAnsi="Arial"/>
                <w:sz w:val="18"/>
                <w:szCs w:val="18"/>
                <w:color w:val="auto"/>
                <w:w w:val="92"/>
              </w:rPr>
              <w:t>Address of Principal Business Office or, if None, Residence:</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338"/>
        </w:trPr>
        <w:tc>
          <w:tcPr>
            <w:tcW w:w="1040" w:type="dxa"/>
            <w:vAlign w:val="bottom"/>
          </w:tcPr>
          <w:p>
            <w:pPr>
              <w:spacing w:after="0"/>
              <w:rPr>
                <w:sz w:val="24"/>
                <w:szCs w:val="24"/>
                <w:color w:val="auto"/>
              </w:rPr>
            </w:pPr>
          </w:p>
        </w:tc>
        <w:tc>
          <w:tcPr>
            <w:tcW w:w="444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rPr>
              <w:t>10 Hawthorne Road, Wellesley, MA 02481</w:t>
            </w: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r>
        <w:trPr>
          <w:trHeight w:val="601"/>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880" w:type="dxa"/>
            <w:vAlign w:val="bottom"/>
          </w:tcPr>
          <w:p>
            <w:pPr>
              <w:spacing w:after="0"/>
              <w:rPr>
                <w:sz w:val="20"/>
                <w:szCs w:val="20"/>
                <w:color w:val="auto"/>
              </w:rPr>
            </w:pPr>
            <w:r>
              <w:rPr>
                <w:rFonts w:ascii="Arial" w:cs="Arial" w:eastAsia="Arial" w:hAnsi="Arial"/>
                <w:sz w:val="18"/>
                <w:szCs w:val="18"/>
                <w:color w:val="auto"/>
                <w:w w:val="92"/>
              </w:rPr>
              <w:t>Citizenship:</w:t>
            </w: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338"/>
        </w:trPr>
        <w:tc>
          <w:tcPr>
            <w:tcW w:w="1040" w:type="dxa"/>
            <w:vAlign w:val="bottom"/>
          </w:tcPr>
          <w:p>
            <w:pPr>
              <w:spacing w:after="0"/>
              <w:rPr>
                <w:sz w:val="24"/>
                <w:szCs w:val="24"/>
                <w:color w:val="auto"/>
              </w:rPr>
            </w:pPr>
          </w:p>
        </w:tc>
        <w:tc>
          <w:tcPr>
            <w:tcW w:w="444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r>
        <w:trPr>
          <w:trHeight w:val="601"/>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4440" w:type="dxa"/>
            <w:vAlign w:val="bottom"/>
            <w:gridSpan w:val="8"/>
          </w:tcPr>
          <w:p>
            <w:pPr>
              <w:spacing w:after="0"/>
              <w:rPr>
                <w:sz w:val="20"/>
                <w:szCs w:val="20"/>
                <w:color w:val="auto"/>
              </w:rPr>
            </w:pPr>
            <w:r>
              <w:rPr>
                <w:rFonts w:ascii="Arial" w:cs="Arial" w:eastAsia="Arial" w:hAnsi="Arial"/>
                <w:sz w:val="18"/>
                <w:szCs w:val="18"/>
                <w:color w:val="auto"/>
              </w:rPr>
              <w:t>Title of Class of Securities:</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338"/>
        </w:trPr>
        <w:tc>
          <w:tcPr>
            <w:tcW w:w="1040" w:type="dxa"/>
            <w:vAlign w:val="bottom"/>
          </w:tcPr>
          <w:p>
            <w:pPr>
              <w:spacing w:after="0"/>
              <w:rPr>
                <w:sz w:val="24"/>
                <w:szCs w:val="24"/>
                <w:color w:val="auto"/>
              </w:rPr>
            </w:pPr>
          </w:p>
        </w:tc>
        <w:tc>
          <w:tcPr>
            <w:tcW w:w="444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rPr>
              <w:t>Common Stock, $1.00 par value</w:t>
            </w: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r>
        <w:trPr>
          <w:trHeight w:val="601"/>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4440" w:type="dxa"/>
            <w:vAlign w:val="bottom"/>
            <w:gridSpan w:val="8"/>
          </w:tcPr>
          <w:p>
            <w:pPr>
              <w:spacing w:after="0"/>
              <w:rPr>
                <w:sz w:val="20"/>
                <w:szCs w:val="20"/>
                <w:color w:val="auto"/>
              </w:rPr>
            </w:pPr>
            <w:r>
              <w:rPr>
                <w:rFonts w:ascii="Arial" w:cs="Arial" w:eastAsia="Arial" w:hAnsi="Arial"/>
                <w:sz w:val="18"/>
                <w:szCs w:val="18"/>
                <w:color w:val="auto"/>
              </w:rPr>
              <w:t>CUSIP Number:</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338"/>
        </w:trPr>
        <w:tc>
          <w:tcPr>
            <w:tcW w:w="1040" w:type="dxa"/>
            <w:vAlign w:val="bottom"/>
          </w:tcPr>
          <w:p>
            <w:pPr>
              <w:spacing w:after="0"/>
              <w:rPr>
                <w:sz w:val="24"/>
                <w:szCs w:val="24"/>
                <w:color w:val="auto"/>
              </w:rPr>
            </w:pPr>
          </w:p>
        </w:tc>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001751-19257610</w:t>
            </w:r>
          </w:p>
        </w:tc>
        <w:tc>
          <w:tcPr>
            <w:tcW w:w="4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r>
        <w:trPr>
          <w:trHeight w:val="621"/>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5100" w:type="dxa"/>
            <w:vAlign w:val="bottom"/>
            <w:gridSpan w:val="10"/>
          </w:tcPr>
          <w:p>
            <w:pPr>
              <w:spacing w:after="0"/>
              <w:rPr>
                <w:sz w:val="20"/>
                <w:szCs w:val="20"/>
                <w:color w:val="auto"/>
              </w:rPr>
            </w:pPr>
            <w:r>
              <w:rPr>
                <w:rFonts w:ascii="Arial" w:cs="Arial" w:eastAsia="Arial" w:hAnsi="Arial"/>
                <w:sz w:val="18"/>
                <w:szCs w:val="18"/>
                <w:b w:val="1"/>
                <w:bCs w:val="1"/>
                <w:color w:val="auto"/>
                <w:w w:val="91"/>
              </w:rPr>
              <w:t>If this statement is filed pursuant to Rule 13d-1(c), check this box</w:t>
            </w:r>
          </w:p>
        </w:tc>
        <w:tc>
          <w:tcPr>
            <w:tcW w:w="5280" w:type="dxa"/>
            <w:vAlign w:val="bottom"/>
            <w:gridSpan w:val="2"/>
          </w:tcPr>
          <w:p>
            <w:pPr>
              <w:jc w:val="right"/>
              <w:ind w:right="5040"/>
              <w:spacing w:after="0" w:line="181" w:lineRule="exact"/>
              <w:rPr>
                <w:sz w:val="20"/>
                <w:szCs w:val="20"/>
                <w:color w:val="auto"/>
              </w:rPr>
            </w:pPr>
            <w:r>
              <w:rPr>
                <w:rFonts w:ascii="MS PGothic" w:cs="MS PGothic" w:eastAsia="MS PGothic" w:hAnsi="MS PGothic"/>
                <w:sz w:val="18"/>
                <w:szCs w:val="18"/>
                <w:color w:val="auto"/>
              </w:rPr>
              <w:t>☒</w:t>
            </w:r>
          </w:p>
        </w:tc>
      </w:tr>
      <w:tr>
        <w:trPr>
          <w:trHeight w:val="574"/>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880" w:type="dxa"/>
            <w:vAlign w:val="bottom"/>
          </w:tcPr>
          <w:p>
            <w:pPr>
              <w:spacing w:after="0"/>
              <w:rPr>
                <w:sz w:val="20"/>
                <w:szCs w:val="20"/>
                <w:color w:val="auto"/>
              </w:rPr>
            </w:pPr>
            <w:r>
              <w:rPr>
                <w:rFonts w:ascii="Arial" w:cs="Arial" w:eastAsia="Arial" w:hAnsi="Arial"/>
                <w:sz w:val="18"/>
                <w:szCs w:val="18"/>
                <w:b w:val="1"/>
                <w:bCs w:val="1"/>
                <w:color w:val="auto"/>
                <w:w w:val="92"/>
              </w:rPr>
              <w:t>Ownership</w:t>
            </w: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337"/>
        </w:trPr>
        <w:tc>
          <w:tcPr>
            <w:tcW w:w="1040" w:type="dxa"/>
            <w:vAlign w:val="bottom"/>
          </w:tcPr>
          <w:p>
            <w:pPr>
              <w:spacing w:after="0"/>
              <w:rPr>
                <w:sz w:val="24"/>
                <w:szCs w:val="24"/>
                <w:color w:val="auto"/>
              </w:rPr>
            </w:pPr>
          </w:p>
        </w:tc>
        <w:tc>
          <w:tcPr>
            <w:tcW w:w="10380" w:type="dxa"/>
            <w:vAlign w:val="bottom"/>
            <w:gridSpan w:val="12"/>
          </w:tcPr>
          <w:p>
            <w:pPr>
              <w:spacing w:after="0"/>
              <w:rPr>
                <w:sz w:val="20"/>
                <w:szCs w:val="20"/>
                <w:color w:val="auto"/>
              </w:rPr>
            </w:pPr>
            <w:r>
              <w:rPr>
                <w:rFonts w:ascii="Arial" w:cs="Arial" w:eastAsia="Arial" w:hAnsi="Arial"/>
                <w:sz w:val="18"/>
                <w:szCs w:val="18"/>
                <w:color w:val="auto"/>
                <w:w w:val="90"/>
              </w:rPr>
              <w:t>The aggregate number and percentage of the class of securities of the issuer identified in Item 1 owned by Mr. Cedrone on December 31, 2014</w:t>
            </w:r>
          </w:p>
        </w:tc>
      </w:tr>
      <w:tr>
        <w:trPr>
          <w:trHeight w:val="230"/>
        </w:trPr>
        <w:tc>
          <w:tcPr>
            <w:tcW w:w="1040" w:type="dxa"/>
            <w:vAlign w:val="bottom"/>
          </w:tcPr>
          <w:p>
            <w:pPr>
              <w:spacing w:after="0"/>
              <w:rPr>
                <w:sz w:val="20"/>
                <w:szCs w:val="20"/>
                <w:color w:val="auto"/>
              </w:rPr>
            </w:pPr>
          </w:p>
        </w:tc>
        <w:tc>
          <w:tcPr>
            <w:tcW w:w="4440" w:type="dxa"/>
            <w:vAlign w:val="bottom"/>
            <w:gridSpan w:val="8"/>
          </w:tcPr>
          <w:p>
            <w:pPr>
              <w:spacing w:after="0"/>
              <w:rPr>
                <w:sz w:val="20"/>
                <w:szCs w:val="20"/>
                <w:color w:val="auto"/>
              </w:rPr>
            </w:pPr>
            <w:r>
              <w:rPr>
                <w:rFonts w:ascii="Arial" w:cs="Arial" w:eastAsia="Arial" w:hAnsi="Arial"/>
                <w:sz w:val="18"/>
                <w:szCs w:val="18"/>
                <w:color w:val="auto"/>
              </w:rPr>
              <w:t>was as follows:</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40" w:type="dxa"/>
            <w:vAlign w:val="bottom"/>
          </w:tcPr>
          <w:p>
            <w:pPr>
              <w:spacing w:after="0"/>
              <w:rPr>
                <w:sz w:val="20"/>
                <w:szCs w:val="20"/>
                <w:color w:val="auto"/>
              </w:rPr>
            </w:pPr>
          </w:p>
        </w:tc>
      </w:tr>
      <w:tr>
        <w:trPr>
          <w:trHeight w:val="311"/>
        </w:trPr>
        <w:tc>
          <w:tcPr>
            <w:tcW w:w="1040" w:type="dxa"/>
            <w:vAlign w:val="bottom"/>
          </w:tcPr>
          <w:p>
            <w:pPr>
              <w:spacing w:after="0"/>
              <w:rPr>
                <w:sz w:val="24"/>
                <w:szCs w:val="24"/>
                <w:color w:val="auto"/>
              </w:rPr>
            </w:pPr>
          </w:p>
        </w:tc>
        <w:tc>
          <w:tcPr>
            <w:tcW w:w="880" w:type="dxa"/>
            <w:vAlign w:val="bottom"/>
          </w:tcPr>
          <w:p>
            <w:pPr>
              <w:ind w:left="440"/>
              <w:spacing w:after="0"/>
              <w:rPr>
                <w:sz w:val="20"/>
                <w:szCs w:val="20"/>
                <w:color w:val="auto"/>
              </w:rPr>
            </w:pPr>
            <w:r>
              <w:rPr>
                <w:rFonts w:ascii="Arial" w:cs="Arial" w:eastAsia="Arial" w:hAnsi="Arial"/>
                <w:sz w:val="18"/>
                <w:szCs w:val="18"/>
                <w:color w:val="auto"/>
              </w:rPr>
              <w:t>(a)</w:t>
            </w:r>
          </w:p>
        </w:tc>
        <w:tc>
          <w:tcPr>
            <w:tcW w:w="3560" w:type="dxa"/>
            <w:vAlign w:val="bottom"/>
            <w:gridSpan w:val="7"/>
          </w:tcPr>
          <w:p>
            <w:pPr>
              <w:spacing w:after="0"/>
              <w:rPr>
                <w:sz w:val="20"/>
                <w:szCs w:val="20"/>
                <w:color w:val="auto"/>
              </w:rPr>
            </w:pPr>
            <w:r>
              <w:rPr>
                <w:rFonts w:ascii="Arial" w:cs="Arial" w:eastAsia="Arial" w:hAnsi="Arial"/>
                <w:sz w:val="18"/>
                <w:szCs w:val="18"/>
                <w:color w:val="auto"/>
              </w:rPr>
              <w:t>Amount beneficially owned: 798,458.</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318"/>
        </w:trPr>
        <w:tc>
          <w:tcPr>
            <w:tcW w:w="1040" w:type="dxa"/>
            <w:vAlign w:val="bottom"/>
          </w:tcPr>
          <w:p>
            <w:pPr>
              <w:spacing w:after="0"/>
              <w:rPr>
                <w:sz w:val="24"/>
                <w:szCs w:val="24"/>
                <w:color w:val="auto"/>
              </w:rPr>
            </w:pPr>
          </w:p>
        </w:tc>
        <w:tc>
          <w:tcPr>
            <w:tcW w:w="880" w:type="dxa"/>
            <w:vAlign w:val="bottom"/>
          </w:tcPr>
          <w:p>
            <w:pPr>
              <w:ind w:left="440"/>
              <w:spacing w:after="0"/>
              <w:rPr>
                <w:sz w:val="20"/>
                <w:szCs w:val="20"/>
                <w:color w:val="auto"/>
              </w:rPr>
            </w:pPr>
            <w:r>
              <w:rPr>
                <w:rFonts w:ascii="Arial" w:cs="Arial" w:eastAsia="Arial" w:hAnsi="Arial"/>
                <w:sz w:val="18"/>
                <w:szCs w:val="18"/>
                <w:color w:val="auto"/>
              </w:rPr>
              <w:t>(b)</w:t>
            </w:r>
          </w:p>
        </w:tc>
        <w:tc>
          <w:tcPr>
            <w:tcW w:w="2120" w:type="dxa"/>
            <w:vAlign w:val="bottom"/>
            <w:gridSpan w:val="3"/>
          </w:tcPr>
          <w:p>
            <w:pPr>
              <w:spacing w:after="0"/>
              <w:rPr>
                <w:sz w:val="20"/>
                <w:szCs w:val="20"/>
                <w:color w:val="auto"/>
              </w:rPr>
            </w:pPr>
            <w:r>
              <w:rPr>
                <w:rFonts w:ascii="Arial" w:cs="Arial" w:eastAsia="Arial" w:hAnsi="Arial"/>
                <w:sz w:val="18"/>
                <w:szCs w:val="18"/>
                <w:color w:val="auto"/>
              </w:rPr>
              <w:t>Percent of class: 3.13%.</w:t>
            </w:r>
          </w:p>
        </w:tc>
        <w:tc>
          <w:tcPr>
            <w:tcW w:w="580" w:type="dxa"/>
            <w:vAlign w:val="bottom"/>
            <w:tcBorders>
              <w:top w:val="single" w:sz="8" w:color="auto"/>
            </w:tcBorders>
          </w:tcPr>
          <w:p>
            <w:pPr>
              <w:spacing w:after="0"/>
              <w:rPr>
                <w:sz w:val="24"/>
                <w:szCs w:val="24"/>
                <w:color w:val="auto"/>
              </w:rPr>
            </w:pPr>
          </w:p>
        </w:tc>
        <w:tc>
          <w:tcPr>
            <w:tcW w:w="86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r>
        <w:trPr>
          <w:trHeight w:val="358"/>
        </w:trPr>
        <w:tc>
          <w:tcPr>
            <w:tcW w:w="1040" w:type="dxa"/>
            <w:vAlign w:val="bottom"/>
          </w:tcPr>
          <w:p>
            <w:pPr>
              <w:spacing w:after="0"/>
              <w:rPr>
                <w:sz w:val="24"/>
                <w:szCs w:val="24"/>
                <w:color w:val="auto"/>
              </w:rPr>
            </w:pPr>
          </w:p>
        </w:tc>
        <w:tc>
          <w:tcPr>
            <w:tcW w:w="880" w:type="dxa"/>
            <w:vAlign w:val="bottom"/>
          </w:tcPr>
          <w:p>
            <w:pPr>
              <w:ind w:left="440"/>
              <w:spacing w:after="0"/>
              <w:rPr>
                <w:sz w:val="20"/>
                <w:szCs w:val="20"/>
                <w:color w:val="auto"/>
              </w:rPr>
            </w:pPr>
            <w:r>
              <w:rPr>
                <w:rFonts w:ascii="Arial" w:cs="Arial" w:eastAsia="Arial" w:hAnsi="Arial"/>
                <w:sz w:val="18"/>
                <w:szCs w:val="18"/>
                <w:color w:val="auto"/>
              </w:rPr>
              <w:t>(c)</w:t>
            </w:r>
          </w:p>
        </w:tc>
        <w:tc>
          <w:tcPr>
            <w:tcW w:w="3560" w:type="dxa"/>
            <w:vAlign w:val="bottom"/>
            <w:gridSpan w:val="7"/>
          </w:tcPr>
          <w:p>
            <w:pPr>
              <w:spacing w:after="0"/>
              <w:rPr>
                <w:sz w:val="20"/>
                <w:szCs w:val="20"/>
                <w:color w:val="auto"/>
              </w:rPr>
            </w:pPr>
            <w:r>
              <w:rPr>
                <w:rFonts w:ascii="Arial" w:cs="Arial" w:eastAsia="Arial" w:hAnsi="Arial"/>
                <w:sz w:val="18"/>
                <w:szCs w:val="18"/>
                <w:color w:val="auto"/>
                <w:w w:val="96"/>
              </w:rPr>
              <w:t>Number of shares as to which the person has:</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97"/>
        </w:trPr>
        <w:tc>
          <w:tcPr>
            <w:tcW w:w="1040" w:type="dxa"/>
            <w:vAlign w:val="bottom"/>
          </w:tcPr>
          <w:p>
            <w:pPr>
              <w:spacing w:after="0"/>
              <w:rPr>
                <w:sz w:val="24"/>
                <w:szCs w:val="24"/>
                <w:color w:val="auto"/>
              </w:rPr>
            </w:pPr>
          </w:p>
        </w:tc>
        <w:tc>
          <w:tcPr>
            <w:tcW w:w="880" w:type="dxa"/>
            <w:vAlign w:val="bottom"/>
          </w:tcPr>
          <w:p>
            <w:pPr>
              <w:ind w:left="440"/>
              <w:spacing w:after="0"/>
              <w:rPr>
                <w:sz w:val="20"/>
                <w:szCs w:val="20"/>
                <w:color w:val="auto"/>
              </w:rPr>
            </w:pPr>
            <w:r>
              <w:rPr>
                <w:rFonts w:ascii="Arial" w:cs="Arial" w:eastAsia="Arial" w:hAnsi="Arial"/>
                <w:sz w:val="18"/>
                <w:szCs w:val="18"/>
                <w:color w:val="auto"/>
              </w:rPr>
              <w:t>(i)</w:t>
            </w:r>
          </w:p>
        </w:tc>
        <w:tc>
          <w:tcPr>
            <w:tcW w:w="3560" w:type="dxa"/>
            <w:vAlign w:val="bottom"/>
            <w:gridSpan w:val="7"/>
          </w:tcPr>
          <w:p>
            <w:pPr>
              <w:spacing w:after="0"/>
              <w:rPr>
                <w:sz w:val="20"/>
                <w:szCs w:val="20"/>
                <w:color w:val="auto"/>
              </w:rPr>
            </w:pPr>
            <w:r>
              <w:rPr>
                <w:rFonts w:ascii="Arial" w:cs="Arial" w:eastAsia="Arial" w:hAnsi="Arial"/>
                <w:sz w:val="18"/>
                <w:szCs w:val="18"/>
                <w:color w:val="auto"/>
                <w:w w:val="92"/>
              </w:rPr>
              <w:t>Sole power to vote or to direct the vote 798,458.</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r>
        <w:trPr>
          <w:trHeight w:val="358"/>
        </w:trPr>
        <w:tc>
          <w:tcPr>
            <w:tcW w:w="1040" w:type="dxa"/>
            <w:vAlign w:val="bottom"/>
          </w:tcPr>
          <w:p>
            <w:pPr>
              <w:spacing w:after="0"/>
              <w:rPr>
                <w:sz w:val="24"/>
                <w:szCs w:val="24"/>
                <w:color w:val="auto"/>
              </w:rPr>
            </w:pPr>
          </w:p>
        </w:tc>
        <w:tc>
          <w:tcPr>
            <w:tcW w:w="880" w:type="dxa"/>
            <w:vAlign w:val="bottom"/>
          </w:tcPr>
          <w:p>
            <w:pPr>
              <w:ind w:left="440"/>
              <w:spacing w:after="0"/>
              <w:rPr>
                <w:sz w:val="20"/>
                <w:szCs w:val="20"/>
                <w:color w:val="auto"/>
              </w:rPr>
            </w:pPr>
            <w:r>
              <w:rPr>
                <w:rFonts w:ascii="Arial" w:cs="Arial" w:eastAsia="Arial" w:hAnsi="Arial"/>
                <w:sz w:val="18"/>
                <w:szCs w:val="18"/>
                <w:color w:val="auto"/>
              </w:rPr>
              <w:t>(ii)</w:t>
            </w:r>
          </w:p>
        </w:tc>
        <w:tc>
          <w:tcPr>
            <w:tcW w:w="3560" w:type="dxa"/>
            <w:vAlign w:val="bottom"/>
            <w:gridSpan w:val="7"/>
          </w:tcPr>
          <w:p>
            <w:pPr>
              <w:spacing w:after="0"/>
              <w:rPr>
                <w:sz w:val="20"/>
                <w:szCs w:val="20"/>
                <w:color w:val="auto"/>
              </w:rPr>
            </w:pPr>
            <w:r>
              <w:rPr>
                <w:rFonts w:ascii="Arial" w:cs="Arial" w:eastAsia="Arial" w:hAnsi="Arial"/>
                <w:sz w:val="18"/>
                <w:szCs w:val="18"/>
                <w:color w:val="auto"/>
              </w:rPr>
              <w:t>Shared power to vote or to direct the vote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97"/>
        </w:trPr>
        <w:tc>
          <w:tcPr>
            <w:tcW w:w="1040" w:type="dxa"/>
            <w:vAlign w:val="bottom"/>
          </w:tcPr>
          <w:p>
            <w:pPr>
              <w:spacing w:after="0"/>
              <w:rPr>
                <w:sz w:val="24"/>
                <w:szCs w:val="24"/>
                <w:color w:val="auto"/>
              </w:rPr>
            </w:pPr>
          </w:p>
        </w:tc>
        <w:tc>
          <w:tcPr>
            <w:tcW w:w="880" w:type="dxa"/>
            <w:vAlign w:val="bottom"/>
          </w:tcPr>
          <w:p>
            <w:pPr>
              <w:ind w:left="440"/>
              <w:spacing w:after="0"/>
              <w:rPr>
                <w:sz w:val="20"/>
                <w:szCs w:val="20"/>
                <w:color w:val="auto"/>
              </w:rPr>
            </w:pPr>
            <w:r>
              <w:rPr>
                <w:rFonts w:ascii="Arial" w:cs="Arial" w:eastAsia="Arial" w:hAnsi="Arial"/>
                <w:sz w:val="18"/>
                <w:szCs w:val="18"/>
                <w:color w:val="auto"/>
              </w:rPr>
              <w:t>(iii)</w:t>
            </w:r>
          </w:p>
        </w:tc>
        <w:tc>
          <w:tcPr>
            <w:tcW w:w="9500" w:type="dxa"/>
            <w:vAlign w:val="bottom"/>
            <w:gridSpan w:val="11"/>
          </w:tcPr>
          <w:p>
            <w:pPr>
              <w:spacing w:after="0"/>
              <w:rPr>
                <w:sz w:val="20"/>
                <w:szCs w:val="20"/>
                <w:color w:val="auto"/>
              </w:rPr>
            </w:pPr>
            <w:r>
              <w:rPr>
                <w:rFonts w:ascii="Arial" w:cs="Arial" w:eastAsia="Arial" w:hAnsi="Arial"/>
                <w:sz w:val="18"/>
                <w:szCs w:val="18"/>
                <w:color w:val="auto"/>
              </w:rPr>
              <w:t>Sole power to dispose or to direct the disposition of 798,458.</w:t>
            </w:r>
          </w:p>
        </w:tc>
      </w:tr>
      <w:tr>
        <w:trPr>
          <w:trHeight w:val="20"/>
        </w:trPr>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760" w:type="dxa"/>
            <w:vAlign w:val="bottom"/>
            <w:gridSpan w:val="8"/>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r>
        <w:trPr>
          <w:trHeight w:val="358"/>
        </w:trPr>
        <w:tc>
          <w:tcPr>
            <w:tcW w:w="1040" w:type="dxa"/>
            <w:vAlign w:val="bottom"/>
          </w:tcPr>
          <w:p>
            <w:pPr>
              <w:spacing w:after="0"/>
              <w:rPr>
                <w:sz w:val="24"/>
                <w:szCs w:val="24"/>
                <w:color w:val="auto"/>
              </w:rPr>
            </w:pPr>
          </w:p>
        </w:tc>
        <w:tc>
          <w:tcPr>
            <w:tcW w:w="880" w:type="dxa"/>
            <w:vAlign w:val="bottom"/>
          </w:tcPr>
          <w:p>
            <w:pPr>
              <w:ind w:left="440"/>
              <w:spacing w:after="0"/>
              <w:rPr>
                <w:sz w:val="20"/>
                <w:szCs w:val="20"/>
                <w:color w:val="auto"/>
              </w:rPr>
            </w:pPr>
            <w:r>
              <w:rPr>
                <w:rFonts w:ascii="Arial" w:cs="Arial" w:eastAsia="Arial" w:hAnsi="Arial"/>
                <w:sz w:val="18"/>
                <w:szCs w:val="18"/>
                <w:color w:val="auto"/>
              </w:rPr>
              <w:t>(iv)</w:t>
            </w:r>
          </w:p>
        </w:tc>
        <w:tc>
          <w:tcPr>
            <w:tcW w:w="4220" w:type="dxa"/>
            <w:vAlign w:val="bottom"/>
            <w:gridSpan w:val="9"/>
          </w:tcPr>
          <w:p>
            <w:pPr>
              <w:spacing w:after="0"/>
              <w:rPr>
                <w:sz w:val="20"/>
                <w:szCs w:val="20"/>
                <w:color w:val="auto"/>
              </w:rPr>
            </w:pPr>
            <w:r>
              <w:rPr>
                <w:rFonts w:ascii="Arial" w:cs="Arial" w:eastAsia="Arial" w:hAnsi="Arial"/>
                <w:sz w:val="18"/>
                <w:szCs w:val="18"/>
                <w:color w:val="auto"/>
                <w:w w:val="97"/>
              </w:rPr>
              <w:t>Shared power to dispose or to direct the disposition of</w:t>
            </w:r>
          </w:p>
        </w:tc>
        <w:tc>
          <w:tcPr>
            <w:tcW w:w="5280" w:type="dxa"/>
            <w:vAlign w:val="bottom"/>
            <w:gridSpan w:val="2"/>
          </w:tcPr>
          <w:p>
            <w:pPr>
              <w:jc w:val="right"/>
              <w:ind w:right="492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420"/>
          </w:cols>
          <w:pgMar w:left="240" w:top="270" w:right="239" w:bottom="1440" w:gutter="0" w:footer="0" w:header="0"/>
        </w:sectPr>
      </w:pPr>
    </w:p>
    <w:bookmarkStart w:id="3" w:name="page4"/>
    <w:bookmarkEnd w:id="3"/>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w:t>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176" w:lineRule="exact"/>
        <w:tabs>
          <w:tab w:leader="none" w:pos="3600" w:val="left"/>
        </w:tabs>
        <w:rPr>
          <w:sz w:val="20"/>
          <w:szCs w:val="20"/>
          <w:color w:val="auto"/>
        </w:rPr>
      </w:pPr>
      <w:r>
        <w:rPr>
          <w:rFonts w:ascii="Arial" w:cs="Arial" w:eastAsia="Arial" w:hAnsi="Arial"/>
          <w:sz w:val="17"/>
          <w:szCs w:val="17"/>
          <w:b w:val="1"/>
          <w:bCs w:val="1"/>
          <w:color w:val="auto"/>
        </w:rPr>
        <w:t>Ownership of Five Percent or Less of a Class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-187960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 of More than Five Percent on Behalf of Another Person</w:t>
      </w:r>
    </w:p>
    <w:p>
      <w:pPr>
        <w:spacing w:after="0" w:line="144" w:lineRule="exact"/>
        <w:rPr>
          <w:sz w:val="20"/>
          <w:szCs w:val="20"/>
          <w:color w:val="auto"/>
        </w:rPr>
      </w:pPr>
    </w:p>
    <w:p>
      <w:pPr>
        <w:sectPr>
          <w:pgSz w:w="11900" w:h="16838" w:orient="portrait"/>
          <w:cols w:equalWidth="0" w:num="2">
            <w:col w:w="500" w:space="540"/>
            <w:col w:w="10360"/>
          </w:cols>
          <w:pgMar w:left="240" w:top="241" w:right="259" w:bottom="1440" w:gutter="0" w:footer="0" w:header="0"/>
        </w:sectPr>
      </w:pPr>
    </w:p>
    <w:p>
      <w:pPr>
        <w:ind w:left="1040"/>
        <w:spacing w:after="0"/>
        <w:rPr>
          <w:sz w:val="20"/>
          <w:szCs w:val="20"/>
          <w:color w:val="auto"/>
        </w:rPr>
      </w:pPr>
      <w:r>
        <w:rPr>
          <w:rFonts w:ascii="Arial" w:cs="Arial" w:eastAsia="Arial" w:hAnsi="Arial"/>
          <w:sz w:val="17"/>
          <w:szCs w:val="17"/>
          <w:color w:val="auto"/>
        </w:rPr>
        <w:t>Not Applicable.</w:t>
      </w:r>
    </w:p>
    <w:p>
      <w:pPr>
        <w:sectPr>
          <w:pgSz w:w="11900" w:h="16838" w:orient="portrait"/>
          <w:cols w:equalWidth="0" w:num="1">
            <w:col w:w="11400"/>
          </w:cols>
          <w:pgMar w:left="240" w:top="241" w:right="259" w:bottom="1440" w:gutter="0" w:footer="0" w:header="0"/>
          <w:type w:val="continuous"/>
        </w:sect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sectPr>
          <w:pgSz w:w="11900" w:h="16838" w:orient="portrait"/>
          <w:cols w:equalWidth="0" w:num="2">
            <w:col w:w="500" w:space="540"/>
            <w:col w:w="10360"/>
          </w:cols>
          <w:pgMar w:left="240" w:top="241" w:right="259" w:bottom="1440" w:gutter="0" w:footer="0" w:header="0"/>
          <w:type w:val="continuous"/>
        </w:sectPr>
      </w:pPr>
    </w:p>
    <w:p>
      <w:pPr>
        <w:ind w:left="1040"/>
        <w:spacing w:after="0"/>
        <w:rPr>
          <w:sz w:val="20"/>
          <w:szCs w:val="20"/>
          <w:color w:val="auto"/>
        </w:rPr>
      </w:pPr>
      <w:r>
        <w:rPr>
          <w:rFonts w:ascii="Arial" w:cs="Arial" w:eastAsia="Arial" w:hAnsi="Arial"/>
          <w:sz w:val="17"/>
          <w:szCs w:val="17"/>
          <w:color w:val="auto"/>
        </w:rPr>
        <w:t>Not Applicable.</w:t>
      </w:r>
    </w:p>
    <w:p>
      <w:pPr>
        <w:sectPr>
          <w:pgSz w:w="11900" w:h="16838" w:orient="portrait"/>
          <w:cols w:equalWidth="0" w:num="1">
            <w:col w:w="11400"/>
          </w:cols>
          <w:pgMar w:left="240" w:top="241" w:right="259" w:bottom="1440" w:gutter="0" w:footer="0" w:header="0"/>
          <w:type w:val="continuous"/>
        </w:sect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Identification and Classification of Members of the Group</w:t>
      </w:r>
    </w:p>
    <w:p>
      <w:pPr>
        <w:spacing w:after="0" w:line="144" w:lineRule="exact"/>
        <w:rPr>
          <w:sz w:val="20"/>
          <w:szCs w:val="20"/>
          <w:color w:val="auto"/>
        </w:rPr>
      </w:pPr>
    </w:p>
    <w:p>
      <w:pPr>
        <w:sectPr>
          <w:pgSz w:w="11900" w:h="16838" w:orient="portrait"/>
          <w:cols w:equalWidth="0" w:num="2">
            <w:col w:w="500" w:space="540"/>
            <w:col w:w="10360"/>
          </w:cols>
          <w:pgMar w:left="240" w:top="241" w:right="259" w:bottom="1440" w:gutter="0" w:footer="0" w:header="0"/>
          <w:type w:val="continuous"/>
        </w:sectPr>
      </w:pPr>
    </w:p>
    <w:p>
      <w:pPr>
        <w:ind w:left="1040"/>
        <w:spacing w:after="0"/>
        <w:rPr>
          <w:sz w:val="20"/>
          <w:szCs w:val="20"/>
          <w:color w:val="auto"/>
        </w:rPr>
      </w:pPr>
      <w:r>
        <w:rPr>
          <w:rFonts w:ascii="Arial" w:cs="Arial" w:eastAsia="Arial" w:hAnsi="Arial"/>
          <w:sz w:val="17"/>
          <w:szCs w:val="17"/>
          <w:color w:val="auto"/>
        </w:rPr>
        <w:t>Not Applicable.</w:t>
      </w:r>
    </w:p>
    <w:p>
      <w:pPr>
        <w:sectPr>
          <w:pgSz w:w="11900" w:h="16838" w:orient="portrait"/>
          <w:cols w:equalWidth="0" w:num="1">
            <w:col w:w="11400"/>
          </w:cols>
          <w:pgMar w:left="240" w:top="241" w:right="259" w:bottom="1440" w:gutter="0" w:footer="0" w:header="0"/>
          <w:type w:val="continuous"/>
        </w:sect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of Dissolution of Group</w:t>
      </w:r>
    </w:p>
    <w:p>
      <w:pPr>
        <w:spacing w:after="0" w:line="144" w:lineRule="exact"/>
        <w:rPr>
          <w:sz w:val="20"/>
          <w:szCs w:val="20"/>
          <w:color w:val="auto"/>
        </w:rPr>
      </w:pPr>
    </w:p>
    <w:p>
      <w:pPr>
        <w:sectPr>
          <w:pgSz w:w="11900" w:h="16838" w:orient="portrait"/>
          <w:cols w:equalWidth="0" w:num="2">
            <w:col w:w="500" w:space="540"/>
            <w:col w:w="10360"/>
          </w:cols>
          <w:pgMar w:left="240" w:top="241" w:right="259" w:bottom="1440" w:gutter="0" w:footer="0" w:header="0"/>
          <w:type w:val="continuous"/>
        </w:sectPr>
      </w:pPr>
    </w:p>
    <w:p>
      <w:pPr>
        <w:ind w:left="1040"/>
        <w:spacing w:after="0"/>
        <w:rPr>
          <w:sz w:val="20"/>
          <w:szCs w:val="20"/>
          <w:color w:val="auto"/>
        </w:rPr>
      </w:pPr>
      <w:r>
        <w:rPr>
          <w:rFonts w:ascii="Arial" w:cs="Arial" w:eastAsia="Arial" w:hAnsi="Arial"/>
          <w:sz w:val="17"/>
          <w:szCs w:val="17"/>
          <w:color w:val="auto"/>
        </w:rPr>
        <w:t>Not Applicable.</w:t>
      </w:r>
    </w:p>
    <w:p>
      <w:pPr>
        <w:sectPr>
          <w:pgSz w:w="11900" w:h="16838" w:orient="portrait"/>
          <w:cols w:equalWidth="0" w:num="1">
            <w:col w:w="11400"/>
          </w:cols>
          <w:pgMar w:left="240" w:top="241" w:right="259" w:bottom="1440" w:gutter="0" w:footer="0" w:header="0"/>
          <w:type w:val="continuous"/>
        </w:sectPr>
      </w:pPr>
    </w:p>
    <w:p>
      <w:pPr>
        <w:spacing w:after="0" w:line="34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00"/>
          </w:cols>
          <w:pgMar w:left="240" w:top="241" w:right="259" w:bottom="1440" w:gutter="0" w:footer="0" w:header="0"/>
          <w:type w:val="continuous"/>
        </w:sectPr>
      </w:pPr>
    </w:p>
    <w:bookmarkStart w:id="4" w:name="page5"/>
    <w:bookmarkEnd w:id="4"/>
    <w:p>
      <w:pPr>
        <w:jc w:val="center"/>
        <w:ind w:right="-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January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Nicholas J. Cedrone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Nicholas J. Cedrone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sectPr>
      <w:pgSz w:w="11900" w:h="16838" w:orient="portrait"/>
      <w:cols w:equalWidth="0" w:num="1">
        <w:col w:w="10920"/>
      </w:cols>
      <w:pgMar w:left="240" w:top="270"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2019-12-20T21:36:08Z</dcterms:created>
  <dcterms:modified xsi:type="dcterms:W3CDTF">2019-12-20T21:36:08Z</dcterms:modified>
</cp:coreProperties>
</file>