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84" w:lineRule="exact"/>
        <w:rPr>
          <w:sz w:val="24"/>
          <w:szCs w:val="24"/>
          <w:color w:val="auto"/>
        </w:rPr>
      </w:pPr>
    </w:p>
    <w:p>
      <w:pPr>
        <w:ind w:left="1380" w:right="1060" w:hanging="1034"/>
        <w:spacing w:after="0" w:line="438" w:lineRule="auto"/>
        <w:tabs>
          <w:tab w:leader="none" w:pos="137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27, 2014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jc w:val="center"/>
        <w:ind w:left="4380" w:right="1060" w:hanging="4034"/>
        <w:spacing w:after="0" w:line="421" w:lineRule="auto"/>
        <w:tabs>
          <w:tab w:leader="none" w:pos="136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001-04298</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COHU, INC.</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2" w:lineRule="exact"/>
        <w:rPr>
          <w:sz w:val="24"/>
          <w:szCs w:val="24"/>
          <w:color w:val="auto"/>
        </w:rPr>
      </w:pPr>
    </w:p>
    <w:tbl>
      <w:tblPr>
        <w:tblLayout w:type="fixed"/>
        <w:tblInd w:w="1220" w:type="dxa"/>
        <w:tblCellMar>
          <w:top w:w="0" w:type="dxa"/>
          <w:left w:w="0" w:type="dxa"/>
          <w:bottom w:w="0" w:type="dxa"/>
          <w:right w:w="0" w:type="dxa"/>
        </w:tblCellMar>
      </w:tblPr>
      <w:tr>
        <w:trPr>
          <w:trHeight w:val="222"/>
        </w:trPr>
        <w:tc>
          <w:tcPr>
            <w:tcW w:w="4760" w:type="dxa"/>
            <w:vAlign w:val="bottom"/>
          </w:tcPr>
          <w:p>
            <w:pPr>
              <w:jc w:val="center"/>
              <w:ind w:right="1332"/>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ind w:left="1352"/>
              <w:spacing w:after="0"/>
              <w:rPr>
                <w:sz w:val="20"/>
                <w:szCs w:val="20"/>
                <w:color w:val="auto"/>
              </w:rPr>
            </w:pPr>
            <w:r>
              <w:rPr>
                <w:rFonts w:ascii="Arial" w:cs="Arial" w:eastAsia="Arial" w:hAnsi="Arial"/>
                <w:sz w:val="18"/>
                <w:szCs w:val="18"/>
                <w:b w:val="1"/>
                <w:bCs w:val="1"/>
                <w:color w:val="auto"/>
                <w:w w:val="87"/>
              </w:rPr>
              <w:t>95-1934119</w:t>
            </w:r>
          </w:p>
        </w:tc>
      </w:tr>
      <w:tr>
        <w:trPr>
          <w:trHeight w:val="216"/>
        </w:trPr>
        <w:tc>
          <w:tcPr>
            <w:tcW w:w="4760" w:type="dxa"/>
            <w:vAlign w:val="bottom"/>
          </w:tcPr>
          <w:p>
            <w:pPr>
              <w:jc w:val="center"/>
              <w:ind w:right="1332"/>
              <w:spacing w:after="0"/>
              <w:rPr>
                <w:sz w:val="20"/>
                <w:szCs w:val="20"/>
                <w:color w:val="auto"/>
              </w:rPr>
            </w:pPr>
            <w:r>
              <w:rPr>
                <w:rFonts w:ascii="Arial" w:cs="Arial" w:eastAsia="Arial" w:hAnsi="Arial"/>
                <w:sz w:val="18"/>
                <w:szCs w:val="18"/>
                <w:i w:val="1"/>
                <w:iCs w:val="1"/>
                <w:color w:val="auto"/>
                <w:w w:val="91"/>
              </w:rPr>
              <w:t>(State or other jurisdiction of</w:t>
            </w:r>
          </w:p>
        </w:tc>
        <w:tc>
          <w:tcPr>
            <w:tcW w:w="3920" w:type="dxa"/>
            <w:vAlign w:val="bottom"/>
          </w:tcPr>
          <w:p>
            <w:pPr>
              <w:jc w:val="center"/>
              <w:ind w:left="133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222"/>
        </w:trPr>
        <w:tc>
          <w:tcPr>
            <w:tcW w:w="4760" w:type="dxa"/>
            <w:vAlign w:val="bottom"/>
          </w:tcPr>
          <w:p>
            <w:pPr>
              <w:jc w:val="center"/>
              <w:ind w:right="1332"/>
              <w:spacing w:after="0"/>
              <w:rPr>
                <w:sz w:val="20"/>
                <w:szCs w:val="20"/>
                <w:color w:val="auto"/>
              </w:rPr>
            </w:pPr>
            <w:r>
              <w:rPr>
                <w:rFonts w:ascii="Arial" w:cs="Arial" w:eastAsia="Arial" w:hAnsi="Arial"/>
                <w:sz w:val="18"/>
                <w:szCs w:val="18"/>
                <w:i w:val="1"/>
                <w:iCs w:val="1"/>
                <w:color w:val="auto"/>
                <w:w w:val="93"/>
              </w:rPr>
              <w:t>incorporation or organization)</w:t>
            </w:r>
          </w:p>
        </w:tc>
        <w:tc>
          <w:tcPr>
            <w:tcW w:w="3920" w:type="dxa"/>
            <w:vAlign w:val="bottom"/>
          </w:tcPr>
          <w:p>
            <w:pPr>
              <w:spacing w:after="0"/>
              <w:rPr>
                <w:sz w:val="19"/>
                <w:szCs w:val="19"/>
                <w:color w:val="auto"/>
              </w:rPr>
            </w:pPr>
          </w:p>
        </w:tc>
      </w:tr>
      <w:tr>
        <w:trPr>
          <w:trHeight w:val="439"/>
        </w:trPr>
        <w:tc>
          <w:tcPr>
            <w:tcW w:w="4760" w:type="dxa"/>
            <w:vAlign w:val="bottom"/>
          </w:tcPr>
          <w:p>
            <w:pPr>
              <w:jc w:val="center"/>
              <w:ind w:right="1332"/>
              <w:spacing w:after="0"/>
              <w:rPr>
                <w:sz w:val="20"/>
                <w:szCs w:val="20"/>
                <w:color w:val="auto"/>
              </w:rPr>
            </w:pPr>
            <w:r>
              <w:rPr>
                <w:rFonts w:ascii="Arial" w:cs="Arial" w:eastAsia="Arial" w:hAnsi="Arial"/>
                <w:sz w:val="18"/>
                <w:szCs w:val="18"/>
                <w:b w:val="1"/>
                <w:bCs w:val="1"/>
                <w:color w:val="auto"/>
                <w:w w:val="89"/>
              </w:rPr>
              <w:t>12367 Crosthwaite Circle, Poway, California</w:t>
            </w:r>
          </w:p>
        </w:tc>
        <w:tc>
          <w:tcPr>
            <w:tcW w:w="3920" w:type="dxa"/>
            <w:vAlign w:val="bottom"/>
          </w:tcPr>
          <w:p>
            <w:pPr>
              <w:jc w:val="center"/>
              <w:ind w:left="1332"/>
              <w:spacing w:after="0"/>
              <w:rPr>
                <w:sz w:val="20"/>
                <w:szCs w:val="20"/>
                <w:color w:val="auto"/>
              </w:rPr>
            </w:pPr>
            <w:r>
              <w:rPr>
                <w:rFonts w:ascii="Arial" w:cs="Arial" w:eastAsia="Arial" w:hAnsi="Arial"/>
                <w:sz w:val="18"/>
                <w:szCs w:val="18"/>
                <w:b w:val="1"/>
                <w:bCs w:val="1"/>
                <w:color w:val="auto"/>
                <w:w w:val="89"/>
              </w:rPr>
              <w:t>92064-6817</w:t>
            </w:r>
          </w:p>
        </w:tc>
      </w:tr>
      <w:tr>
        <w:trPr>
          <w:trHeight w:val="222"/>
        </w:trPr>
        <w:tc>
          <w:tcPr>
            <w:tcW w:w="4760" w:type="dxa"/>
            <w:vAlign w:val="bottom"/>
          </w:tcPr>
          <w:p>
            <w:pPr>
              <w:jc w:val="center"/>
              <w:ind w:right="133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3920" w:type="dxa"/>
            <w:vAlign w:val="bottom"/>
          </w:tcPr>
          <w:p>
            <w:pPr>
              <w:jc w:val="center"/>
              <w:ind w:left="1332"/>
              <w:spacing w:after="0"/>
              <w:rPr>
                <w:sz w:val="20"/>
                <w:szCs w:val="20"/>
                <w:color w:val="auto"/>
              </w:rPr>
            </w:pPr>
            <w:r>
              <w:rPr>
                <w:rFonts w:ascii="Arial" w:cs="Arial" w:eastAsia="Arial" w:hAnsi="Arial"/>
                <w:sz w:val="18"/>
                <w:szCs w:val="18"/>
                <w:i w:val="1"/>
                <w:iCs w:val="1"/>
                <w:color w:val="auto"/>
                <w:w w:val="91"/>
              </w:rPr>
              <w:t>(Zip Code)</w:t>
            </w:r>
          </w:p>
        </w:tc>
      </w:tr>
    </w:tbl>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77" w:lineRule="exact"/>
        <w:rPr>
          <w:sz w:val="24"/>
          <w:szCs w:val="24"/>
          <w:color w:val="auto"/>
        </w:rPr>
      </w:pPr>
    </w:p>
    <w:p>
      <w:pPr>
        <w:ind w:firstLine="17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00" w:firstLine="17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80" w:firstLine="17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0"/>
        <w:spacing w:after="0" w:line="207" w:lineRule="exact"/>
        <w:tabs>
          <w:tab w:leader="none" w:pos="2640" w:val="left"/>
          <w:tab w:leader="none" w:pos="4720" w:val="left"/>
          <w:tab w:leader="none" w:pos="7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180" w:right="2980" w:firstLine="10"/>
        <w:spacing w:after="0" w:line="31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September 27, 2014 the Registrant had 25,534,807 shares of its $1.00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27, 2014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Number</w:t>
            </w:r>
          </w:p>
        </w:tc>
      </w:tr>
      <w:tr>
        <w:trPr>
          <w:trHeight w:val="372"/>
        </w:trPr>
        <w:tc>
          <w:tcPr>
            <w:tcW w:w="21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2"/>
              </w:rPr>
              <w:t>Part I Financial Information</w:t>
            </w:r>
          </w:p>
        </w:tc>
        <w:tc>
          <w:tcPr>
            <w:tcW w:w="836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105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90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September 27, 2014 (unaudited) and December 28, 2013</w:t>
              </w:r>
            </w:hyperlink>
          </w:p>
        </w:tc>
        <w:tc>
          <w:tcPr>
            <w:tcW w:w="340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220" w:type="dxa"/>
            <w:vAlign w:val="bottom"/>
          </w:tcPr>
          <w:p>
            <w:pPr>
              <w:spacing w:after="0"/>
              <w:rPr>
                <w:sz w:val="24"/>
                <w:szCs w:val="24"/>
                <w:color w:val="auto"/>
              </w:rPr>
            </w:pPr>
          </w:p>
        </w:tc>
        <w:tc>
          <w:tcPr>
            <w:tcW w:w="10300" w:type="dxa"/>
            <w:vAlign w:val="bottom"/>
            <w:gridSpan w:val="21"/>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Operations (unaudited) Three and Nine Months Ended September 27, 2014 and September</w:t>
              </w:r>
            </w:hyperlink>
          </w:p>
        </w:tc>
        <w:tc>
          <w:tcPr>
            <w:tcW w:w="8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28, 2013</w:t>
              </w:r>
            </w:hyperlink>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412"/>
        </w:trPr>
        <w:tc>
          <w:tcPr>
            <w:tcW w:w="220" w:type="dxa"/>
            <w:vAlign w:val="bottom"/>
          </w:tcPr>
          <w:p>
            <w:pPr>
              <w:spacing w:after="0"/>
              <w:rPr>
                <w:sz w:val="24"/>
                <w:szCs w:val="24"/>
                <w:color w:val="auto"/>
              </w:rPr>
            </w:pPr>
          </w:p>
        </w:tc>
        <w:tc>
          <w:tcPr>
            <w:tcW w:w="910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Comprehensive Loss (unaudited) Three and Nine Months Ended September 27, 2014 and</w:t>
              </w:r>
            </w:hyperlink>
          </w:p>
        </w:tc>
        <w:tc>
          <w:tcPr>
            <w:tcW w:w="120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September 28, 2013</w:t>
              </w:r>
            </w:hyperlink>
          </w:p>
        </w:tc>
        <w:tc>
          <w:tcPr>
            <w:tcW w:w="866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220" w:type="dxa"/>
            <w:vAlign w:val="bottom"/>
          </w:tcPr>
          <w:p>
            <w:pPr>
              <w:spacing w:after="0"/>
              <w:rPr>
                <w:sz w:val="24"/>
                <w:szCs w:val="24"/>
                <w:color w:val="auto"/>
              </w:rPr>
            </w:pPr>
          </w:p>
        </w:tc>
        <w:tc>
          <w:tcPr>
            <w:tcW w:w="10300" w:type="dxa"/>
            <w:vAlign w:val="bottom"/>
            <w:gridSpan w:val="21"/>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Cash Flows (unaudited) Nine Months Ended September 27, 2014 and September 28, 2013</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22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Condensed Consolidated Financial Statements</w:t>
              </w:r>
            </w:hyperlink>
          </w:p>
        </w:tc>
        <w:tc>
          <w:tcPr>
            <w:tcW w:w="4460" w:type="dxa"/>
            <w:vAlign w:val="bottom"/>
            <w:tcBorders>
              <w:top w:val="single" w:sz="8" w:color="0000EE"/>
            </w:tcBorders>
            <w:gridSpan w:val="4"/>
          </w:tcPr>
          <w:p>
            <w:pPr>
              <w:spacing w:after="0"/>
              <w:rPr>
                <w:sz w:val="24"/>
                <w:szCs w:val="24"/>
                <w:color w:val="auto"/>
              </w:rPr>
            </w:pPr>
          </w:p>
        </w:tc>
        <w:tc>
          <w:tcPr>
            <w:tcW w:w="116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1052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48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368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22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Item 4. Controls and Procedures</w:t>
              </w:r>
            </w:hyperlink>
          </w:p>
        </w:tc>
        <w:tc>
          <w:tcPr>
            <w:tcW w:w="824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1980" w:type="dxa"/>
            <w:vAlign w:val="bottom"/>
            <w:tcBorders>
              <w:bottom w:val="single" w:sz="8" w:color="0000EE"/>
            </w:tcBorders>
            <w:gridSpan w:val="9"/>
          </w:tcPr>
          <w:p>
            <w:pPr>
              <w:spacing w:after="0"/>
              <w:rPr>
                <w:rFonts w:ascii="Arial" w:cs="Arial" w:eastAsia="Arial" w:hAnsi="Arial"/>
                <w:sz w:val="18"/>
                <w:szCs w:val="18"/>
                <w:b w:val="1"/>
                <w:bCs w:val="1"/>
                <w:color w:val="0000EE"/>
                <w:w w:val="94"/>
              </w:rPr>
            </w:pPr>
            <w:hyperlink w:anchor="page27">
              <w:r>
                <w:rPr>
                  <w:rFonts w:ascii="Arial" w:cs="Arial" w:eastAsia="Arial" w:hAnsi="Arial"/>
                  <w:sz w:val="18"/>
                  <w:szCs w:val="18"/>
                  <w:b w:val="1"/>
                  <w:bCs w:val="1"/>
                  <w:color w:val="0000EE"/>
                  <w:w w:val="94"/>
                </w:rPr>
                <w:t>Part II Other Information</w:t>
              </w:r>
            </w:hyperlink>
          </w:p>
        </w:tc>
        <w:tc>
          <w:tcPr>
            <w:tcW w:w="854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1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1. Legal Proceedings</w:t>
              </w:r>
            </w:hyperlink>
          </w:p>
        </w:tc>
        <w:tc>
          <w:tcPr>
            <w:tcW w:w="866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5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1A. Risk Factors</w:t>
              </w:r>
            </w:hyperlink>
          </w:p>
        </w:tc>
        <w:tc>
          <w:tcPr>
            <w:tcW w:w="896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48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2. Unregistered Sales of Equity Securities and Use of Proceeds</w:t>
              </w:r>
            </w:hyperlink>
          </w:p>
        </w:tc>
        <w:tc>
          <w:tcPr>
            <w:tcW w:w="572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8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Item 3. Defaults Upon Senior Securities</w:t>
              </w:r>
            </w:hyperlink>
          </w:p>
        </w:tc>
        <w:tc>
          <w:tcPr>
            <w:tcW w:w="770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2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4. Mine Safety Disclosures</w:t>
              </w:r>
            </w:hyperlink>
          </w:p>
        </w:tc>
        <w:tc>
          <w:tcPr>
            <w:tcW w:w="824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8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5. Other Information</w:t>
              </w:r>
            </w:hyperlink>
          </w:p>
        </w:tc>
        <w:tc>
          <w:tcPr>
            <w:tcW w:w="868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1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6. Exhibits</w:t>
              </w:r>
            </w:hyperlink>
          </w:p>
        </w:tc>
        <w:tc>
          <w:tcPr>
            <w:tcW w:w="938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105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9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COHU, INC.</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3"/>
              <w:spacing w:after="0" w:line="142" w:lineRule="exact"/>
              <w:rPr>
                <w:sz w:val="20"/>
                <w:szCs w:val="20"/>
                <w:color w:val="auto"/>
              </w:rPr>
            </w:pPr>
            <w:r>
              <w:rPr>
                <w:rFonts w:ascii="Arial" w:cs="Arial" w:eastAsia="Arial" w:hAnsi="Arial"/>
                <w:sz w:val="14"/>
                <w:szCs w:val="14"/>
                <w:color w:val="auto"/>
                <w:w w:val="84"/>
              </w:rPr>
              <w:t>(Unaudited)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Raw materials and purchased parts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28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22,662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60,140</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55,409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7,996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assets of discontinued video camera segment (Note 2)</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6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221,891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186,848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Land and land improvements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11,932</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Buildings and building improvements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42,955</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(52,827)</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property, plant and equipment</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33,361</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67,865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 of discontinued video camera segment (Note 2)</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365,372</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345,423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20,364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warranty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Deferred profit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11,240</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8,020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 of discontinued video camera segment (Note 2)</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60" w:type="dxa"/>
            <w:vAlign w:val="bottom"/>
            <w:gridSpan w:val="2"/>
          </w:tcPr>
          <w:p>
            <w:pPr>
              <w:ind w:left="2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81,277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61,011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retirement benefits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Noncurrent income tax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7,289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Preferred stock, $1 par value; 1,000 shares authorized, none issued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9"/>
              </w:rPr>
              <w:t>Common stock, $1 par value; 60,000 shares authorized, 25,535 shares issued and outstanding in 2014 and 25,080 shares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 2013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25,535</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95,632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(2,153)</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254,331</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253,160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365,372</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345,423</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Derived from December 28, 2013 audited financial statements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920" w:type="dxa"/>
            <w:vAlign w:val="bottom"/>
            <w:gridSpan w:val="4"/>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1"/>
              </w:rPr>
              <w:t>September 27,</w:t>
            </w:r>
          </w:p>
        </w:tc>
        <w:tc>
          <w:tcPr>
            <w:tcW w:w="4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27,</w:t>
            </w:r>
          </w:p>
        </w:tc>
        <w:tc>
          <w:tcPr>
            <w:tcW w:w="4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237,155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Cost and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156,295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124,298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9,679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11,136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30,419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14,089</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43,412</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85,033</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230,126</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200,888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and other, net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(26,968)</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0.28</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0.18</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0.30</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0.33</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0.27</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0.17</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0.29</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0.32</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25,481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24,929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25,309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26,174</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25,698</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2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0.06</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0.18</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Adjustments related to postretirement benefits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gain/loss on investments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(8,629)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(8,804)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1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27,</w:t>
            </w: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8,334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Gain on disposal of video camera segment</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cash flows of discontinued operations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10,229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Changes in current assets and liabilities, excluding effects from acquisitions and divestitures: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(28,383)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(6,008)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profit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Income taxes payable, including excess stock option exercise benefit</w:t>
            </w: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1,352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compensation, warranty and other liabilities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0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 excluding effects from acquisitions and divestitures: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Cash received from sale of video camera segment</w:t>
            </w: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9,886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for purchase of Ismeca, net of cash received</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cash flows of discontinued operations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0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8,622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(55,315)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(4,535)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stock, net of repurchases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00" w:type="dxa"/>
            <w:vAlign w:val="bottom"/>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(3,313)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(56,560)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60,578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Cash paid (refunded) for income taxes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976</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capitalized as property, plant and equipment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Dividends declared but not yet paid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1,532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27, 2014</w:t>
      </w:r>
    </w:p>
    <w:p>
      <w:pPr>
        <w:spacing w:after="0" w:line="78" w:lineRule="exact"/>
        <w:rPr>
          <w:sz w:val="20"/>
          <w:szCs w:val="20"/>
          <w:color w:val="auto"/>
        </w:rPr>
      </w:pPr>
    </w:p>
    <w:p>
      <w:pPr>
        <w:ind w:left="460" w:right="7640" w:hanging="452"/>
        <w:spacing w:after="0" w:line="347" w:lineRule="auto"/>
        <w:tabs>
          <w:tab w:leader="none" w:pos="44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460" w:right="20"/>
        <w:spacing w:after="0" w:line="305" w:lineRule="auto"/>
        <w:rPr>
          <w:rFonts w:ascii="Arial" w:cs="Arial" w:eastAsia="Arial" w:hAnsi="Arial"/>
          <w:sz w:val="18"/>
          <w:szCs w:val="18"/>
          <w:b w:val="1"/>
          <w:bCs w:val="1"/>
          <w:color w:val="auto"/>
        </w:rPr>
      </w:pPr>
      <w:r>
        <w:rPr>
          <w:rFonts w:ascii="Arial" w:cs="Arial" w:eastAsia="Arial" w:hAnsi="Arial"/>
          <w:sz w:val="15"/>
          <w:szCs w:val="15"/>
          <w:color w:val="auto"/>
        </w:rPr>
        <w:t>Our fiscal years are based on a 52- or 53-week period ending on the last Saturday in December. The condensed consolidated balance sheet at December 28, 2013 has been derived from our audited financial statements at that date. The interim condensed consolidated financial statements as of September 27,</w:t>
      </w:r>
    </w:p>
    <w:p>
      <w:pPr>
        <w:ind w:left="46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2014 (also referred to as “the third quarter of fiscal 2014” and “the first nine months of fiscal 2014”) and September 28, 2013 (also referred to as “the third quarter of fiscal 2013” and “the first nine months of fiscal 2013”) are unaudited. However, in management’s opinion, these financial statements reflect all adjustments (consisting only of normal, recurring items) necessary to provide a fair presentation of our financial position, results of operations and cash flows for the periods presented. The nine-month periods ended September 27, 2014 and September 28, 2013 were each comprised of 13 and 39 weeks, respectively.</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interim results are not necessarily indicative of the results that should be expected for the full year. For a better understanding of Cohu, Inc. and our financial statements, we recommend reading these interim condensed consolidated financial statements in conjunction with our audited financial statements for the year ended December 28, 2013, which are included in our 2013 Annual Report on Form 10-K, filed with the U. S. Securities and Exchange Commission (“SEC”). In the following notes to our interim condensed consolidated financial statements, Cohu, Inc. is referred to as “Cohu”, “we”, “our” and “us”.</w:t>
      </w:r>
    </w:p>
    <w:p>
      <w:pPr>
        <w:spacing w:after="0" w:line="61" w:lineRule="exact"/>
        <w:rPr>
          <w:rFonts w:ascii="Arial" w:cs="Arial" w:eastAsia="Arial" w:hAnsi="Arial"/>
          <w:sz w:val="18"/>
          <w:szCs w:val="18"/>
          <w:b w:val="1"/>
          <w:bCs w:val="1"/>
          <w:color w:val="auto"/>
        </w:rPr>
      </w:pPr>
    </w:p>
    <w:p>
      <w:pPr>
        <w:ind w:left="460" w:right="4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prior-period amounts on our condensed consolidated financial statements have been reclassified to conform to the current period presentation. These reclassifications have no effect on previously reported net income.</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96"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are subject to a number of risks and uncertainties that may significantly impact our future operating results. These risks and uncertainties are discussed under Item 1A. “Risk Factors” included in this Form 10-Q. Understanding these risks and uncertainties is integral to the review of our interim condensed consolidated financial statements.</w:t>
      </w:r>
    </w:p>
    <w:p>
      <w:pPr>
        <w:spacing w:after="0" w:line="5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rFonts w:ascii="Arial" w:cs="Arial" w:eastAsia="Arial" w:hAnsi="Arial"/>
          <w:sz w:val="18"/>
          <w:szCs w:val="18"/>
          <w:b w:val="1"/>
          <w:bCs w:val="1"/>
          <w:color w:val="auto"/>
        </w:rPr>
      </w:pPr>
    </w:p>
    <w:p>
      <w:pPr>
        <w:ind w:left="4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June 6, 2014 we completed the sale of substantially all of the assets of our video camera segment, Cohu Electronics Division (“Cohu Electronics”), and its operating results are being presented as discontinued operations and all prior period amounts have been reclassified accordingly. See Note 2, “Disposal of Video Camera Segment” for additional information. Unless otherwise indicated, all amounts herein relate to continuing operations.</w:t>
      </w:r>
    </w:p>
    <w:p>
      <w:pPr>
        <w:spacing w:after="0" w:line="1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96" w:lineRule="exact"/>
        <w:rPr>
          <w:rFonts w:ascii="Arial" w:cs="Arial" w:eastAsia="Arial" w:hAnsi="Arial"/>
          <w:sz w:val="18"/>
          <w:szCs w:val="18"/>
          <w:b w:val="1"/>
          <w:bCs w:val="1"/>
          <w:color w:val="auto"/>
        </w:rPr>
      </w:pPr>
    </w:p>
    <w:p>
      <w:pPr>
        <w:ind w:left="460" w:right="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4"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Trade accounts receivable are presented net of allowance for doubtful accounts of $0.3 million and $0.5 million at September 27, 2014 and December 28, 2013, respectively. Our customers include semiconductor manufacturers and semiconductor test subcontractors and other customers located throughout many areas of the world. While we believe that our allowance for doubtful accounts is adequate and represents our best estimate at September 27, 2014, we will continue to monitor customer liquidity and other economic conditions, which may result in changes to our estimates regarding collectability.</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Goodwill, Other Intangible Assets and Long-lived Assets</w:t>
      </w:r>
    </w:p>
    <w:p>
      <w:pPr>
        <w:spacing w:after="0" w:line="96" w:lineRule="exact"/>
        <w:rPr>
          <w:rFonts w:ascii="Arial" w:cs="Arial" w:eastAsia="Arial" w:hAnsi="Arial"/>
          <w:sz w:val="18"/>
          <w:szCs w:val="18"/>
          <w:b w:val="1"/>
          <w:bCs w:val="1"/>
          <w:color w:val="auto"/>
        </w:rPr>
      </w:pPr>
    </w:p>
    <w:p>
      <w:pPr>
        <w:ind w:left="460" w:right="1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color w:val="auto"/>
        </w:rPr>
        <w:t>We conduct our annual impairment test as of October 1</w:t>
      </w:r>
      <w:r>
        <w:rPr>
          <w:rFonts w:ascii="Arial" w:cs="Arial" w:eastAsia="Arial" w:hAnsi="Arial"/>
          <w:sz w:val="10"/>
          <w:szCs w:val="10"/>
          <w:color w:val="auto"/>
        </w:rPr>
        <w:t>st</w:t>
      </w:r>
      <w:r>
        <w:rPr>
          <w:rFonts w:ascii="Arial" w:cs="Arial" w:eastAsia="Arial" w:hAnsi="Arial"/>
          <w:sz w:val="16"/>
          <w:szCs w:val="16"/>
          <w:color w:val="auto"/>
        </w:rPr>
        <w:t xml:space="preserve"> of each year. As a result of continued operating losses generated by our microwave communications equipment segment we completed our required annual impairment test, as of October 1, 2014, in connection with our third quarter ended September 27, 2014 and have determined there is no impairment as the estimated fair values of our semiconductor equipment and microwave communications reporting units exceeded their carrying values by approximately 35% and 17%, respectively.</w:t>
      </w:r>
    </w:p>
    <w:p>
      <w:pPr>
        <w:spacing w:after="0" w:line="32"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assets carrying amount and estimated fair value.</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Share-based compensation expense related to stock options is recorded based on the fair value of the award on its grant date which 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Reported share-based compensation is classified, in the condensed consolidated interim financial statements,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right"/>
              <w:ind w:right="92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September 27,</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2"/>
              </w:rPr>
              <w:t>September 28,</w:t>
            </w:r>
          </w:p>
        </w:tc>
        <w:tc>
          <w:tcPr>
            <w:tcW w:w="46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September 27,</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2"/>
              </w:rPr>
              <w:t>September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8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line="159"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line="159"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2013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 share-based compensation</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 share-based compensation, net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4,633</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(Loss) Per Share</w:t>
      </w:r>
    </w:p>
    <w:p>
      <w:pPr>
        <w:spacing w:after="0" w:line="96"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Basic income (loss) per common share is computed by dividing net income (loss) by the weighted-average number of common shares outstanding during the reporting period. Diluted income (loss)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stock options with exercise prices that exceed the average fair market value of our common stock for the period are excluded. For the three and nine months ended September 27, 2014, options to issue approximately 1,346,000 and 1,953,000 shares of common stock were excluded from the computation,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following table reconciles the denominators used in computing basic and diluted income (loss) per share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720" w:type="dxa"/>
            <w:vAlign w:val="bottom"/>
            <w:gridSpan w:val="4"/>
          </w:tcPr>
          <w:p>
            <w:pPr>
              <w:jc w:val="right"/>
              <w:ind w:right="1080"/>
              <w:spacing w:after="0"/>
              <w:rPr>
                <w:sz w:val="20"/>
                <w:szCs w:val="20"/>
                <w:color w:val="auto"/>
              </w:rPr>
            </w:pPr>
            <w:r>
              <w:rPr>
                <w:rFonts w:ascii="Arial" w:cs="Arial" w:eastAsia="Arial" w:hAnsi="Arial"/>
                <w:sz w:val="14"/>
                <w:szCs w:val="14"/>
                <w:color w:val="auto"/>
              </w:rPr>
              <w:t>Three Months Ended</w:t>
            </w:r>
          </w:p>
        </w:tc>
        <w:tc>
          <w:tcPr>
            <w:tcW w:w="2220" w:type="dxa"/>
            <w:vAlign w:val="bottom"/>
            <w:gridSpan w:val="4"/>
          </w:tcPr>
          <w:p>
            <w:pPr>
              <w:jc w:val="right"/>
              <w:ind w:right="580"/>
              <w:spacing w:after="0"/>
              <w:rPr>
                <w:sz w:val="20"/>
                <w:szCs w:val="20"/>
                <w:color w:val="auto"/>
              </w:rPr>
            </w:pPr>
            <w:r>
              <w:rPr>
                <w:rFonts w:ascii="Arial" w:cs="Arial" w:eastAsia="Arial" w:hAnsi="Arial"/>
                <w:sz w:val="14"/>
                <w:szCs w:val="14"/>
                <w:color w:val="auto"/>
              </w:rPr>
              <w:t>Nine Months Ended</w:t>
            </w:r>
          </w:p>
        </w:tc>
      </w:tr>
      <w:tr>
        <w:trPr>
          <w:trHeight w:val="131"/>
        </w:trPr>
        <w:tc>
          <w:tcPr>
            <w:tcW w:w="556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580"/>
              <w:spacing w:after="0" w:line="131" w:lineRule="exact"/>
              <w:rPr>
                <w:sz w:val="20"/>
                <w:szCs w:val="20"/>
                <w:color w:val="auto"/>
              </w:rPr>
            </w:pPr>
            <w:r>
              <w:rPr>
                <w:rFonts w:ascii="Arial" w:cs="Arial" w:eastAsia="Arial" w:hAnsi="Arial"/>
                <w:sz w:val="14"/>
                <w:szCs w:val="14"/>
                <w:color w:val="auto"/>
                <w:w w:val="82"/>
              </w:rPr>
              <w:t>September 27,</w:t>
            </w: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2"/>
              </w:rPr>
              <w:t>September 28,</w:t>
            </w:r>
          </w:p>
        </w:tc>
        <w:tc>
          <w:tcPr>
            <w:tcW w:w="580" w:type="dxa"/>
            <w:vAlign w:val="bottom"/>
          </w:tcPr>
          <w:p>
            <w:pPr>
              <w:spacing w:after="0"/>
              <w:rPr>
                <w:sz w:val="11"/>
                <w:szCs w:val="11"/>
                <w:color w:val="auto"/>
              </w:rPr>
            </w:pP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2"/>
              </w:rPr>
              <w:t>September 27,</w:t>
            </w:r>
          </w:p>
        </w:tc>
        <w:tc>
          <w:tcPr>
            <w:tcW w:w="6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2"/>
              </w:rPr>
              <w:t>September 28,</w:t>
            </w:r>
          </w:p>
        </w:tc>
        <w:tc>
          <w:tcPr>
            <w:tcW w:w="60" w:type="dxa"/>
            <w:vAlign w:val="bottom"/>
          </w:tcPr>
          <w:p>
            <w:pPr>
              <w:spacing w:after="0"/>
              <w:rPr>
                <w:sz w:val="11"/>
                <w:szCs w:val="11"/>
                <w:color w:val="auto"/>
              </w:rPr>
            </w:pPr>
          </w:p>
        </w:tc>
      </w:tr>
      <w:tr>
        <w:trPr>
          <w:trHeight w:val="159"/>
        </w:trPr>
        <w:tc>
          <w:tcPr>
            <w:tcW w:w="5560" w:type="dxa"/>
            <w:vAlign w:val="bottom"/>
          </w:tcPr>
          <w:p>
            <w:pPr>
              <w:spacing w:after="0"/>
              <w:rPr>
                <w:sz w:val="13"/>
                <w:szCs w:val="13"/>
                <w:color w:val="auto"/>
              </w:rPr>
            </w:pPr>
          </w:p>
        </w:tc>
        <w:tc>
          <w:tcPr>
            <w:tcW w:w="780" w:type="dxa"/>
            <w:vAlign w:val="bottom"/>
          </w:tcPr>
          <w:p>
            <w:pPr>
              <w:jc w:val="right"/>
              <w:ind w:right="182"/>
              <w:spacing w:after="0" w:line="159" w:lineRule="exact"/>
              <w:rPr>
                <w:sz w:val="20"/>
                <w:szCs w:val="20"/>
                <w:color w:val="auto"/>
              </w:rPr>
            </w:pPr>
            <w:r>
              <w:rPr>
                <w:rFonts w:ascii="Arial" w:cs="Arial" w:eastAsia="Arial" w:hAnsi="Arial"/>
                <w:sz w:val="14"/>
                <w:szCs w:val="14"/>
                <w:color w:val="auto"/>
              </w:rPr>
              <w:t>2014</w:t>
            </w:r>
          </w:p>
        </w:tc>
        <w:tc>
          <w:tcPr>
            <w:tcW w:w="580" w:type="dxa"/>
            <w:vAlign w:val="bottom"/>
          </w:tcPr>
          <w:p>
            <w:pPr>
              <w:spacing w:after="0"/>
              <w:rPr>
                <w:sz w:val="13"/>
                <w:szCs w:val="13"/>
                <w:color w:val="auto"/>
              </w:rPr>
            </w:pPr>
          </w:p>
        </w:tc>
        <w:tc>
          <w:tcPr>
            <w:tcW w:w="780" w:type="dxa"/>
            <w:vAlign w:val="bottom"/>
          </w:tcPr>
          <w:p>
            <w:pPr>
              <w:jc w:val="right"/>
              <w:ind w:right="180"/>
              <w:spacing w:after="0" w:line="159" w:lineRule="exact"/>
              <w:rPr>
                <w:sz w:val="20"/>
                <w:szCs w:val="20"/>
                <w:color w:val="auto"/>
              </w:rPr>
            </w:pPr>
            <w:r>
              <w:rPr>
                <w:rFonts w:ascii="Arial" w:cs="Arial" w:eastAsia="Arial" w:hAnsi="Arial"/>
                <w:sz w:val="14"/>
                <w:szCs w:val="14"/>
                <w:color w:val="auto"/>
              </w:rPr>
              <w:t>2013</w:t>
            </w:r>
          </w:p>
        </w:tc>
        <w:tc>
          <w:tcPr>
            <w:tcW w:w="580" w:type="dxa"/>
            <w:vAlign w:val="bottom"/>
          </w:tcPr>
          <w:p>
            <w:pPr>
              <w:spacing w:after="0"/>
              <w:rPr>
                <w:sz w:val="13"/>
                <w:szCs w:val="13"/>
                <w:color w:val="auto"/>
              </w:rPr>
            </w:pPr>
          </w:p>
        </w:tc>
        <w:tc>
          <w:tcPr>
            <w:tcW w:w="780" w:type="dxa"/>
            <w:vAlign w:val="bottom"/>
          </w:tcPr>
          <w:p>
            <w:pPr>
              <w:jc w:val="right"/>
              <w:ind w:right="162"/>
              <w:spacing w:after="0" w:line="159" w:lineRule="exact"/>
              <w:rPr>
                <w:sz w:val="20"/>
                <w:szCs w:val="20"/>
                <w:color w:val="auto"/>
              </w:rPr>
            </w:pPr>
            <w:r>
              <w:rPr>
                <w:rFonts w:ascii="Arial" w:cs="Arial" w:eastAsia="Arial" w:hAnsi="Arial"/>
                <w:sz w:val="14"/>
                <w:szCs w:val="14"/>
                <w:color w:val="auto"/>
              </w:rPr>
              <w:t>2014</w:t>
            </w:r>
          </w:p>
        </w:tc>
        <w:tc>
          <w:tcPr>
            <w:tcW w:w="1380" w:type="dxa"/>
            <w:vAlign w:val="bottom"/>
            <w:gridSpan w:val="2"/>
          </w:tcPr>
          <w:p>
            <w:pPr>
              <w:jc w:val="right"/>
              <w:ind w:right="159"/>
              <w:spacing w:after="0" w:line="159" w:lineRule="exact"/>
              <w:rPr>
                <w:sz w:val="20"/>
                <w:szCs w:val="20"/>
                <w:color w:val="auto"/>
              </w:rPr>
            </w:pPr>
            <w:r>
              <w:rPr>
                <w:rFonts w:ascii="Arial" w:cs="Arial" w:eastAsia="Arial" w:hAnsi="Arial"/>
                <w:sz w:val="14"/>
                <w:szCs w:val="14"/>
                <w:color w:val="auto"/>
              </w:rPr>
              <w:t>2013</w:t>
            </w:r>
          </w:p>
        </w:tc>
        <w:tc>
          <w:tcPr>
            <w:tcW w:w="60" w:type="dxa"/>
            <w:vAlign w:val="bottom"/>
          </w:tcPr>
          <w:p>
            <w:pPr>
              <w:spacing w:after="0"/>
              <w:rPr>
                <w:sz w:val="13"/>
                <w:szCs w:val="13"/>
                <w:color w:val="auto"/>
              </w:rPr>
            </w:pPr>
          </w:p>
        </w:tc>
      </w:tr>
      <w:tr>
        <w:trPr>
          <w:trHeight w:val="210"/>
        </w:trPr>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25,481</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25,309</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693</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w:t>
            </w:r>
          </w:p>
        </w:tc>
        <w:tc>
          <w:tcPr>
            <w:tcW w:w="6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26,174</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24,929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25,698</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24,801</w:t>
            </w:r>
          </w:p>
        </w:tc>
      </w:tr>
      <w:tr>
        <w:trPr>
          <w:trHeight w:val="20"/>
        </w:trPr>
        <w:tc>
          <w:tcPr>
            <w:tcW w:w="5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Cohu has utilized the “control number” concept in the computation of diluted earnings per share to determine whether potential common stock instruments are dilutive. The control number used is income/loss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 for the three and nine months ended September 28, 2013.</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28, 2013. As more fully described in that policy, revenue from products that have not previously satisfied customer acceptance requirements is recognized upon customer acceptance. The gross profit on sales that are not recognized is generally recorded as deferred profit and reflected as a current liability in our consolidated balance sheet.</w:t>
      </w:r>
    </w:p>
    <w:p>
      <w:pPr>
        <w:spacing w:after="0" w:line="6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At September 27, 2014, we had deferred revenue totaling approximately $22.0 million and deferred profit of $11.2 million. At December 28, 2013, we had deferred revenue totaling approximately $7.4 million and deferred profit of $6.1 million. The periodic increase is primarily a result of deferrals of revenue associated with shipments of semiconductor equipment.</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Comprehensive Income (Loss)</w:t>
      </w:r>
    </w:p>
    <w:p>
      <w:pPr>
        <w:spacing w:after="0" w:line="96" w:lineRule="exact"/>
        <w:rPr>
          <w:sz w:val="20"/>
          <w:szCs w:val="20"/>
          <w:color w:val="auto"/>
        </w:rPr>
      </w:pPr>
    </w:p>
    <w:p>
      <w:pPr>
        <w:ind w:left="460" w:right="140"/>
        <w:spacing w:after="0" w:line="318" w:lineRule="auto"/>
        <w:rPr>
          <w:sz w:val="20"/>
          <w:szCs w:val="20"/>
          <w:color w:val="auto"/>
        </w:rPr>
      </w:pPr>
      <w:r>
        <w:rPr>
          <w:rFonts w:ascii="Arial" w:cs="Arial" w:eastAsia="Arial" w:hAnsi="Arial"/>
          <w:sz w:val="15"/>
          <w:szCs w:val="15"/>
          <w:color w:val="auto"/>
        </w:rPr>
        <w:t>Our accumulated other comprehensive loss balance totaled approximately $2.2 million at September 27, 2014 compared to accumulated other comprehensive income of approximately $6.7 million at December 28, 2013 and was attributed to all non-owner changes in stockholders’ equity and consists of, on an after-tax basis where applicable, foreign currency adjustments resulting from the translation of certain accounts into U.S. dollars where the functional currency is the Euro or the Swiss Franc, unrealized gains and losses on investments and adjustments related to postretirement benefits. Reclassification adjustments to accumulated other comprehensive income during the first nine months of fiscal 2014 and 2013 were not significant.</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Retiree Medical Benefits</w:t>
      </w:r>
    </w:p>
    <w:p>
      <w:pPr>
        <w:spacing w:after="0" w:line="9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incurred during the first nine months of fiscal 2014 and 2013 was not significant.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i w:val="1"/>
          <w:iCs w:val="1"/>
          <w:color w:val="auto"/>
        </w:rPr>
        <w:t xml:space="preserve">Recently Adopted Accounting Pronouncements </w:t>
      </w:r>
      <w:r>
        <w:rPr>
          <w:rFonts w:ascii="Arial" w:cs="Arial" w:eastAsia="Arial" w:hAnsi="Arial"/>
          <w:sz w:val="16"/>
          <w:szCs w:val="16"/>
          <w:color w:val="auto"/>
        </w:rPr>
        <w:t>– In July 2013, the Financial Accounting Standards Board (“FASB”) issued guidance on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 unrecognized tax benefit when a net operating loss carryforward, a similar tax loss, or a tax credit carryforward exists. This amendment to previous income tax guidance clarifies that an unrecognized tax benefit, or a portion of an unrecognized tax benefit, should be presented in the financial statements as a reduction to a deferred tax asset for a net operating loss carryforward, a similar tax loss, or a tax credit carryforward if such settlement is required or expected in the event the uncertain tax benefit is disallowed. In situations where a net operating loss carryforward, a similar tax loss, or a tax credit carryforward is not available at the reporting date under the tax law of the applicable jurisdiction or the tax law of the jurisdiction does not require, and the entity does not intend to use, the deferred tax asset for such purpose, the unrecognized tax benefit should be presented in the financial statements as a liability and should not be netted with the deferred tax asset. These amendments are effective for fiscal years, and interim periods within those years, beginning after December 15, 2013. Early adoption is permitted. The amendments should be applied prospectively to all unrecognized tax benefits that exist at the effective date. Retrospective application is permitted. The adoption of this new guidance in the first quarter of fiscal 2014 did not have a material impact on our consolidated financial position, results of operations or cash flows.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In March 2013, the FASB issued guidance on a parent company’s accounting for the cumulative translation adjustment upon derecognition of a subsidiary or group of assets within a foreign entity. This new guidance requires that the parent release any related cumulative translation adjustment into net income only if the sale or transfer results in the complete or substantially complete liquidation of the foreign entity in which the subsidiary or group of assets had resided. The amendments will be effective for fiscal years and interim periods starting after December 15, 2013 with early adoption permitted. The adoption of this new guidance in the first quarter of fiscal 2014 did not have a material impact on our consolidated financial position, results of operations or cash flows.</w:t>
      </w:r>
    </w:p>
    <w:p>
      <w:pPr>
        <w:spacing w:after="0" w:line="63"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In April 2014, the FASB issued new guidance on reporting discontinued operations and disclosures of disposals of components of an entity, which amends the existing definition of a discontinued operation and requires entities to disclose additional information about disposal transactions that do not meet the discontinued operations criteria. The guidance redefines a discontinued operation as a component or group of components of an entity that has been disposed of by sale or other than by sale or is classified as held for sale and represents a strategic shift that has a major effect on an entity’s operations and financial results. The guidance is effective prospectively for disposals or components classified as held for sale in periods on or after December 15, 2014 with early adoption permitted. Cohu elected to implement this new guidance in the second quarter of fiscal 2014 and the adoption did not have a material impact on our consolidated financial position, results of operations or cash flows.</w:t>
      </w:r>
    </w:p>
    <w:p>
      <w:pPr>
        <w:spacing w:after="0" w:line="37" w:lineRule="exact"/>
        <w:rPr>
          <w:sz w:val="20"/>
          <w:szCs w:val="20"/>
          <w:color w:val="auto"/>
        </w:rPr>
      </w:pPr>
    </w:p>
    <w:p>
      <w:pPr>
        <w:ind w:left="460"/>
        <w:spacing w:after="0" w:line="312" w:lineRule="auto"/>
        <w:rPr>
          <w:sz w:val="20"/>
          <w:szCs w:val="20"/>
          <w:color w:val="auto"/>
        </w:rPr>
      </w:pPr>
      <w:r>
        <w:rPr>
          <w:rFonts w:ascii="Arial" w:cs="Arial" w:eastAsia="Arial" w:hAnsi="Arial"/>
          <w:sz w:val="15"/>
          <w:szCs w:val="15"/>
          <w:i w:val="1"/>
          <w:iCs w:val="1"/>
          <w:color w:val="auto"/>
        </w:rPr>
        <w:t xml:space="preserve">Recently Issued Accounting Pronouncements </w:t>
      </w:r>
      <w:r>
        <w:rPr>
          <w:rFonts w:ascii="Arial" w:cs="Arial" w:eastAsia="Arial" w:hAnsi="Arial"/>
          <w:sz w:val="15"/>
          <w:szCs w:val="15"/>
          <w:color w:val="auto"/>
        </w:rPr>
        <w:t>– In May 2014, the FASB issued new guidance on revenue from contracts with customers. The amended</w:t>
      </w:r>
      <w:r>
        <w:rPr>
          <w:rFonts w:ascii="Arial" w:cs="Arial" w:eastAsia="Arial" w:hAnsi="Arial"/>
          <w:sz w:val="15"/>
          <w:szCs w:val="15"/>
          <w:i w:val="1"/>
          <w:iCs w:val="1"/>
          <w:color w:val="auto"/>
        </w:rPr>
        <w:t xml:space="preserve"> </w:t>
      </w:r>
      <w:r>
        <w:rPr>
          <w:rFonts w:ascii="Arial" w:cs="Arial" w:eastAsia="Arial" w:hAnsi="Arial"/>
          <w:sz w:val="15"/>
          <w:szCs w:val="15"/>
          <w:color w:val="auto"/>
        </w:rPr>
        <w:t>guidance outlines a single comprehensive revenue model for entities to use in accounting for revenue arising from contracts with customers. The guidance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Entities have the option of using either a full retrospective or modified approach to adopt the guidance. This guidance is effective for fiscal years, and interim reporting periods within those years, beginning after December 15, 2016. Early adoption is not permitted. We are still evaluating the impact this new guidance might have on our consolidated financial position, results of operations or cash flows.</w:t>
      </w:r>
    </w:p>
    <w:p>
      <w:pPr>
        <w:spacing w:after="0" w:line="24"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In August 2014, the FASB issued new guidance on going concern, which requires management to evaluate whether there is substantial doubt about an entity’s ability to continue as a going concern and to provide related footnote disclosures in certain circumstances. This guidance is effective for annual and interim periods beginning after December 15, 2016 with early adoption permitted. We do not believe the adoption of this guidance will have a material impact on our consolidated financial statements.</w:t>
      </w:r>
    </w:p>
    <w:p>
      <w:pPr>
        <w:spacing w:after="0" w:line="25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Disposal of Video Camera Segment</w:t>
      </w:r>
    </w:p>
    <w:p>
      <w:pPr>
        <w:spacing w:after="0" w:line="96"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June 6, 2014, Cohu announced the sale of substantially all the assets of our video camera segment, Cohu Electronics. Our decision to sell Cohu Electronics resulted from management’s determination that this industry segment was no longer a strategic fit within our organization. The sales price was $9.5 million in cash plus up to $0.5 million in contingent consideration. The sales price is subject to a working capital adjustment and, as a result, adjustments to the gain on disposal noted below are possible.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Balance sheet information of our discontinued video camera segment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September 27,</w:t>
            </w:r>
          </w:p>
        </w:tc>
        <w:tc>
          <w:tcPr>
            <w:tcW w:w="820" w:type="dxa"/>
            <w:vAlign w:val="bottom"/>
            <w:gridSpan w:val="3"/>
          </w:tcPr>
          <w:p>
            <w:pPr>
              <w:spacing w:after="0"/>
              <w:rPr>
                <w:sz w:val="20"/>
                <w:szCs w:val="20"/>
                <w:color w:val="auto"/>
              </w:rPr>
            </w:pPr>
            <w:r>
              <w:rPr>
                <w:rFonts w:ascii="Arial" w:cs="Arial" w:eastAsia="Arial" w:hAnsi="Arial"/>
                <w:sz w:val="14"/>
                <w:szCs w:val="14"/>
                <w:color w:val="auto"/>
                <w:w w:val="90"/>
              </w:rPr>
              <w:t>December 28,</w:t>
            </w:r>
          </w:p>
        </w:tc>
        <w:tc>
          <w:tcPr>
            <w:tcW w:w="0" w:type="dxa"/>
            <w:vAlign w:val="bottom"/>
          </w:tcPr>
          <w:p>
            <w:pPr>
              <w:spacing w:after="0"/>
              <w:rPr>
                <w:sz w:val="1"/>
                <w:szCs w:val="1"/>
                <w:color w:val="auto"/>
              </w:rPr>
            </w:pPr>
          </w:p>
        </w:tc>
      </w:tr>
      <w:tr>
        <w:trPr>
          <w:trHeight w:val="159"/>
        </w:trPr>
        <w:tc>
          <w:tcPr>
            <w:tcW w:w="562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80"/>
              <w:spacing w:after="0" w:line="159"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4"/>
              <w:spacing w:after="0" w:line="159" w:lineRule="exact"/>
              <w:rPr>
                <w:sz w:val="20"/>
                <w:szCs w:val="20"/>
                <w:color w:val="auto"/>
              </w:rPr>
            </w:pPr>
            <w:r>
              <w:rPr>
                <w:rFonts w:ascii="Arial" w:cs="Arial" w:eastAsia="Arial" w:hAnsi="Arial"/>
                <w:sz w:val="14"/>
                <w:szCs w:val="14"/>
                <w:color w:val="auto"/>
              </w:rPr>
              <w:t>2013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160" w:type="dxa"/>
            <w:vAlign w:val="bottom"/>
            <w:gridSpan w:val="2"/>
          </w:tcPr>
          <w:p>
            <w:pPr>
              <w:ind w:left="30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16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vMerge w:val="continue"/>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16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Other accrued current liabilities</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316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Operating results of our discontinued video camera segment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216"/>
              <w:spacing w:after="0"/>
              <w:rPr>
                <w:sz w:val="20"/>
                <w:szCs w:val="20"/>
                <w:color w:val="auto"/>
              </w:rPr>
            </w:pPr>
            <w:r>
              <w:rPr>
                <w:rFonts w:ascii="Arial" w:cs="Arial" w:eastAsia="Arial" w:hAnsi="Arial"/>
                <w:sz w:val="14"/>
                <w:szCs w:val="14"/>
                <w:color w:val="auto"/>
                <w:w w:val="96"/>
              </w:rPr>
              <w:t>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September 27,</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w w:val="82"/>
              </w:rPr>
              <w:t>September 28,</w:t>
            </w:r>
          </w:p>
        </w:tc>
        <w:tc>
          <w:tcPr>
            <w:tcW w:w="200" w:type="dxa"/>
            <w:vAlign w:val="bottom"/>
          </w:tcPr>
          <w:p>
            <w:pPr>
              <w:spacing w:after="0"/>
              <w:rPr>
                <w:sz w:val="12"/>
                <w:szCs w:val="12"/>
                <w:color w:val="auto"/>
              </w:rPr>
            </w:pP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2"/>
              </w:rPr>
              <w:t>September 27,</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w w:val="93"/>
              </w:rPr>
              <w:t>September 28,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8"/>
              <w:spacing w:after="0" w:line="159"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2013</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line="159" w:lineRule="exact"/>
              <w:rPr>
                <w:sz w:val="20"/>
                <w:szCs w:val="20"/>
                <w:color w:val="auto"/>
              </w:rPr>
            </w:pPr>
            <w:r>
              <w:rPr>
                <w:rFonts w:ascii="Arial" w:cs="Arial" w:eastAsia="Arial" w:hAnsi="Arial"/>
                <w:sz w:val="14"/>
                <w:szCs w:val="14"/>
                <w:color w:val="auto"/>
              </w:rPr>
              <w:t>2014</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 before income taxes</w:t>
            </w: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2"/>
            <w:vMerge w:val="continue"/>
          </w:tcPr>
          <w:p>
            <w:pPr>
              <w:spacing w:after="0"/>
              <w:rPr>
                <w:sz w:val="18"/>
                <w:szCs w:val="18"/>
                <w:color w:val="auto"/>
              </w:rPr>
            </w:pPr>
          </w:p>
        </w:tc>
        <w:tc>
          <w:tcPr>
            <w:tcW w:w="176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458</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video camera segment</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sale of the assets of our video camera segment we incurred divestiture-related costs that would not have been incurred</w:t>
      </w:r>
    </w:p>
    <w:p>
      <w:pPr>
        <w:spacing w:after="0" w:line="38" w:lineRule="exact"/>
        <w:rPr>
          <w:sz w:val="20"/>
          <w:szCs w:val="20"/>
          <w:color w:val="auto"/>
        </w:rPr>
      </w:pPr>
    </w:p>
    <w:p>
      <w:pPr>
        <w:ind w:left="460" w:right="100"/>
        <w:spacing w:after="0" w:line="302" w:lineRule="auto"/>
        <w:rPr>
          <w:sz w:val="20"/>
          <w:szCs w:val="20"/>
          <w:color w:val="auto"/>
        </w:rPr>
      </w:pPr>
      <w:r>
        <w:rPr>
          <w:rFonts w:ascii="Arial" w:cs="Arial" w:eastAsia="Arial" w:hAnsi="Arial"/>
          <w:sz w:val="16"/>
          <w:szCs w:val="16"/>
          <w:color w:val="auto"/>
        </w:rPr>
        <w:t>otherwise. These costs consist of legal advisory services, success based compensation arrangements and certain other items that are incremental to normal operating charges and were expensed as incurred. In the first six months of 2014 we incurred $0.8 million of divestiture related costs; no costs were incurred in the third quarter of 2014. These costs have been netted against the gain on disposal presented above.</w:t>
      </w:r>
    </w:p>
    <w:p>
      <w:pPr>
        <w:spacing w:after="0" w:line="22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96"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September 2014, our wholly owned subsidiary Broadcast Microwave Services, Inc. (“BMS”) substantially completed a geographic consolidation plan to relocate the manufacturing, engineering and administrative function of its German operation to its headquarters facility in Poway, California. For the three-month period ended September 27, 2014, BMS recorded charges to operations totaling $30,000 for severance and one-time termination benefits. These charges are included in cost of sales $8,000, research and development $5,000 and selling, general and administrative expense $17,000. For the nine-month period ended September 27, 2014, BMS recorded charges to operations totaling $457,000 for severance and one-time termination benefits. These charges are included in cost of sales $151,000, research and development $175,000 and selling, general and administrative expense $131,000.</w:t>
      </w:r>
    </w:p>
    <w:p>
      <w:pPr>
        <w:spacing w:after="0" w:line="3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reconciles amounts accrued and paid under the consolidation plan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120" w:type="dxa"/>
            <w:vAlign w:val="bottom"/>
            <w:gridSpan w:val="3"/>
          </w:tcPr>
          <w:p>
            <w:pPr>
              <w:spacing w:after="0"/>
              <w:rPr>
                <w:sz w:val="20"/>
                <w:szCs w:val="20"/>
                <w:color w:val="auto"/>
              </w:rPr>
            </w:pPr>
            <w:r>
              <w:rPr>
                <w:rFonts w:ascii="Arial" w:cs="Arial" w:eastAsia="Arial" w:hAnsi="Arial"/>
                <w:sz w:val="14"/>
                <w:szCs w:val="14"/>
                <w:color w:val="auto"/>
              </w:rPr>
              <w:t>Severance and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12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Other Payroll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June 28, 2014</w:t>
            </w:r>
          </w:p>
        </w:tc>
        <w:tc>
          <w:tcPr>
            <w:tcW w:w="2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Costs accrued</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paid or charged</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32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Impact of currency exchange</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40" w:type="dxa"/>
            <w:vAlign w:val="bottom"/>
            <w:gridSpan w:val="2"/>
          </w:tcPr>
          <w:p>
            <w:pPr>
              <w:jc w:val="right"/>
              <w:ind w:right="32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27, 2014</w:t>
            </w:r>
          </w:p>
        </w:tc>
        <w:tc>
          <w:tcPr>
            <w:tcW w:w="266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60" w:type="dxa"/>
            <w:vAlign w:val="bottom"/>
            <w:vMerge w:val="restart"/>
          </w:tcPr>
          <w:p>
            <w:pPr>
              <w:jc w:val="right"/>
              <w:ind w:right="952"/>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27, 2014</w:t>
      </w:r>
    </w:p>
    <w:p>
      <w:pPr>
        <w:spacing w:after="0" w:line="14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Purchased Intangible Assets</w:t>
      </w:r>
    </w:p>
    <w:p>
      <w:pPr>
        <w:spacing w:after="0" w:line="96" w:lineRule="exact"/>
        <w:rPr>
          <w:rFonts w:ascii="Arial" w:cs="Arial" w:eastAsia="Arial" w:hAnsi="Arial"/>
          <w:sz w:val="18"/>
          <w:szCs w:val="18"/>
          <w:b w:val="1"/>
          <w:bCs w:val="1"/>
          <w:color w:val="auto"/>
        </w:rPr>
      </w:pPr>
    </w:p>
    <w:p>
      <w:pPr>
        <w:ind w:left="460" w:right="9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Changes in the carrying value of goodwill by reportable segment during the year ended December 28, 2013 and the nine-month period ended September 27, 2014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spacing w:after="0"/>
              <w:rPr>
                <w:sz w:val="20"/>
                <w:szCs w:val="20"/>
                <w:color w:val="auto"/>
              </w:rPr>
            </w:pPr>
            <w:r>
              <w:rPr>
                <w:rFonts w:ascii="Arial" w:cs="Arial" w:eastAsia="Arial" w:hAnsi="Arial"/>
                <w:sz w:val="14"/>
                <w:szCs w:val="14"/>
                <w:color w:val="auto"/>
              </w:rPr>
              <w:t>Semiconductor</w:t>
            </w:r>
          </w:p>
        </w:tc>
        <w:tc>
          <w:tcPr>
            <w:tcW w:w="1000" w:type="dxa"/>
            <w:vAlign w:val="bottom"/>
            <w:gridSpan w:val="4"/>
          </w:tcPr>
          <w:p>
            <w:pPr>
              <w:ind w:left="160"/>
              <w:spacing w:after="0"/>
              <w:rPr>
                <w:sz w:val="20"/>
                <w:szCs w:val="20"/>
                <w:color w:val="auto"/>
              </w:rPr>
            </w:pPr>
            <w:r>
              <w:rPr>
                <w:rFonts w:ascii="Arial" w:cs="Arial" w:eastAsia="Arial" w:hAnsi="Arial"/>
                <w:sz w:val="14"/>
                <w:szCs w:val="14"/>
                <w:color w:val="auto"/>
              </w:rPr>
              <w:t>Microwave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20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Equipment</w:t>
            </w:r>
          </w:p>
        </w:tc>
        <w:tc>
          <w:tcPr>
            <w:tcW w:w="1000" w:type="dxa"/>
            <w:vAlign w:val="bottom"/>
            <w:gridSpan w:val="4"/>
          </w:tcPr>
          <w:p>
            <w:pPr>
              <w:spacing w:after="0" w:line="159" w:lineRule="exact"/>
              <w:rPr>
                <w:sz w:val="20"/>
                <w:szCs w:val="20"/>
                <w:color w:val="auto"/>
              </w:rPr>
            </w:pPr>
            <w:r>
              <w:rPr>
                <w:rFonts w:ascii="Arial" w:cs="Arial" w:eastAsia="Arial" w:hAnsi="Arial"/>
                <w:sz w:val="14"/>
                <w:szCs w:val="14"/>
                <w:color w:val="auto"/>
                <w:w w:val="93"/>
              </w:rPr>
              <w:t>Communications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w w:val="96"/>
              </w:rPr>
              <w:t>Goodwill</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December 29, 2012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55,520</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$58,756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Additions net of adjustments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10,930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10,930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Impact of currency exchange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28, 2013</w:t>
            </w: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67,983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3,330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71,313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Impact of currency exchange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(3,257)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27, 2014</w:t>
            </w: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64,726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3,139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i w:val="1"/>
                <w:iCs w:val="1"/>
                <w:color w:val="auto"/>
                <w:w w:val="86"/>
              </w:rPr>
              <w:t>Purchased Intangible Assets</w:t>
            </w:r>
          </w:p>
        </w:tc>
        <w:tc>
          <w:tcPr>
            <w:tcW w:w="26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00" w:type="dxa"/>
            <w:vAlign w:val="bottom"/>
            <w:tcBorders>
              <w:bottom w:val="single" w:sz="8" w:color="auto"/>
            </w:tcBorders>
            <w:vMerge w:val="continue"/>
          </w:tcPr>
          <w:p>
            <w:pPr>
              <w:spacing w:after="0"/>
              <w:rPr>
                <w:sz w:val="21"/>
                <w:szCs w:val="21"/>
                <w:color w:val="auto"/>
              </w:rPr>
            </w:pPr>
          </w:p>
        </w:tc>
        <w:tc>
          <w:tcPr>
            <w:tcW w:w="26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6080" w:type="dxa"/>
            <w:vAlign w:val="bottom"/>
            <w:gridSpan w:val="7"/>
          </w:tcPr>
          <w:p>
            <w:pPr>
              <w:spacing w:after="0"/>
              <w:rPr>
                <w:sz w:val="20"/>
                <w:szCs w:val="20"/>
                <w:color w:val="auto"/>
              </w:rPr>
            </w:pPr>
            <w:r>
              <w:rPr>
                <w:rFonts w:ascii="Arial" w:cs="Arial" w:eastAsia="Arial" w:hAnsi="Arial"/>
                <w:sz w:val="18"/>
                <w:szCs w:val="18"/>
                <w:color w:val="auto"/>
                <w:w w:val="92"/>
              </w:rPr>
              <w:t>Purchased intangible assets, subject to amortization are as follows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ind w:left="240"/>
              <w:spacing w:after="0"/>
              <w:rPr>
                <w:sz w:val="20"/>
                <w:szCs w:val="20"/>
                <w:color w:val="auto"/>
              </w:rPr>
            </w:pPr>
            <w:r>
              <w:rPr>
                <w:rFonts w:ascii="Arial" w:cs="Arial" w:eastAsia="Arial" w:hAnsi="Arial"/>
                <w:sz w:val="14"/>
                <w:szCs w:val="14"/>
                <w:color w:val="auto"/>
                <w:w w:val="89"/>
              </w:rPr>
              <w:t>September 27, 2014</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8"/>
          </w:tcPr>
          <w:p>
            <w:pPr>
              <w:jc w:val="right"/>
              <w:ind w:right="540"/>
              <w:spacing w:after="0"/>
              <w:rPr>
                <w:sz w:val="20"/>
                <w:szCs w:val="20"/>
                <w:color w:val="auto"/>
              </w:rPr>
            </w:pPr>
            <w:r>
              <w:rPr>
                <w:rFonts w:ascii="Arial" w:cs="Arial" w:eastAsia="Arial" w:hAnsi="Arial"/>
                <w:sz w:val="14"/>
                <w:szCs w:val="14"/>
                <w:color w:val="auto"/>
              </w:rPr>
              <w:t>December 28, 2013</w:t>
            </w:r>
          </w:p>
        </w:tc>
        <w:tc>
          <w:tcPr>
            <w:tcW w:w="0" w:type="dxa"/>
            <w:vAlign w:val="bottom"/>
          </w:tcPr>
          <w:p>
            <w:pPr>
              <w:spacing w:after="0"/>
              <w:rPr>
                <w:sz w:val="1"/>
                <w:szCs w:val="1"/>
                <w:color w:val="auto"/>
              </w:rPr>
            </w:pPr>
          </w:p>
        </w:tc>
      </w:tr>
      <w:tr>
        <w:trPr>
          <w:trHeight w:val="131"/>
        </w:trPr>
        <w:tc>
          <w:tcPr>
            <w:tcW w:w="20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6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w w:val="89"/>
              </w:rPr>
              <w:t>Gross Carrying</w:t>
            </w:r>
          </w:p>
        </w:tc>
        <w:tc>
          <w:tcPr>
            <w:tcW w:w="4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spacing w:after="0" w:line="131" w:lineRule="exact"/>
              <w:rPr>
                <w:sz w:val="20"/>
                <w:szCs w:val="20"/>
                <w:color w:val="auto"/>
              </w:rPr>
            </w:pPr>
            <w:r>
              <w:rPr>
                <w:rFonts w:ascii="Arial" w:cs="Arial" w:eastAsia="Arial" w:hAnsi="Arial"/>
                <w:sz w:val="14"/>
                <w:szCs w:val="14"/>
                <w:color w:val="auto"/>
              </w:rPr>
              <w:t>Accumulated</w:t>
            </w: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40"/>
              <w:spacing w:after="0" w:line="131" w:lineRule="exact"/>
              <w:rPr>
                <w:sz w:val="20"/>
                <w:szCs w:val="20"/>
                <w:color w:val="auto"/>
              </w:rPr>
            </w:pPr>
            <w:r>
              <w:rPr>
                <w:rFonts w:ascii="Arial" w:cs="Arial" w:eastAsia="Arial" w:hAnsi="Arial"/>
                <w:sz w:val="14"/>
                <w:szCs w:val="14"/>
                <w:color w:val="auto"/>
                <w:w w:val="92"/>
              </w:rPr>
              <w:t>Remaining</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w w:val="87"/>
              </w:rPr>
              <w:t>Gross Carrying</w:t>
            </w:r>
          </w:p>
        </w:tc>
        <w:tc>
          <w:tcPr>
            <w:tcW w:w="4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4"/>
          </w:tcPr>
          <w:p>
            <w:pPr>
              <w:spacing w:after="0" w:line="131" w:lineRule="exact"/>
              <w:rPr>
                <w:sz w:val="20"/>
                <w:szCs w:val="20"/>
                <w:color w:val="auto"/>
              </w:rPr>
            </w:pPr>
            <w:r>
              <w:rPr>
                <w:rFonts w:ascii="Arial" w:cs="Arial" w:eastAsia="Arial" w:hAnsi="Arial"/>
                <w:sz w:val="14"/>
                <w:szCs w:val="14"/>
                <w:color w:val="auto"/>
                <w:w w:val="86"/>
              </w:rPr>
              <w:t>Accumulated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Amount</w:t>
            </w:r>
          </w:p>
        </w:tc>
        <w:tc>
          <w:tcPr>
            <w:tcW w:w="460" w:type="dxa"/>
            <w:vAlign w:val="bottom"/>
          </w:tcPr>
          <w:p>
            <w:pPr>
              <w:spacing w:after="0"/>
              <w:rPr>
                <w:sz w:val="13"/>
                <w:szCs w:val="13"/>
                <w:color w:val="auto"/>
              </w:rPr>
            </w:pPr>
          </w:p>
        </w:tc>
        <w:tc>
          <w:tcPr>
            <w:tcW w:w="940" w:type="dxa"/>
            <w:vAlign w:val="bottom"/>
            <w:gridSpan w:val="4"/>
          </w:tcPr>
          <w:p>
            <w:pPr>
              <w:spacing w:after="0" w:line="159" w:lineRule="exact"/>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3"/>
                <w:szCs w:val="13"/>
                <w:color w:val="auto"/>
              </w:rPr>
            </w:pPr>
          </w:p>
        </w:tc>
        <w:tc>
          <w:tcPr>
            <w:tcW w:w="106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Useful Life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99"/>
              </w:rPr>
              <w:t>Amount</w:t>
            </w:r>
          </w:p>
        </w:tc>
        <w:tc>
          <w:tcPr>
            <w:tcW w:w="480" w:type="dxa"/>
            <w:vAlign w:val="bottom"/>
          </w:tcPr>
          <w:p>
            <w:pPr>
              <w:spacing w:after="0"/>
              <w:rPr>
                <w:sz w:val="13"/>
                <w:szCs w:val="13"/>
                <w:color w:val="auto"/>
              </w:rPr>
            </w:pPr>
          </w:p>
        </w:tc>
        <w:tc>
          <w:tcPr>
            <w:tcW w:w="780" w:type="dxa"/>
            <w:vAlign w:val="bottom"/>
            <w:gridSpan w:val="5"/>
          </w:tcPr>
          <w:p>
            <w:pPr>
              <w:spacing w:after="0" w:line="159" w:lineRule="exact"/>
              <w:rPr>
                <w:sz w:val="20"/>
                <w:szCs w:val="20"/>
                <w:color w:val="auto"/>
              </w:rPr>
            </w:pPr>
            <w:r>
              <w:rPr>
                <w:rFonts w:ascii="Arial" w:cs="Arial" w:eastAsia="Arial" w:hAnsi="Arial"/>
                <w:sz w:val="14"/>
                <w:szCs w:val="14"/>
                <w:color w:val="auto"/>
                <w:w w:val="97"/>
              </w:rPr>
              <w:t>Amortization</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Rasco technology</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0"/>
              </w:rPr>
              <w:t>2.3 years</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33,689</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Ismeca technology</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28,031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6.3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29,915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Duma technology</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0.9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59,979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29,483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64,468</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25,536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Amortization expense related to intangible assets was approximately $2.0 million in the third quarter of fiscal 2014 and $6.2 million in the first nine months of fiscal 2014. Amortization expense related to intangible assets was approximately $2.6 million in the third quarter of fiscal 2013 and $6.0 million in the first nine months of fiscal 2013. The amounts included in the table above for the periods ended September 27, 2014 and December 28, 2013 exclude approximately $2.2 million and $2.4 million related to the trade names of Rasco, respectively, and exclude approximately $3.8 million and $4.0 million related to the trade names of Ismeca, respectively. Changes in the carrying values of purchased intangible assets include the impact of fluctuations in currency exchange rates.</w:t>
      </w:r>
    </w:p>
    <w:p>
      <w:pPr>
        <w:spacing w:after="0" w:line="26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Measured at Fair Value</w:t>
      </w:r>
    </w:p>
    <w:p>
      <w:pPr>
        <w:spacing w:after="0" w:line="96"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62" w:lineRule="exact"/>
        <w:rPr>
          <w:rFonts w:ascii="Arial" w:cs="Arial" w:eastAsia="Arial" w:hAnsi="Arial"/>
          <w:sz w:val="18"/>
          <w:szCs w:val="18"/>
          <w:b w:val="1"/>
          <w:bCs w:val="1"/>
          <w:color w:val="auto"/>
        </w:rPr>
      </w:pPr>
    </w:p>
    <w:p>
      <w:pPr>
        <w:ind w:left="460" w:right="10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Investments that we have classified as short-term, by security type,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w w:val="85"/>
              </w:rPr>
              <w:t>September 27, 2014</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ind w:left="20"/>
              <w:spacing w:after="0" w:line="131" w:lineRule="exact"/>
              <w:rPr>
                <w:sz w:val="20"/>
                <w:szCs w:val="20"/>
                <w:color w:val="auto"/>
              </w:rPr>
            </w:pPr>
            <w:r>
              <w:rPr>
                <w:rFonts w:ascii="Arial" w:cs="Arial" w:eastAsia="Arial" w:hAnsi="Arial"/>
                <w:sz w:val="14"/>
                <w:szCs w:val="14"/>
                <w:color w:val="auto"/>
              </w:rPr>
              <w:t>Gross</w:t>
            </w:r>
          </w:p>
        </w:tc>
        <w:tc>
          <w:tcPr>
            <w:tcW w:w="100" w:type="dxa"/>
            <w:vAlign w:val="bottom"/>
          </w:tcPr>
          <w:p>
            <w:pPr>
              <w:spacing w:after="0"/>
              <w:rPr>
                <w:sz w:val="11"/>
                <w:szCs w:val="11"/>
                <w:color w:val="auto"/>
              </w:rPr>
            </w:pPr>
          </w:p>
        </w:tc>
        <w:tc>
          <w:tcPr>
            <w:tcW w:w="580" w:type="dxa"/>
            <w:vAlign w:val="bottom"/>
            <w:gridSpan w:val="3"/>
          </w:tcPr>
          <w:p>
            <w:pPr>
              <w:ind w:left="40"/>
              <w:spacing w:after="0" w:line="131" w:lineRule="exact"/>
              <w:rPr>
                <w:sz w:val="20"/>
                <w:szCs w:val="20"/>
                <w:color w:val="auto"/>
              </w:rPr>
            </w:pPr>
            <w:r>
              <w:rPr>
                <w:rFonts w:ascii="Arial" w:cs="Arial" w:eastAsia="Arial" w:hAnsi="Arial"/>
                <w:sz w:val="14"/>
                <w:szCs w:val="14"/>
                <w:color w:val="auto"/>
              </w:rPr>
              <w:t>Gross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center"/>
              <w:spacing w:after="0" w:line="131" w:lineRule="exact"/>
              <w:rPr>
                <w:sz w:val="20"/>
                <w:szCs w:val="20"/>
                <w:color w:val="auto"/>
              </w:rPr>
            </w:pPr>
            <w:r>
              <w:rPr>
                <w:rFonts w:ascii="Arial" w:cs="Arial" w:eastAsia="Arial" w:hAnsi="Arial"/>
                <w:sz w:val="14"/>
                <w:szCs w:val="14"/>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5"/>
          </w:tcPr>
          <w:p>
            <w:pPr>
              <w:spacing w:after="0" w:line="149" w:lineRule="exact"/>
              <w:rPr>
                <w:sz w:val="20"/>
                <w:szCs w:val="20"/>
                <w:color w:val="auto"/>
              </w:rPr>
            </w:pPr>
            <w:r>
              <w:rPr>
                <w:rFonts w:ascii="Arial" w:cs="Arial" w:eastAsia="Arial" w:hAnsi="Arial"/>
                <w:sz w:val="14"/>
                <w:szCs w:val="14"/>
                <w:color w:val="auto"/>
              </w:rPr>
              <w:t>Amortized</w:t>
            </w:r>
          </w:p>
        </w:tc>
        <w:tc>
          <w:tcPr>
            <w:tcW w:w="1240" w:type="dxa"/>
            <w:vAlign w:val="bottom"/>
            <w:gridSpan w:val="5"/>
          </w:tcPr>
          <w:p>
            <w:pPr>
              <w:spacing w:after="0" w:line="149" w:lineRule="exact"/>
              <w:rPr>
                <w:sz w:val="20"/>
                <w:szCs w:val="20"/>
                <w:color w:val="auto"/>
              </w:rPr>
            </w:pPr>
            <w:r>
              <w:rPr>
                <w:rFonts w:ascii="Arial" w:cs="Arial" w:eastAsia="Arial" w:hAnsi="Arial"/>
                <w:sz w:val="14"/>
                <w:szCs w:val="14"/>
                <w:color w:val="auto"/>
              </w:rPr>
              <w:t>Unrealized</w:t>
            </w:r>
          </w:p>
        </w:tc>
        <w:tc>
          <w:tcPr>
            <w:tcW w:w="680" w:type="dxa"/>
            <w:vAlign w:val="bottom"/>
            <w:gridSpan w:val="4"/>
          </w:tcPr>
          <w:p>
            <w:pPr>
              <w:spacing w:after="0" w:line="149" w:lineRule="exact"/>
              <w:rPr>
                <w:sz w:val="20"/>
                <w:szCs w:val="20"/>
                <w:color w:val="auto"/>
              </w:rPr>
            </w:pPr>
            <w:r>
              <w:rPr>
                <w:rFonts w:ascii="Arial" w:cs="Arial" w:eastAsia="Arial" w:hAnsi="Arial"/>
                <w:sz w:val="14"/>
                <w:szCs w:val="14"/>
                <w:color w:val="auto"/>
                <w:w w:val="98"/>
              </w:rPr>
              <w:t>Unrealized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4"/>
          </w:tcPr>
          <w:p>
            <w:pPr>
              <w:ind w:left="40"/>
              <w:spacing w:after="0" w:line="159" w:lineRule="exact"/>
              <w:rPr>
                <w:sz w:val="20"/>
                <w:szCs w:val="20"/>
                <w:color w:val="auto"/>
              </w:rPr>
            </w:pPr>
            <w:r>
              <w:rPr>
                <w:rFonts w:ascii="Arial" w:cs="Arial" w:eastAsia="Arial" w:hAnsi="Arial"/>
                <w:sz w:val="14"/>
                <w:szCs w:val="14"/>
                <w:color w:val="auto"/>
              </w:rPr>
              <w:t>Cost</w:t>
            </w:r>
          </w:p>
        </w:tc>
        <w:tc>
          <w:tcPr>
            <w:tcW w:w="120" w:type="dxa"/>
            <w:vAlign w:val="bottom"/>
          </w:tcPr>
          <w:p>
            <w:pPr>
              <w:spacing w:after="0"/>
              <w:rPr>
                <w:sz w:val="13"/>
                <w:szCs w:val="13"/>
                <w:color w:val="auto"/>
              </w:rPr>
            </w:pPr>
          </w:p>
        </w:tc>
        <w:tc>
          <w:tcPr>
            <w:tcW w:w="11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Gains</w:t>
            </w:r>
          </w:p>
        </w:tc>
        <w:tc>
          <w:tcPr>
            <w:tcW w:w="100" w:type="dxa"/>
            <w:vAlign w:val="bottom"/>
          </w:tcPr>
          <w:p>
            <w:pPr>
              <w:spacing w:after="0"/>
              <w:rPr>
                <w:sz w:val="13"/>
                <w:szCs w:val="13"/>
                <w:color w:val="auto"/>
              </w:rPr>
            </w:pPr>
          </w:p>
        </w:tc>
        <w:tc>
          <w:tcPr>
            <w:tcW w:w="58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Losses</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Municipal securities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ind w:left="101"/>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1,000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w w:val="97"/>
              </w:rPr>
              <w:t>1,155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w w:val="87"/>
              </w:rPr>
              <w:t>December 28, 2013</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ind w:left="20"/>
              <w:spacing w:after="0" w:line="131" w:lineRule="exact"/>
              <w:rPr>
                <w:sz w:val="20"/>
                <w:szCs w:val="20"/>
                <w:color w:val="auto"/>
              </w:rPr>
            </w:pPr>
            <w:r>
              <w:rPr>
                <w:rFonts w:ascii="Arial" w:cs="Arial" w:eastAsia="Arial" w:hAnsi="Arial"/>
                <w:sz w:val="14"/>
                <w:szCs w:val="14"/>
                <w:color w:val="auto"/>
              </w:rPr>
              <w:t>Gross</w:t>
            </w:r>
          </w:p>
        </w:tc>
        <w:tc>
          <w:tcPr>
            <w:tcW w:w="100" w:type="dxa"/>
            <w:vAlign w:val="bottom"/>
          </w:tcPr>
          <w:p>
            <w:pPr>
              <w:spacing w:after="0"/>
              <w:rPr>
                <w:sz w:val="11"/>
                <w:szCs w:val="11"/>
                <w:color w:val="auto"/>
              </w:rPr>
            </w:pPr>
          </w:p>
        </w:tc>
        <w:tc>
          <w:tcPr>
            <w:tcW w:w="580" w:type="dxa"/>
            <w:vAlign w:val="bottom"/>
            <w:gridSpan w:val="3"/>
          </w:tcPr>
          <w:p>
            <w:pPr>
              <w:ind w:left="40"/>
              <w:spacing w:after="0" w:line="131" w:lineRule="exact"/>
              <w:rPr>
                <w:sz w:val="20"/>
                <w:szCs w:val="20"/>
                <w:color w:val="auto"/>
              </w:rPr>
            </w:pPr>
            <w:r>
              <w:rPr>
                <w:rFonts w:ascii="Arial" w:cs="Arial" w:eastAsia="Arial" w:hAnsi="Arial"/>
                <w:sz w:val="14"/>
                <w:szCs w:val="14"/>
                <w:color w:val="auto"/>
              </w:rPr>
              <w:t>Gross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center"/>
              <w:spacing w:after="0" w:line="131" w:lineRule="exact"/>
              <w:rPr>
                <w:sz w:val="20"/>
                <w:szCs w:val="20"/>
                <w:color w:val="auto"/>
              </w:rPr>
            </w:pPr>
            <w:r>
              <w:rPr>
                <w:rFonts w:ascii="Arial" w:cs="Arial" w:eastAsia="Arial" w:hAnsi="Arial"/>
                <w:sz w:val="14"/>
                <w:szCs w:val="14"/>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5"/>
          </w:tcPr>
          <w:p>
            <w:pPr>
              <w:spacing w:after="0" w:line="149" w:lineRule="exact"/>
              <w:rPr>
                <w:sz w:val="20"/>
                <w:szCs w:val="20"/>
                <w:color w:val="auto"/>
              </w:rPr>
            </w:pPr>
            <w:r>
              <w:rPr>
                <w:rFonts w:ascii="Arial" w:cs="Arial" w:eastAsia="Arial" w:hAnsi="Arial"/>
                <w:sz w:val="14"/>
                <w:szCs w:val="14"/>
                <w:color w:val="auto"/>
              </w:rPr>
              <w:t>Amortized</w:t>
            </w:r>
          </w:p>
        </w:tc>
        <w:tc>
          <w:tcPr>
            <w:tcW w:w="1240" w:type="dxa"/>
            <w:vAlign w:val="bottom"/>
            <w:gridSpan w:val="5"/>
          </w:tcPr>
          <w:p>
            <w:pPr>
              <w:spacing w:after="0" w:line="149" w:lineRule="exact"/>
              <w:rPr>
                <w:sz w:val="20"/>
                <w:szCs w:val="20"/>
                <w:color w:val="auto"/>
              </w:rPr>
            </w:pPr>
            <w:r>
              <w:rPr>
                <w:rFonts w:ascii="Arial" w:cs="Arial" w:eastAsia="Arial" w:hAnsi="Arial"/>
                <w:sz w:val="14"/>
                <w:szCs w:val="14"/>
                <w:color w:val="auto"/>
              </w:rPr>
              <w:t>Unrealized</w:t>
            </w:r>
          </w:p>
        </w:tc>
        <w:tc>
          <w:tcPr>
            <w:tcW w:w="680" w:type="dxa"/>
            <w:vAlign w:val="bottom"/>
            <w:gridSpan w:val="4"/>
          </w:tcPr>
          <w:p>
            <w:pPr>
              <w:spacing w:after="0" w:line="149" w:lineRule="exact"/>
              <w:rPr>
                <w:sz w:val="20"/>
                <w:szCs w:val="20"/>
                <w:color w:val="auto"/>
              </w:rPr>
            </w:pPr>
            <w:r>
              <w:rPr>
                <w:rFonts w:ascii="Arial" w:cs="Arial" w:eastAsia="Arial" w:hAnsi="Arial"/>
                <w:sz w:val="14"/>
                <w:szCs w:val="14"/>
                <w:color w:val="auto"/>
                <w:w w:val="98"/>
              </w:rPr>
              <w:t>Unrealized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4"/>
          </w:tcPr>
          <w:p>
            <w:pPr>
              <w:ind w:left="40"/>
              <w:spacing w:after="0" w:line="159" w:lineRule="exact"/>
              <w:rPr>
                <w:sz w:val="20"/>
                <w:szCs w:val="20"/>
                <w:color w:val="auto"/>
              </w:rPr>
            </w:pPr>
            <w:r>
              <w:rPr>
                <w:rFonts w:ascii="Arial" w:cs="Arial" w:eastAsia="Arial" w:hAnsi="Arial"/>
                <w:sz w:val="14"/>
                <w:szCs w:val="14"/>
                <w:color w:val="auto"/>
              </w:rPr>
              <w:t>Cost</w:t>
            </w:r>
          </w:p>
        </w:tc>
        <w:tc>
          <w:tcPr>
            <w:tcW w:w="120" w:type="dxa"/>
            <w:vAlign w:val="bottom"/>
          </w:tcPr>
          <w:p>
            <w:pPr>
              <w:spacing w:after="0"/>
              <w:rPr>
                <w:sz w:val="13"/>
                <w:szCs w:val="13"/>
                <w:color w:val="auto"/>
              </w:rPr>
            </w:pPr>
          </w:p>
        </w:tc>
        <w:tc>
          <w:tcPr>
            <w:tcW w:w="11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Gains</w:t>
            </w:r>
          </w:p>
        </w:tc>
        <w:tc>
          <w:tcPr>
            <w:tcW w:w="100" w:type="dxa"/>
            <w:vAlign w:val="bottom"/>
          </w:tcPr>
          <w:p>
            <w:pPr>
              <w:spacing w:after="0"/>
              <w:rPr>
                <w:sz w:val="13"/>
                <w:szCs w:val="13"/>
                <w:color w:val="auto"/>
              </w:rPr>
            </w:pPr>
          </w:p>
        </w:tc>
        <w:tc>
          <w:tcPr>
            <w:tcW w:w="58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Losses</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w w:val="97"/>
              </w:rPr>
              <w:t>1,200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$ 1,200</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w w:val="96"/>
              </w:rPr>
              <w:t xml:space="preserve">Effective maturities of short-term investments are as follows </w:t>
            </w:r>
            <w:r>
              <w:rPr>
                <w:rFonts w:ascii="Arial" w:cs="Arial" w:eastAsia="Arial" w:hAnsi="Arial"/>
                <w:sz w:val="18"/>
                <w:szCs w:val="18"/>
                <w:i w:val="1"/>
                <w:iCs w:val="1"/>
                <w:color w:val="auto"/>
                <w:w w:val="96"/>
              </w:rPr>
              <w:t>(in thousands)</w:t>
            </w:r>
            <w:r>
              <w:rPr>
                <w:rFonts w:ascii="Arial" w:cs="Arial" w:eastAsia="Arial" w:hAnsi="Arial"/>
                <w:sz w:val="18"/>
                <w:szCs w:val="18"/>
                <w:color w:val="auto"/>
                <w:w w:val="96"/>
              </w:rPr>
              <w:t>:</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8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7"/>
          </w:tcPr>
          <w:p>
            <w:pPr>
              <w:spacing w:after="0"/>
              <w:rPr>
                <w:sz w:val="20"/>
                <w:szCs w:val="20"/>
                <w:color w:val="auto"/>
              </w:rPr>
            </w:pPr>
            <w:r>
              <w:rPr>
                <w:rFonts w:ascii="Arial" w:cs="Arial" w:eastAsia="Arial" w:hAnsi="Arial"/>
                <w:sz w:val="14"/>
                <w:szCs w:val="14"/>
                <w:color w:val="auto"/>
              </w:rPr>
              <w:t>September 27, 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6"/>
          </w:tcPr>
          <w:p>
            <w:pPr>
              <w:ind w:left="160"/>
              <w:spacing w:after="0"/>
              <w:rPr>
                <w:sz w:val="20"/>
                <w:szCs w:val="20"/>
                <w:color w:val="auto"/>
              </w:rPr>
            </w:pPr>
            <w:r>
              <w:rPr>
                <w:rFonts w:ascii="Arial" w:cs="Arial" w:eastAsia="Arial" w:hAnsi="Arial"/>
                <w:sz w:val="14"/>
                <w:szCs w:val="14"/>
                <w:color w:val="auto"/>
              </w:rPr>
              <w:t>December 28, 2013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top w:val="single" w:sz="8" w:color="auto"/>
            </w:tcBorders>
            <w:gridSpan w:val="3"/>
          </w:tcPr>
          <w:p>
            <w:pPr>
              <w:jc w:val="center"/>
              <w:ind w:right="280"/>
              <w:spacing w:after="0" w:line="131" w:lineRule="exact"/>
              <w:rPr>
                <w:sz w:val="20"/>
                <w:szCs w:val="20"/>
                <w:color w:val="auto"/>
              </w:rPr>
            </w:pPr>
            <w:r>
              <w:rPr>
                <w:rFonts w:ascii="Arial" w:cs="Arial" w:eastAsia="Arial" w:hAnsi="Arial"/>
                <w:sz w:val="14"/>
                <w:szCs w:val="14"/>
                <w:color w:val="auto"/>
                <w:w w:val="91"/>
              </w:rPr>
              <w:t>Amortized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6"/>
              </w:rPr>
              <w:t>Estimated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w w:val="88"/>
              </w:rPr>
              <w:t>Amortized</w:t>
            </w:r>
          </w:p>
        </w:tc>
        <w:tc>
          <w:tcPr>
            <w:tcW w:w="5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center"/>
              <w:ind w:right="300"/>
              <w:spacing w:after="0" w:line="159" w:lineRule="exact"/>
              <w:rPr>
                <w:sz w:val="20"/>
                <w:szCs w:val="20"/>
                <w:color w:val="auto"/>
              </w:rPr>
            </w:pPr>
            <w:r>
              <w:rPr>
                <w:rFonts w:ascii="Arial" w:cs="Arial" w:eastAsia="Arial" w:hAnsi="Arial"/>
                <w:sz w:val="14"/>
                <w:szCs w:val="14"/>
                <w:color w:val="auto"/>
                <w:w w:val="83"/>
              </w:rPr>
              <w:t>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440"/>
              <w:spacing w:after="0" w:line="159" w:lineRule="exact"/>
              <w:rPr>
                <w:sz w:val="20"/>
                <w:szCs w:val="20"/>
                <w:color w:val="auto"/>
              </w:rPr>
            </w:pPr>
            <w:r>
              <w:rPr>
                <w:rFonts w:ascii="Arial" w:cs="Arial" w:eastAsia="Arial" w:hAnsi="Arial"/>
                <w:sz w:val="14"/>
                <w:szCs w:val="14"/>
                <w:color w:val="auto"/>
                <w:w w:val="87"/>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Cost</w:t>
            </w:r>
          </w:p>
        </w:tc>
        <w:tc>
          <w:tcPr>
            <w:tcW w:w="520" w:type="dxa"/>
            <w:vAlign w:val="bottom"/>
          </w:tcPr>
          <w:p>
            <w:pPr>
              <w:spacing w:after="0"/>
              <w:rPr>
                <w:sz w:val="13"/>
                <w:szCs w:val="13"/>
                <w:color w:val="auto"/>
              </w:rPr>
            </w:pPr>
          </w:p>
        </w:tc>
        <w:tc>
          <w:tcPr>
            <w:tcW w:w="62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in one year or less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6"/>
              </w:rPr>
              <w:t>$ 1,155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$ 1,155</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84"/>
              </w:rPr>
              <w:t>1,200</w:t>
            </w: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$ 1,200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Our municipal securities include variable rate demand notes which can be put (sold at par) typically on a daily basis with settlement periods ranging from the same day to one week and have varying contractual maturities through 2034. These securities can be used for short-term liquidity needs and are held for limited periods of time. At September 27, 2014 and December 28, 2013 these securities had amortized cost and fair value of $0.2 million and $1.2 million, respectively, and are included in “Due in one year or less” in the table above.</w:t>
      </w:r>
    </w:p>
    <w:p>
      <w:pPr>
        <w:spacing w:after="0" w:line="32"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spacing w:after="0" w:line="39"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 xml:space="preserve">The following table summarizes, by major security type, our assets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color w:val="auto"/>
                <w:w w:val="92"/>
              </w:rPr>
              <w:t>Fair value measurements at September 27, 2014 using:</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1"/>
        </w:trPr>
        <w:tc>
          <w:tcPr>
            <w:tcW w:w="4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58"/>
              <w:spacing w:after="0" w:line="131" w:lineRule="exact"/>
              <w:rPr>
                <w:sz w:val="20"/>
                <w:szCs w:val="20"/>
                <w:color w:val="auto"/>
              </w:rPr>
            </w:pPr>
            <w:r>
              <w:rPr>
                <w:rFonts w:ascii="Arial" w:cs="Arial" w:eastAsia="Arial" w:hAnsi="Arial"/>
                <w:sz w:val="14"/>
                <w:szCs w:val="14"/>
                <w:color w:val="auto"/>
                <w:w w:val="85"/>
              </w:rPr>
              <w:t>Total estimated</w:t>
            </w:r>
          </w:p>
        </w:tc>
        <w:tc>
          <w:tcPr>
            <w:tcW w:w="60" w:type="dxa"/>
            <w:vAlign w:val="bottom"/>
          </w:tcPr>
          <w:p>
            <w:pPr>
              <w:spacing w:after="0"/>
              <w:rPr>
                <w:sz w:val="11"/>
                <w:szCs w:val="11"/>
                <w:color w:val="auto"/>
              </w:rPr>
            </w:pPr>
          </w:p>
        </w:tc>
      </w:tr>
      <w:tr>
        <w:trPr>
          <w:trHeight w:val="159"/>
        </w:trPr>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255"/>
              <w:spacing w:after="0" w:line="159" w:lineRule="exact"/>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rPr>
              <w:t>Level 2</w:t>
            </w:r>
          </w:p>
        </w:tc>
        <w:tc>
          <w:tcPr>
            <w:tcW w:w="220" w:type="dxa"/>
            <w:vAlign w:val="bottom"/>
          </w:tcPr>
          <w:p>
            <w:pPr>
              <w:spacing w:after="0"/>
              <w:rPr>
                <w:sz w:val="13"/>
                <w:szCs w:val="13"/>
                <w:color w:val="auto"/>
              </w:rPr>
            </w:pPr>
          </w:p>
        </w:tc>
        <w:tc>
          <w:tcPr>
            <w:tcW w:w="13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13"/>
                <w:szCs w:val="13"/>
                <w:color w:val="auto"/>
              </w:rPr>
            </w:pP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fair value</w:t>
            </w:r>
          </w:p>
        </w:tc>
      </w:tr>
      <w:tr>
        <w:trPr>
          <w:trHeight w:val="210"/>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56,156</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3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3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7"/>
        </w:trPr>
        <w:tc>
          <w:tcPr>
            <w:tcW w:w="4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56,156</w:t>
            </w:r>
          </w:p>
        </w:tc>
        <w:tc>
          <w:tcPr>
            <w:tcW w:w="6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5,577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61,733</w:t>
            </w:r>
          </w:p>
        </w:tc>
      </w:tr>
      <w:tr>
        <w:trPr>
          <w:trHeight w:val="20"/>
        </w:trPr>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75"/>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27, 2014</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color w:val="auto"/>
                <w:w w:val="92"/>
              </w:rPr>
              <w:t>Fair value measurements at December 28, 2013 using:</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1"/>
        </w:trPr>
        <w:tc>
          <w:tcPr>
            <w:tcW w:w="4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59"/>
              <w:spacing w:after="0" w:line="131" w:lineRule="exact"/>
              <w:rPr>
                <w:sz w:val="20"/>
                <w:szCs w:val="20"/>
                <w:color w:val="auto"/>
              </w:rPr>
            </w:pPr>
            <w:r>
              <w:rPr>
                <w:rFonts w:ascii="Arial" w:cs="Arial" w:eastAsia="Arial" w:hAnsi="Arial"/>
                <w:sz w:val="14"/>
                <w:szCs w:val="14"/>
                <w:color w:val="auto"/>
                <w:w w:val="85"/>
              </w:rPr>
              <w:t>Total estimated</w:t>
            </w:r>
          </w:p>
        </w:tc>
        <w:tc>
          <w:tcPr>
            <w:tcW w:w="60" w:type="dxa"/>
            <w:vAlign w:val="bottom"/>
          </w:tcPr>
          <w:p>
            <w:pPr>
              <w:spacing w:after="0"/>
              <w:rPr>
                <w:sz w:val="11"/>
                <w:szCs w:val="11"/>
                <w:color w:val="auto"/>
              </w:rPr>
            </w:pPr>
          </w:p>
        </w:tc>
      </w:tr>
      <w:tr>
        <w:trPr>
          <w:trHeight w:val="159"/>
        </w:trPr>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256"/>
              <w:spacing w:after="0" w:line="159" w:lineRule="exact"/>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rPr>
              <w:t>Level 2</w:t>
            </w:r>
          </w:p>
        </w:tc>
        <w:tc>
          <w:tcPr>
            <w:tcW w:w="220" w:type="dxa"/>
            <w:vAlign w:val="bottom"/>
          </w:tcPr>
          <w:p>
            <w:pPr>
              <w:spacing w:after="0"/>
              <w:rPr>
                <w:sz w:val="13"/>
                <w:szCs w:val="13"/>
                <w:color w:val="auto"/>
              </w:rPr>
            </w:pPr>
          </w:p>
        </w:tc>
        <w:tc>
          <w:tcPr>
            <w:tcW w:w="13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13"/>
                <w:szCs w:val="13"/>
                <w:color w:val="auto"/>
              </w:rPr>
            </w:pP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fair value</w:t>
            </w:r>
          </w:p>
        </w:tc>
      </w:tr>
      <w:tr>
        <w:trPr>
          <w:trHeight w:val="210"/>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44,165</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18"/>
                <w:szCs w:val="18"/>
                <w:color w:val="auto"/>
              </w:rPr>
            </w:pPr>
          </w:p>
        </w:tc>
        <w:tc>
          <w:tcPr>
            <w:tcW w:w="13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7,503</w:t>
            </w:r>
          </w:p>
        </w:tc>
      </w:tr>
      <w:tr>
        <w:trPr>
          <w:trHeight w:val="20"/>
        </w:trPr>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48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44,165</w:t>
            </w:r>
          </w:p>
        </w:tc>
        <w:tc>
          <w:tcPr>
            <w:tcW w:w="6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8,703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52,868</w:t>
            </w:r>
          </w:p>
        </w:tc>
      </w:tr>
      <w:tr>
        <w:trPr>
          <w:trHeight w:val="20"/>
        </w:trPr>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Benefit Plans</w:t>
      </w:r>
    </w:p>
    <w:p>
      <w:pPr>
        <w:spacing w:after="0" w:line="96"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Our 2005 Equity Incentive Plan is a broad-based, long-term retention program intended to attract, motivate, and retain talented employees as well as align stockholder and employee interests. Awards that may be granted under the program include, but are not limited to, non-qualified and incentive stock options, restricted stock units, and performance-based stock units. We settle employee stock option exercises, ESPP purchases, and the vesting of restricted stock units, and performance-based stock units with newly issued common shares. At September 27, 2014, there were 792,955 shares available for future equity grants under the 2005 Equity Incentive Plan.</w:t>
      </w:r>
    </w:p>
    <w:p>
      <w:pPr>
        <w:spacing w:after="0" w:line="2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96" w:lineRule="exact"/>
        <w:rPr>
          <w:rFonts w:ascii="Arial" w:cs="Arial" w:eastAsia="Arial" w:hAnsi="Arial"/>
          <w:sz w:val="18"/>
          <w:szCs w:val="18"/>
          <w:b w:val="1"/>
          <w:bCs w:val="1"/>
          <w:color w:val="auto"/>
        </w:rPr>
      </w:pPr>
    </w:p>
    <w:p>
      <w:pPr>
        <w:ind w:left="460" w:right="2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Stock options may be granted to employees, consultants and directors to purchase a fixed number of shares of our common stock. The exercise prices of options granted are at least equal to the fair market value of our common stock on the dates of grant and options generally vest and become exercisable after one year or in four annual increments beginning one year after the date of grant. Stock options granted under the program have a maximum contractual term of ten years.</w:t>
      </w:r>
    </w:p>
    <w:p>
      <w:pPr>
        <w:spacing w:after="0" w:line="62" w:lineRule="exact"/>
        <w:rPr>
          <w:rFonts w:ascii="Arial" w:cs="Arial" w:eastAsia="Arial" w:hAnsi="Arial"/>
          <w:sz w:val="18"/>
          <w:szCs w:val="18"/>
          <w:b w:val="1"/>
          <w:bCs w:val="1"/>
          <w:color w:val="auto"/>
        </w:rPr>
      </w:pPr>
    </w:p>
    <w:p>
      <w:pPr>
        <w:ind w:left="460" w:right="7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At September 27, 2014, we had 2,673,461 stock options outstanding. These options had a weighted-average exercise price of $11.86 per share, an aggregate intrinsic value of approximately $5.0 million and the weighted average remaining contractual term was approximately 4.9 years.</w:t>
      </w:r>
    </w:p>
    <w:p>
      <w:pPr>
        <w:spacing w:after="0" w:line="4" w:lineRule="exact"/>
        <w:rPr>
          <w:rFonts w:ascii="Arial" w:cs="Arial" w:eastAsia="Arial" w:hAnsi="Arial"/>
          <w:sz w:val="18"/>
          <w:szCs w:val="18"/>
          <w:b w:val="1"/>
          <w:bCs w:val="1"/>
          <w:color w:val="auto"/>
        </w:rPr>
      </w:pPr>
    </w:p>
    <w:p>
      <w:pPr>
        <w:ind w:left="460" w:right="620"/>
        <w:spacing w:after="0" w:line="352" w:lineRule="auto"/>
        <w:rPr>
          <w:rFonts w:ascii="Arial" w:cs="Arial" w:eastAsia="Arial" w:hAnsi="Arial"/>
          <w:sz w:val="18"/>
          <w:szCs w:val="18"/>
          <w:b w:val="1"/>
          <w:bCs w:val="1"/>
          <w:color w:val="auto"/>
        </w:rPr>
      </w:pPr>
      <w:r>
        <w:rPr>
          <w:rFonts w:ascii="Arial" w:cs="Arial" w:eastAsia="Arial" w:hAnsi="Arial"/>
          <w:sz w:val="15"/>
          <w:szCs w:val="15"/>
          <w:color w:val="auto"/>
        </w:rPr>
        <w:t>At September 27, 2014, we had 2,060,774 stock options outstanding that were exercisable. These options had a weighted-average exercise price of $12.24 per share, an aggregate intrinsic value of $3.8 million and the weighted average remaining contractual term was approximately 4.0 years.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p>
    <w:p>
      <w:pPr>
        <w:spacing w:after="0" w:line="96"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issue restricted stock units to certain employees, consultants and directors. 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w:t>
      </w:r>
    </w:p>
    <w:p>
      <w:pPr>
        <w:spacing w:after="0" w:line="59"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Subsequent to December 28, 2013, we awarded restricted stock units covering 497,138 shares of our common stock to employees and at September 27, 2014, we had 1,101,218 restricted stock units outstanding with an aggregate intrinsic value of approximately $13.5 million and the weighted average remaining vesting period was approximately 1.5 years.</w:t>
      </w:r>
    </w:p>
    <w:p>
      <w:pPr>
        <w:spacing w:after="0" w:line="5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Equity-Based Performance Stock Units</w:t>
      </w:r>
    </w:p>
    <w:p>
      <w:pPr>
        <w:spacing w:after="0" w:line="96" w:lineRule="exact"/>
        <w:rPr>
          <w:rFonts w:ascii="Arial" w:cs="Arial" w:eastAsia="Arial" w:hAnsi="Arial"/>
          <w:sz w:val="18"/>
          <w:szCs w:val="18"/>
          <w:b w:val="1"/>
          <w:bCs w:val="1"/>
          <w:color w:val="auto"/>
        </w:rPr>
      </w:pPr>
    </w:p>
    <w:p>
      <w:pPr>
        <w:ind w:left="46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Starting in 2012, we began issuing equity-based performance stock units (“PSUs”) to certain employees to reward achievement of financial performance goals set by the Board of Directors. Equity-based performance stock units vest over a three-year period from the date of grant. Prior to vesting, equity-based performance stock units do not have dividend equivalent rights, do not have voting rights and the shares underlying the restricted stock units are not considered issued and outstanding. The number of shares of stock ultimately issued to participants will depend upon the extent to which certain performance goals are met. The award measurement period is one fiscal year and based upon the level of goal achievement, the number of shares we will issue can range from 0% up to 150% of the granted units and vest over three years from the date of initial grant and upon final Board of Directors approval.</w:t>
      </w:r>
    </w:p>
    <w:p>
      <w:pPr>
        <w:spacing w:after="0" w:line="23"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Subsequent to December 28, 2013, we awarded 208,015 equity-based performance stock units to senior executives with vesting that is contingent on the level of achievement of certain performance goals, market return and continued service (“market-based PSUs”). The market-based PSUs issued in 2014 are subject to a one-year performance period after which the number of market-based PSUs earned will be determined and will then be subject to certain adjustments resulting from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performance of Cohu’s Relative Total Shareholder Return (“TSR”) to a selected peer group over a two year measurement period following the date of grant with the total adjustment ranging from 75% to 125% of the target amount based on the percentage by which our TSR exceeds or falls below the selected peer group. Market-based PSUs earned will vest at the rate of 50% on the second and third anniversary of their grant. We estimated the fair value of market-based PSUs using a Monte Carlo simulation model on the date of grant. The model incorporates assumptions for the risk-free interest rate, Cohu and the selected peer group price volatility, the correlation between Cohu and the selected index, and dividend yields. Compensation expense is recognized ratably over the measurement period.</w:t>
      </w:r>
    </w:p>
    <w:p>
      <w:pPr>
        <w:spacing w:after="0" w:line="6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At September 27, 2014, we had 333,875 PSUs and market based PSUs outstanding with an aggregate intrinsic value of approximately $4.1 million and the weighted average remaining vesting period was approximately 1.5 years.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Stock Purchase Plan (ESPP)</w:t>
      </w:r>
    </w:p>
    <w:p>
      <w:pPr>
        <w:spacing w:after="0" w:line="96" w:lineRule="exact"/>
        <w:rPr>
          <w:sz w:val="20"/>
          <w:szCs w:val="20"/>
          <w:color w:val="auto"/>
        </w:rPr>
      </w:pPr>
    </w:p>
    <w:p>
      <w:pPr>
        <w:ind w:left="460" w:right="240"/>
        <w:spacing w:after="0" w:line="298" w:lineRule="auto"/>
        <w:rPr>
          <w:sz w:val="20"/>
          <w:szCs w:val="20"/>
          <w:color w:val="auto"/>
        </w:rPr>
      </w:pPr>
      <w:r>
        <w:rPr>
          <w:rFonts w:ascii="Arial" w:cs="Arial" w:eastAsia="Arial" w:hAnsi="Arial"/>
          <w:sz w:val="16"/>
          <w:szCs w:val="16"/>
          <w:color w:val="auto"/>
        </w:rPr>
        <w:t>The Cohu, Inc. 1997 Employee Stock Purchase Plan (“the Plan”) provides for the issuance of shares of our common stock. Under the Plan, eligible employees may purchase shares of Cohu common stock through payroll deductions at a price equal to 85 percent of the lower of the fair market value of Cohu common stock at the beginning or end of each 6-month purchase period, subject to certain limits. During the three-month period ended September 27, 2014, we did not sell any shares to our employees under the Plan and we have 250,930 shares available for future issuance.</w:t>
      </w:r>
    </w:p>
    <w:p>
      <w:pPr>
        <w:spacing w:after="0" w:line="2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Ordinarily, interim tax provisions are calculated using the estimated effective tax rate (“ETR”) expected to be applicable for the full fiscal year. However, when a reliable estimate of the annual ETR cannot be made, the actual ETR for the year-to-date period may be the best estimate of the annual ETR. For the three and nine months ended September 27, 2014 and September 28, 2013 we used the actual year-to-date ETR in computing our tax provision or benefit as a reliable estimate of the annual ETR cannot be made as relatively small changes in our projected income or loss produce a significant variation in our ETR. The actual year-to-date ETR on income or loss from continuing operations for the three months ended September 27, 2014 and September 28, 2013, was 26.5% and 10.4%, respectively, and for the nine months ended September 27, 2014 and September 28, 2013 was 36.2% and 9.0%, respectively. The tax provision or benefit on income or loss from continuing operations in 2014 and 2013 differs from the U.S. federal statutory rate primarily due to the inability to benefit our domestic losses other than to the extent we have a tax provision on income from items that are excluded from continuing operations, foreign income taxed at lower rates, changes in our deferred tax asset valuation allowance, state taxes and changes and interest related to unrecognized tax benefits.</w:t>
      </w:r>
    </w:p>
    <w:p>
      <w:pPr>
        <w:spacing w:after="0" w:line="41"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There was no material change to our unrecognized tax benefits and interest accrued related to unrecognized tax benefits during the three and nine months ended September 27, 2014.</w:t>
      </w:r>
    </w:p>
    <w:p>
      <w:pPr>
        <w:spacing w:after="0" w:line="44"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Segments</w:t>
      </w:r>
    </w:p>
    <w:p>
      <w:pPr>
        <w:spacing w:after="0" w:line="96" w:lineRule="exact"/>
        <w:rPr>
          <w:rFonts w:ascii="Arial" w:cs="Arial" w:eastAsia="Arial" w:hAnsi="Arial"/>
          <w:sz w:val="18"/>
          <w:szCs w:val="18"/>
          <w:b w:val="1"/>
          <w:bCs w:val="1"/>
          <w:color w:val="auto"/>
        </w:rPr>
      </w:pPr>
    </w:p>
    <w:p>
      <w:pPr>
        <w:ind w:left="4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Our reportable segments are business units that offer different products and are managed separately because each business requires different technology and marketing strategies. As discussed in Note 2, in June 2014, we sold substantially all the assets of Cohu Electronics, which comprised our video camera segment and have presented financial information for this segment as discontinued operations. Subsequent to this transaction Cohu’s remaining reportable segments are semiconductor and microwave communications equipment.</w:t>
      </w:r>
    </w:p>
    <w:p>
      <w:pPr>
        <w:spacing w:after="0" w:line="31"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allocate resources and evaluate the performance of segments based on profit or loss from operations, excluding interest, corporate expenses and unusual gains or losses. Intersegment sales were not significant for any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Financial information by industry segment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jc w:val="right"/>
              <w:ind w:right="1020"/>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2060" w:type="dxa"/>
            <w:vAlign w:val="bottom"/>
            <w:gridSpan w:val="6"/>
          </w:tcPr>
          <w:p>
            <w:pPr>
              <w:jc w:val="right"/>
              <w:ind w:right="6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September 27,</w:t>
            </w: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2"/>
              </w:rPr>
              <w:t>September 28,</w:t>
            </w:r>
          </w:p>
        </w:tc>
        <w:tc>
          <w:tcPr>
            <w:tcW w:w="54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September 27,</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color w:val="auto"/>
                <w:w w:val="82"/>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940" w:type="dxa"/>
            <w:vAlign w:val="bottom"/>
            <w:vMerge w:val="restart"/>
          </w:tcPr>
          <w:p>
            <w:pPr>
              <w:spacing w:after="0"/>
              <w:rPr>
                <w:sz w:val="20"/>
                <w:szCs w:val="20"/>
                <w:color w:val="auto"/>
              </w:rPr>
            </w:pPr>
            <w:r>
              <w:rPr>
                <w:rFonts w:ascii="Arial" w:cs="Arial" w:eastAsia="Arial" w:hAnsi="Arial"/>
                <w:sz w:val="18"/>
                <w:szCs w:val="18"/>
                <w:i w:val="1"/>
                <w:iCs w:val="1"/>
                <w:color w:val="auto"/>
              </w:rPr>
              <w:t>Net sales by segment:</w:t>
            </w:r>
          </w:p>
        </w:tc>
        <w:tc>
          <w:tcPr>
            <w:tcW w:w="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2014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2013</w:t>
            </w:r>
          </w:p>
        </w:tc>
        <w:tc>
          <w:tcPr>
            <w:tcW w:w="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4"/>
                <w:szCs w:val="14"/>
                <w:color w:val="auto"/>
              </w:rPr>
              <w:t>2014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9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Semiconductor equipment</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91,573</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52,403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226,042</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160,326</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Microwave communications equipment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3,574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10,112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net sales for reportable segments</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94,441</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55,977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237,155</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170,438</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i w:val="1"/>
                <w:iCs w:val="1"/>
                <w:color w:val="auto"/>
              </w:rPr>
              <w:t>Segment profit (loss):</w:t>
            </w: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9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Semiconductor equipment</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17,583</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(18,857)</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Microwave communications equipment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(1,511)</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(4,873)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Profit (loss) for reportable segments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(10,902)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Other unallocated amounts: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expenses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Interest and other, net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continuing operations before taxes</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(12,402)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(30,408)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 xml:space="preserve">A small number of customers of our semiconductor equipment segment historically have been responsible for a significant portion of our consolidated net sales. Significant customer concentration information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60" w:type="dxa"/>
            <w:vAlign w:val="bottom"/>
            <w:gridSpan w:val="4"/>
          </w:tcPr>
          <w:p>
            <w:pPr>
              <w:ind w:left="580"/>
              <w:spacing w:after="0"/>
              <w:rPr>
                <w:sz w:val="20"/>
                <w:szCs w:val="20"/>
                <w:color w:val="auto"/>
              </w:rPr>
            </w:pPr>
            <w:r>
              <w:rPr>
                <w:rFonts w:ascii="Arial" w:cs="Arial" w:eastAsia="Arial" w:hAnsi="Arial"/>
                <w:sz w:val="14"/>
                <w:szCs w:val="14"/>
                <w:color w:val="auto"/>
              </w:rPr>
              <w:t>Three Months Ended</w:t>
            </w:r>
          </w:p>
        </w:tc>
        <w:tc>
          <w:tcPr>
            <w:tcW w:w="2300" w:type="dxa"/>
            <w:vAlign w:val="bottom"/>
            <w:gridSpan w:val="3"/>
          </w:tcPr>
          <w:p>
            <w:pPr>
              <w:ind w:left="600"/>
              <w:spacing w:after="0"/>
              <w:rPr>
                <w:sz w:val="20"/>
                <w:szCs w:val="20"/>
                <w:color w:val="auto"/>
              </w:rPr>
            </w:pPr>
            <w:r>
              <w:rPr>
                <w:rFonts w:ascii="Arial" w:cs="Arial" w:eastAsia="Arial" w:hAnsi="Arial"/>
                <w:sz w:val="14"/>
                <w:szCs w:val="14"/>
                <w:color w:val="auto"/>
              </w:rPr>
              <w:t>Nine Months Ended</w:t>
            </w:r>
          </w:p>
        </w:tc>
      </w:tr>
      <w:tr>
        <w:trPr>
          <w:trHeight w:val="131"/>
        </w:trPr>
        <w:tc>
          <w:tcPr>
            <w:tcW w:w="5140" w:type="dxa"/>
            <w:vAlign w:val="bottom"/>
          </w:tcPr>
          <w:p>
            <w:pPr>
              <w:spacing w:after="0"/>
              <w:rPr>
                <w:sz w:val="11"/>
                <w:szCs w:val="11"/>
                <w:color w:val="auto"/>
              </w:rPr>
            </w:pPr>
          </w:p>
        </w:tc>
        <w:tc>
          <w:tcPr>
            <w:tcW w:w="1520" w:type="dxa"/>
            <w:vAlign w:val="bottom"/>
            <w:tcBorders>
              <w:top w:val="single" w:sz="8" w:color="auto"/>
            </w:tcBorders>
            <w:gridSpan w:val="2"/>
          </w:tcPr>
          <w:p>
            <w:pPr>
              <w:jc w:val="center"/>
              <w:ind w:right="740"/>
              <w:spacing w:after="0" w:line="131" w:lineRule="exact"/>
              <w:rPr>
                <w:sz w:val="20"/>
                <w:szCs w:val="20"/>
                <w:color w:val="auto"/>
              </w:rPr>
            </w:pPr>
            <w:r>
              <w:rPr>
                <w:rFonts w:ascii="Arial" w:cs="Arial" w:eastAsia="Arial" w:hAnsi="Arial"/>
                <w:sz w:val="14"/>
                <w:szCs w:val="14"/>
                <w:color w:val="auto"/>
                <w:w w:val="84"/>
              </w:rPr>
              <w:t>September 27,</w:t>
            </w:r>
          </w:p>
        </w:tc>
        <w:tc>
          <w:tcPr>
            <w:tcW w:w="7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4"/>
              </w:rPr>
              <w:t>September 28,</w:t>
            </w:r>
          </w:p>
        </w:tc>
        <w:tc>
          <w:tcPr>
            <w:tcW w:w="760" w:type="dxa"/>
            <w:vAlign w:val="bottom"/>
          </w:tcPr>
          <w:p>
            <w:pPr>
              <w:spacing w:after="0"/>
              <w:rPr>
                <w:sz w:val="11"/>
                <w:szCs w:val="11"/>
                <w:color w:val="auto"/>
              </w:rPr>
            </w:pPr>
          </w:p>
        </w:tc>
        <w:tc>
          <w:tcPr>
            <w:tcW w:w="1520" w:type="dxa"/>
            <w:vAlign w:val="bottom"/>
            <w:tcBorders>
              <w:top w:val="single" w:sz="8" w:color="auto"/>
            </w:tcBorders>
            <w:gridSpan w:val="2"/>
          </w:tcPr>
          <w:p>
            <w:pPr>
              <w:jc w:val="center"/>
              <w:ind w:right="740"/>
              <w:spacing w:after="0" w:line="131" w:lineRule="exact"/>
              <w:rPr>
                <w:sz w:val="20"/>
                <w:szCs w:val="20"/>
                <w:color w:val="auto"/>
              </w:rPr>
            </w:pPr>
            <w:r>
              <w:rPr>
                <w:rFonts w:ascii="Arial" w:cs="Arial" w:eastAsia="Arial" w:hAnsi="Arial"/>
                <w:sz w:val="14"/>
                <w:szCs w:val="14"/>
                <w:color w:val="auto"/>
                <w:w w:val="84"/>
              </w:rPr>
              <w:t>September 27,</w:t>
            </w:r>
          </w:p>
        </w:tc>
        <w:tc>
          <w:tcPr>
            <w:tcW w:w="7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4"/>
              </w:rPr>
              <w:t>September 28,</w:t>
            </w:r>
          </w:p>
        </w:tc>
      </w:tr>
      <w:tr>
        <w:trPr>
          <w:trHeight w:val="159"/>
        </w:trPr>
        <w:tc>
          <w:tcPr>
            <w:tcW w:w="51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4"/>
              <w:spacing w:after="0" w:line="159" w:lineRule="exact"/>
              <w:rPr>
                <w:sz w:val="20"/>
                <w:szCs w:val="20"/>
                <w:color w:val="auto"/>
              </w:rPr>
            </w:pPr>
            <w:r>
              <w:rPr>
                <w:rFonts w:ascii="Arial" w:cs="Arial" w:eastAsia="Arial" w:hAnsi="Arial"/>
                <w:sz w:val="14"/>
                <w:szCs w:val="14"/>
                <w:color w:val="auto"/>
              </w:rPr>
              <w:t>2014</w:t>
            </w:r>
          </w:p>
        </w:tc>
        <w:tc>
          <w:tcPr>
            <w:tcW w:w="7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62"/>
              <w:spacing w:after="0" w:line="159" w:lineRule="exact"/>
              <w:rPr>
                <w:sz w:val="20"/>
                <w:szCs w:val="20"/>
                <w:color w:val="auto"/>
              </w:rPr>
            </w:pPr>
            <w:r>
              <w:rPr>
                <w:rFonts w:ascii="Arial" w:cs="Arial" w:eastAsia="Arial" w:hAnsi="Arial"/>
                <w:sz w:val="14"/>
                <w:szCs w:val="14"/>
                <w:color w:val="auto"/>
              </w:rPr>
              <w:t>2013</w:t>
            </w:r>
          </w:p>
        </w:tc>
        <w:tc>
          <w:tcPr>
            <w:tcW w:w="7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4"/>
              <w:spacing w:after="0" w:line="159" w:lineRule="exact"/>
              <w:rPr>
                <w:sz w:val="20"/>
                <w:szCs w:val="20"/>
                <w:color w:val="auto"/>
              </w:rPr>
            </w:pPr>
            <w:r>
              <w:rPr>
                <w:rFonts w:ascii="Arial" w:cs="Arial" w:eastAsia="Arial" w:hAnsi="Arial"/>
                <w:sz w:val="14"/>
                <w:szCs w:val="14"/>
                <w:color w:val="auto"/>
              </w:rPr>
              <w:t>2014</w:t>
            </w:r>
          </w:p>
        </w:tc>
        <w:tc>
          <w:tcPr>
            <w:tcW w:w="7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2"/>
              <w:spacing w:after="0" w:line="159" w:lineRule="exact"/>
              <w:rPr>
                <w:sz w:val="20"/>
                <w:szCs w:val="20"/>
                <w:color w:val="auto"/>
              </w:rPr>
            </w:pPr>
            <w:r>
              <w:rPr>
                <w:rFonts w:ascii="Arial" w:cs="Arial" w:eastAsia="Arial" w:hAnsi="Arial"/>
                <w:sz w:val="14"/>
                <w:szCs w:val="14"/>
                <w:color w:val="auto"/>
              </w:rPr>
              <w:t>2013</w:t>
            </w:r>
          </w:p>
        </w:tc>
      </w:tr>
      <w:tr>
        <w:trPr>
          <w:trHeight w:val="188"/>
        </w:trPr>
        <w:tc>
          <w:tcPr>
            <w:tcW w:w="51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Customers individually accounting for more than 10% of</w:t>
            </w: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4"/>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net sales</w:t>
            </w:r>
          </w:p>
        </w:tc>
        <w:tc>
          <w:tcPr>
            <w:tcW w:w="152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2"/>
              </w:rPr>
              <w:t>two</w:t>
            </w:r>
          </w:p>
        </w:tc>
        <w:tc>
          <w:tcPr>
            <w:tcW w:w="154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2"/>
              </w:rPr>
              <w:t>two</w:t>
            </w:r>
          </w:p>
        </w:tc>
        <w:tc>
          <w:tcPr>
            <w:tcW w:w="152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2"/>
              </w:rPr>
              <w:t>two</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one</w:t>
            </w: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Percentage of consolidated net sales</w:t>
            </w:r>
          </w:p>
        </w:tc>
        <w:tc>
          <w:tcPr>
            <w:tcW w:w="780" w:type="dxa"/>
            <w:vAlign w:val="bottom"/>
          </w:tcPr>
          <w:p>
            <w:pPr>
              <w:jc w:val="right"/>
              <w:ind w:right="144"/>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9"/>
                <w:szCs w:val="19"/>
                <w:color w:val="auto"/>
              </w:rPr>
            </w:pPr>
          </w:p>
        </w:tc>
        <w:tc>
          <w:tcPr>
            <w:tcW w:w="780" w:type="dxa"/>
            <w:vAlign w:val="bottom"/>
          </w:tcPr>
          <w:p>
            <w:pPr>
              <w:jc w:val="right"/>
              <w:ind w:right="142"/>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19"/>
                <w:szCs w:val="19"/>
                <w:color w:val="auto"/>
              </w:rPr>
            </w:pPr>
          </w:p>
        </w:tc>
        <w:tc>
          <w:tcPr>
            <w:tcW w:w="780" w:type="dxa"/>
            <w:vAlign w:val="bottom"/>
          </w:tcPr>
          <w:p>
            <w:pPr>
              <w:jc w:val="right"/>
              <w:ind w:right="164"/>
              <w:spacing w:after="0"/>
              <w:rPr>
                <w:sz w:val="20"/>
                <w:szCs w:val="20"/>
                <w:color w:val="auto"/>
              </w:rPr>
            </w:pPr>
            <w:r>
              <w:rPr>
                <w:rFonts w:ascii="Arial" w:cs="Arial" w:eastAsia="Arial" w:hAnsi="Arial"/>
                <w:sz w:val="18"/>
                <w:szCs w:val="18"/>
                <w:color w:val="auto"/>
              </w:rPr>
              <w:t>26%</w:t>
            </w:r>
          </w:p>
        </w:tc>
        <w:tc>
          <w:tcPr>
            <w:tcW w:w="740" w:type="dxa"/>
            <w:vAlign w:val="bottom"/>
          </w:tcPr>
          <w:p>
            <w:pPr>
              <w:spacing w:after="0"/>
              <w:rPr>
                <w:sz w:val="19"/>
                <w:szCs w:val="19"/>
                <w:color w:val="auto"/>
              </w:rPr>
            </w:pPr>
          </w:p>
        </w:tc>
        <w:tc>
          <w:tcPr>
            <w:tcW w:w="780" w:type="dxa"/>
            <w:vAlign w:val="bottom"/>
          </w:tcPr>
          <w:p>
            <w:pPr>
              <w:jc w:val="right"/>
              <w:ind w:right="142"/>
              <w:spacing w:after="0"/>
              <w:rPr>
                <w:sz w:val="20"/>
                <w:szCs w:val="20"/>
                <w:color w:val="auto"/>
              </w:rPr>
            </w:pPr>
            <w:r>
              <w:rPr>
                <w:rFonts w:ascii="Arial" w:cs="Arial" w:eastAsia="Arial" w:hAnsi="Arial"/>
                <w:sz w:val="18"/>
                <w:szCs w:val="18"/>
                <w:color w:val="auto"/>
              </w:rPr>
              <w:t>19%</w:t>
            </w:r>
          </w:p>
        </w:tc>
      </w:tr>
    </w:tbl>
    <w:p>
      <w:pPr>
        <w:spacing w:after="0" w:line="6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96"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businesses. The outcome of any litigation is inherently uncertain. While there can be no assurance, we do not believe at the present time that the resolution of the matters described above will have a material adverse effect on our assets, financial position or results of operations.</w:t>
      </w:r>
    </w:p>
    <w:p>
      <w:pPr>
        <w:spacing w:after="0" w:line="19"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Our products are generally sold with warranty periods that range from 12 to 36 months following sale or acceptance. Parts and labor are covered under the terms of the warranty agreement. The warranty provision is based on historical and projected experience by product and configuration.</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warranty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87"/>
              </w:rPr>
              <w:t>Three Months Ended</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w w:val="89"/>
              </w:rPr>
              <w:t>Nine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460" w:type="dxa"/>
            <w:vAlign w:val="bottom"/>
            <w:gridSpan w:val="3"/>
          </w:tcPr>
          <w:p>
            <w:pPr>
              <w:spacing w:after="0" w:line="131" w:lineRule="exact"/>
              <w:rPr>
                <w:sz w:val="20"/>
                <w:szCs w:val="20"/>
                <w:color w:val="auto"/>
              </w:rPr>
            </w:pPr>
            <w:r>
              <w:rPr>
                <w:rFonts w:ascii="Arial" w:cs="Arial" w:eastAsia="Arial" w:hAnsi="Arial"/>
                <w:sz w:val="14"/>
                <w:szCs w:val="14"/>
                <w:color w:val="auto"/>
              </w:rPr>
              <w:t>September 27,</w:t>
            </w:r>
          </w:p>
        </w:tc>
        <w:tc>
          <w:tcPr>
            <w:tcW w:w="780" w:type="dxa"/>
            <w:vAlign w:val="bottom"/>
            <w:gridSpan w:val="2"/>
          </w:tcPr>
          <w:p>
            <w:pPr>
              <w:spacing w:after="0" w:line="131" w:lineRule="exact"/>
              <w:rPr>
                <w:sz w:val="20"/>
                <w:szCs w:val="20"/>
                <w:color w:val="auto"/>
              </w:rPr>
            </w:pPr>
            <w:r>
              <w:rPr>
                <w:rFonts w:ascii="Arial" w:cs="Arial" w:eastAsia="Arial" w:hAnsi="Arial"/>
                <w:sz w:val="14"/>
                <w:szCs w:val="14"/>
                <w:color w:val="auto"/>
                <w:w w:val="82"/>
              </w:rPr>
              <w:t>September 28,</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jc w:val="right"/>
              <w:ind w:right="360"/>
              <w:spacing w:after="0" w:line="131" w:lineRule="exact"/>
              <w:rPr>
                <w:sz w:val="20"/>
                <w:szCs w:val="20"/>
                <w:color w:val="auto"/>
              </w:rPr>
            </w:pPr>
            <w:r>
              <w:rPr>
                <w:rFonts w:ascii="Arial" w:cs="Arial" w:eastAsia="Arial" w:hAnsi="Arial"/>
                <w:sz w:val="14"/>
                <w:szCs w:val="14"/>
                <w:color w:val="auto"/>
                <w:w w:val="82"/>
              </w:rPr>
              <w:t>September 27,</w:t>
            </w:r>
          </w:p>
        </w:tc>
        <w:tc>
          <w:tcPr>
            <w:tcW w:w="30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2"/>
              </w:rPr>
              <w:t>September 28,</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line="159" w:lineRule="exact"/>
              <w:rPr>
                <w:sz w:val="20"/>
                <w:szCs w:val="20"/>
                <w:color w:val="auto"/>
              </w:rPr>
            </w:pPr>
            <w:r>
              <w:rPr>
                <w:rFonts w:ascii="Arial" w:cs="Arial" w:eastAsia="Arial" w:hAnsi="Arial"/>
                <w:sz w:val="14"/>
                <w:szCs w:val="14"/>
                <w:color w:val="auto"/>
              </w:rPr>
              <w:t>2014</w:t>
            </w:r>
          </w:p>
        </w:tc>
        <w:tc>
          <w:tcPr>
            <w:tcW w:w="6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w w:val="83"/>
              </w:rPr>
              <w:t>2013</w:t>
            </w:r>
          </w:p>
        </w:tc>
        <w:tc>
          <w:tcPr>
            <w:tcW w:w="36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line="159" w:lineRule="exact"/>
              <w:rPr>
                <w:sz w:val="20"/>
                <w:szCs w:val="20"/>
                <w:color w:val="auto"/>
              </w:rPr>
            </w:pPr>
            <w:r>
              <w:rPr>
                <w:rFonts w:ascii="Arial" w:cs="Arial" w:eastAsia="Arial" w:hAnsi="Arial"/>
                <w:sz w:val="14"/>
                <w:szCs w:val="14"/>
                <w:color w:val="auto"/>
              </w:rPr>
              <w:t>2014</w:t>
            </w:r>
          </w:p>
        </w:tc>
        <w:tc>
          <w:tcPr>
            <w:tcW w:w="3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CCEEFF"/>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1,633</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3,960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(4,284)</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4,963</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From time-to-time, during the ordinary course of business, we provide standby letters of credit for certain contingent liabilities under contractual arrangements, including customer contracts. As of September 27, 2014, the maximum potential amount of future payments that Cohu could be required to make under these standby letters of credit was approximately $0.5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27, 2014</w:t>
      </w:r>
    </w:p>
    <w:p>
      <w:pPr>
        <w:spacing w:after="0" w:line="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Quarterly Report on Form 10-Q and our 2013 Annual Report on Form 10-K under the heading “Item 1A. Risk Factors”.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Cohu operates in two business segments. Our primary business is the development, manufacture, sale and servicing of test handling, burn-in, thermal sub-systems and MEMS test solutions for the global semiconductor industry through our wholly-owned subsidiaries, Delta Design, Inc., Rasco GmbH and Ismeca Semiconductor Holding SA. Our primary business is significantly dependent on capital expenditures by semiconductor manufacturers and test subcontractors, which in turn is dependent on the current and anticipated market demand for semiconductors that is subject to cyclical trends. We expect that the semiconductor equipment industry will continue to be cyclical and volatile in part because consumer electronics, the principal end market for integrated circuits, is a highly dynamic industry and demand is difficult to accurately predict.</w:t>
      </w:r>
    </w:p>
    <w:p>
      <w:pPr>
        <w:spacing w:after="0" w:line="12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Average orders for back-end semiconductor equipment, as reported by Semiconductor Equipment and Materials International (SEMI), decreased during the third quarter of 2014. Consistent with the broader market, the order momentum within our semiconductor equipment segment that started toward the end of fiscal 2013 and had continued on an upward trend through the first half of 2014 reached a peak in June and orders generated by our semiconductor equipment segment decreased approximately 13% in the third quarter of 2014. Despite the decrease, we continue to experience order demand across our product lines and customer base with our pick and place and gravity handlers benefiting in particular from continued demand from the automotive and industrial segments. Demand for our thermal subsystems is being driven by the continuing popularity of consumer products, including tablets and smartphones and the sustained improvement in the results within our turret business are being driven largely by the consumer, mobility and discrete markets and by increased demand from LED customers. We continue to be optimistic about the long-term prospects for the semiconductor equipment industry due to expanding applications, growing integrated circuit content in automotive, consumer and industrial applications, and the projected adoption of high brightness LEDs for the general lighting market.</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mobile microwave communications equipment business (Broadcast Microwave Services, Inc.) comprised approximately 10% of our consolidated revenues during the three-year period ended December 28, 2013 and was approximately 3.0% for the quarter ended September 27, 2014. Our microwave communications equipment business develops, manufactures and sells mobile microwave communications equipment, antenna systems and associated equipment. These products are used in the transmission of video, audio and telemetry. Applications for these microwave data-links include unmanned aerial vehicles (“UAVs”), public safety, security, surveillance and electronic news gathering. Customers for these products include government agencies, public safety organizations, UAV program contractors, television broadcasters and other commercial entities.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27, 2014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an investor’s understanding of our financial results and condition and require complex management judgment include:</w:t>
      </w:r>
    </w:p>
    <w:p>
      <w:pPr>
        <w:spacing w:after="0" w:line="37"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90" w:lineRule="exact"/>
        <w:rPr>
          <w:rFonts w:ascii="Arial" w:cs="Arial" w:eastAsia="Arial" w:hAnsi="Arial"/>
          <w:sz w:val="18"/>
          <w:szCs w:val="18"/>
          <w:color w:val="auto"/>
        </w:rPr>
      </w:pPr>
    </w:p>
    <w:p>
      <w:pPr>
        <w:ind w:left="440" w:right="380" w:hanging="324"/>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spacing w:after="0" w:line="50" w:lineRule="exact"/>
        <w:rPr>
          <w:rFonts w:ascii="Arial" w:cs="Arial" w:eastAsia="Arial" w:hAnsi="Arial"/>
          <w:sz w:val="18"/>
          <w:szCs w:val="18"/>
          <w:color w:val="auto"/>
        </w:rPr>
      </w:pPr>
    </w:p>
    <w:p>
      <w:pPr>
        <w:ind w:left="440" w:right="600" w:hanging="324"/>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 assets and liabilities, unrecognized tax benefits and the valuation allowance on deferred tax assets, which impact our tax provision;</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or amortization; and</w:t>
      </w:r>
    </w:p>
    <w:p>
      <w:pPr>
        <w:spacing w:after="0" w:line="50" w:lineRule="exact"/>
        <w:rPr>
          <w:rFonts w:ascii="Arial" w:cs="Arial" w:eastAsia="Arial" w:hAnsi="Arial"/>
          <w:sz w:val="18"/>
          <w:szCs w:val="18"/>
          <w:color w:val="auto"/>
        </w:rPr>
      </w:pPr>
    </w:p>
    <w:p>
      <w:pPr>
        <w:ind w:left="440" w:right="500" w:hanging="324"/>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5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3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5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 historical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2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The valuation of inventory requires us to estimate obsolete or excess inventory as well as inventory that is not of saleable quality. The determination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p>
    <w:p>
      <w:pPr>
        <w:spacing w:after="0" w:line="38" w:lineRule="exact"/>
        <w:rPr>
          <w:sz w:val="20"/>
          <w:szCs w:val="20"/>
          <w:color w:val="auto"/>
        </w:rPr>
      </w:pPr>
    </w:p>
    <w:p>
      <w:pPr>
        <w:ind w:firstLine="8"/>
        <w:spacing w:after="0" w:line="287"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September 27, 2014 was approximately $45.0 million, with a valuation allowance of approximately $37.1 million. Our deferred tax assets consist primarily of reserves and accruals that are not yet deductible for tax and tax credit and net operating loss carryforwards.</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Goodwill, Purchased Intangible Assets and Other Long-lived Assets</w:t>
      </w:r>
      <w:r>
        <w:rPr>
          <w:rFonts w:ascii="Arial" w:cs="Arial" w:eastAsia="Arial" w:hAnsi="Arial"/>
          <w:sz w:val="16"/>
          <w:szCs w:val="16"/>
          <w:color w:val="auto"/>
        </w:rPr>
        <w:t>: We evaluate goodwill for impairment annually and when an event occurs or circumstances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 We conduct our annual impairment test as of October 1st of each year.</w:t>
      </w:r>
    </w:p>
    <w:p>
      <w:pPr>
        <w:spacing w:after="0" w:line="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63"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color w:val="auto"/>
        </w:rPr>
        <w:t>We are subject to certain contingencies that arise in the ordinary course of our businesses which require us to assess the likelihood that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2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stock options is recorded based on the fair value of the award on its grant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For a description of accounting changes and recent accounting pronouncements, including the expected dates of adoption and estimated effects, if any, on our consolidated financial statements, see Note 1, “Recent Accounting Pronouncements” in Part I, Item 1 of this Form 10-Q.</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June 2014, we sold our video camera segment, Cohu Electronics, and its operating results are being presented as discontinued operations. All prior period amounts have been reclassified and unless otherwise indicated the discussion below covers the comparative results from continuing operations.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as a percentage of net sales: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300" w:type="dxa"/>
            <w:vAlign w:val="bottom"/>
            <w:gridSpan w:val="4"/>
          </w:tcPr>
          <w:p>
            <w:pPr>
              <w:jc w:val="right"/>
              <w:ind w:right="1460"/>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16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3"/>
              </w:rPr>
              <w:t>September 28,</w:t>
            </w: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3"/>
              </w:rPr>
              <w:t>September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sales</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(64.9)</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(77.3)</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(65.9)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22.7</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(10.2)</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(19.9)</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(12.8)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(14.9)</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(24.9)</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(22.1)%</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Fiscal 2014 Compared to Third Quarter of Fiscal 2013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Our consolidated net sales increased 68.7% to $94.4 million in 2014, compared to net sales of $56.0 million in 2013. Sales of semiconductor equipment in the third quarter of fiscal 2014 were $91.6 million, and increased $39.2 million or 74.7% from 2013 and represented 97.0% of consolidated net sales in 2014 versus 93.6% in 2013. Sales generated by our semiconductor equipment segment, in the third fiscal quarter of 2014, benefitted from increased shipments of products used by automotive, consumer and industrial power customers and increased demand for equipment used for processing discrete components and LEDs.</w:t>
      </w:r>
    </w:p>
    <w:p>
      <w:pPr>
        <w:spacing w:after="0" w:line="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Sales of mobile microwave communications equipment in the third quarter of fiscal 2014 were $2.9 million, representing 3.0% of consolidated net sales and decreased $0.7 million or 19.8% when compared to 2013. The decrease in business volume experienced by our microwave communication equipment segment during the third fiscal quarter of 2014 resulted from revenue deferrals made in accordance with our revenue recognition policy and delays in receiving customer orders.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Gross margin consists of net sales less cost of sales. Cost of sales consists primarily of the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increased to 35.1% in 2014 from 22.7% in 2013. In the third fiscal quarter of 2014 the improvement in our gross margin, as compared to the prior year, was generated by our semiconductor equipment segment and resulted from better operating leverage as a result of increased business volume, the benefits from the transition of our supply chain and manufacturing activities to Asia, favorable product mix and lower charges to cost of sales related to excess, obsolete and lower of cost or market inventory adjustments.</w:t>
      </w:r>
    </w:p>
    <w:p>
      <w:pPr>
        <w:spacing w:after="0" w:line="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gross margin is also impacted by charges to cost of sales related to excess, obsolete and lower of cost or market inventory adjustments. We compute the majority of our excess and obsolete inventory reserve requirements using a one-year inventory usage forecast. In the third quarter of 2014 we recorded charges to cost of sales of approximately $1.9 million for excess and obsolete inventory. In the third quarter of fiscal 2013, we recorded charges to cost of sales of approximately $4.7 million for excess and obsolete inventory, primarily semiconductor equipment related to weakness in the personal computer market. While we believe our reserves for excess and obsolete inventory and lower of cost or market concerns are adequate to cover known exposures at September 27, 2014, reductions in customer forecasts or continued modifications to products, as a result of our failure to meet specifications or other customer requirements, may result in additional charges to operations that could negatively impact our gross margin in future periods.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90"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R&amp;D expense was $9.7 million or 10.2% of net sales in 2014, compared to</w:t>
      </w:r>
    </w:p>
    <w:p>
      <w:pPr>
        <w:ind w:right="60"/>
        <w:spacing w:after="0" w:line="255" w:lineRule="auto"/>
        <w:rPr>
          <w:sz w:val="20"/>
          <w:szCs w:val="20"/>
          <w:color w:val="auto"/>
        </w:rPr>
      </w:pPr>
      <w:r>
        <w:rPr>
          <w:rFonts w:ascii="Arial" w:cs="Arial" w:eastAsia="Arial" w:hAnsi="Arial"/>
          <w:sz w:val="18"/>
          <w:szCs w:val="18"/>
          <w:color w:val="auto"/>
        </w:rPr>
        <w:t>$11.1 million or 19.9% in 2013, decreasing in dollars as a result of product development programs that have concluded or are nearing completion as planned, and cost control measures and headcount reductions which occurred throughout 2013 within both our semiconductor and microwave communications equipment segments.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was $14.1 million or 14.9% in 2014, compared to $14.0 million or 24.9% in 2013, increasing in absolute dollars as a result of higher business volume within our semiconductor equipment segment. SG&amp;A expense in the third fiscal quarter of 2014 benefitted from the strengthening of the U.S. Dollar against the Euro and Swiss Franc which resulted in a foreign currency translation gain of $1.0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Ordinarily, interim tax provisions are calculated using the estimated effective tax rate (“ETR”) expected to be applicable for the full fiscal year. However, when a reliable estimate of the annual ETR cannot be made, the actual ETR for the year-to-date period may be the best estimate of the annual ETR. For the three months ended September 27, 2014 and September 28, 2013 we used the actual year-to-date ETR in computing our tax provision or benefit as a reliable estimate of the annual ETR cannot be made as relatively small changes in our projected income or loss produce a significant variation in our ETR. The actual year-to-date ETR on income or loss from continuing operations for the three months ended September 27, 2014 and September 28, 2013, was 26.5% and 10.4%, respectively. The tax provision or benefit on income or loss from continuing operations in 2014 and 2013 differs from the U.S. federal statutory rate primarily due to the inability to benefit our domestic losses other than to the extent we have a tax provision on income from items that are excluded from continuing operations, foreign income taxed at lower rates, changes in our deferred tax asset valuation allowance, state taxes and changes and interest related to unrecognized tax benefits.</w:t>
      </w:r>
    </w:p>
    <w:p>
      <w:pPr>
        <w:spacing w:after="0" w:line="2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There was no material change to our unrecognized tax benefits and interest accrued related to unrecognized tax benefits during the three months ended September 27,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 and Net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factors set forth above, our income from continuing operations was $6.9 million in 2014, compared to a loss from continuing operations of</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$11.1 million in 2013. Including the results of our discontinued video segment, our net income in 2014 was $7.5 million compared to a net loss of $10.8 million in the corresponding period of 2013.</w:t>
      </w:r>
    </w:p>
    <w:p>
      <w:pPr>
        <w:spacing w:after="0" w:line="132" w:lineRule="exact"/>
        <w:rPr>
          <w:sz w:val="20"/>
          <w:szCs w:val="20"/>
          <w:color w:val="auto"/>
        </w:rPr>
      </w:pPr>
    </w:p>
    <w:p>
      <w:pPr>
        <w:ind w:right="5460"/>
        <w:spacing w:after="0" w:line="347" w:lineRule="auto"/>
        <w:rPr>
          <w:sz w:val="20"/>
          <w:szCs w:val="20"/>
          <w:color w:val="auto"/>
        </w:rPr>
      </w:pPr>
      <w:r>
        <w:rPr>
          <w:rFonts w:ascii="Arial" w:cs="Arial" w:eastAsia="Arial" w:hAnsi="Arial"/>
          <w:sz w:val="18"/>
          <w:szCs w:val="18"/>
          <w:b w:val="1"/>
          <w:bCs w:val="1"/>
          <w:color w:val="auto"/>
        </w:rPr>
        <w:t xml:space="preserve">First Nine Months of Fiscal 2014 Compared to First Nine Months of Fiscal 2013 </w:t>
      </w:r>
      <w:r>
        <w:rPr>
          <w:rFonts w:ascii="Arial" w:cs="Arial" w:eastAsia="Arial" w:hAnsi="Arial"/>
          <w:sz w:val="18"/>
          <w:szCs w:val="18"/>
          <w:b w:val="1"/>
          <w:bCs w:val="1"/>
          <w:i w:val="1"/>
          <w:iCs w:val="1"/>
          <w:color w:val="auto"/>
        </w:rPr>
        <w:t>Net Sales</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consolidated net sales increased 39.1% to $237.2 million in 2014, compared to net sales of $170.4 million in 2013. Sales of semiconductor equipment in the first nine months of fiscal 2014 were $226.0 million, and increased $65.7 million or 41.0% from 2013 and represented 95.3% of consolidated net sales in 2014 versus 94.1% in 2013. The increase in sales within our semiconductor equipment business in the first nine months of fiscal 2014 was a result of increased shipments of products used by automotive, consumer and industrial power customers and increased demand for equipment used for processing discrete components and LEDs.</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Sales of mobile microwave communications equipment in the first nine months of fiscal 2014 were $11.1 million, representing 4.7% of consolidated net sales, and increased $1.0 million or 9.9% when compared to the same period of fiscal 2013. The increase in sales of our microwave communications business during the first nine months of fiscal 2014 resulted from higher product shipments made to government agencies and state and local law enforcement groups for use in security and surveillance infrastructure projects.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90"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Our gross margin, as a percentage of net sales, increased to 34.1% in 2014 from 27.1% in 2013. Gross margin in the first nine months of fiscal 2014 improved as compared to the prior year as a result of increased business volume within our semiconductor equipment segment which generated better operating leverage, the benefits from the transition of our supply chain and manufacturing activities to Asia and favorable product mix. Gross margin in the first nine months of fiscal 2013 was negatively impacted by the deferral of certain revenue with bifurcated payment terms in accordance with our revenue recognition policy, and the amortization of $1.0 million of a purchase accounting inventory step-up adjustment recorded as a result of our acquisition of Ismeca. During the first nine months of fiscal 2014 and 2013 we recorded net charges to cost of sales of approximately $4.7 million and $6.7 million for excess and obsolete inventory,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R&amp;D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was $30.4 million or 12.8% of net sales in 2014, compared to $35.2 million or 20.7% in 2013. The decrease 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R&amp;D spending during the first nine months of 2014 resulted from product development programs that have concluded or are nearing completion, as planned, and cost control measures and headcount reductions which occurred throughout 2013 within both our semiconductor and microwave communications equipment segments.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SG&amp;A Expense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SG&amp;A expense was $43.4 million or 18.3% of net sales in 2014, compared to $41.4 million or 24.3% in 2013. The increase in SG&amp;A expense in the first nine months of fiscal 2014, in absolute dollars, was a result of increased business volume within our semiconductor equipment segment. SG&amp;A expense in 2014 included $1.7 million of manufacturing transition and employee severance costs and was also impacted by a $0.6 million increase in employee share based compensation expense. The first nine months of fiscal 2013 included $1.1 million of costs incurred in connection with transitioning our semiconductor equipment manufacturing to Asia and $0.4 million of acquisition related costs incurred in connection with completing the purchase of Ismeca.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For the nine months ended September 27, 2014 and September 28, 2013 we used the actual year-to-date ETR in computing our tax provision or benefit as a reliable estimate of the annual ETR cannot be made as relatively small changes in our projected income or loss produce a significant variation in our ETR. The actual year-to-date ETR on income or loss from continuing operations for the nine months ended September 27, 2014 and September 28, 2013, was 36.2% and 9.0%, respectively. The tax provision or benefit on income or loss from continuing operations in 2014 and 2013 differs from the U.S. federal statutory rate primarily due to the inability to benefit our domestic losses other than to the extent we have a tax provision on income from items that are excluded from continuing operations, foreign income taxed at lower rates, changes in our deferred tax asset valuation allowance, state taxes and changes and interest related to unrecognized tax benefits.</w:t>
      </w:r>
    </w:p>
    <w:p>
      <w:pPr>
        <w:spacing w:after="0" w:line="37"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was no material change to our unrecognized tax benefits and interest accrued related to unrecognized tax benefits during the nine months ended September 27,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 and Net Income</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a result of the factors set forth above, our income from continuing operations was $4.5 million in 2014 compared to a loss from continuing operations of $27.7 million in 2013. Including the results of our discontinued video segment, which included a gain on disposal of $4.1 million, our net income in 2014 was $8.3 million compared to a net loss of $27.0 million in the corresponding period of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primary business is dependent on capital expenditures by semiconductor manufacturers and test subcontractors that are, in turn, dependent on the current and anticipated market demand for semiconductors. The cyclical and volatile nature of demand for semiconductor equipment, our primary industry, makes estimates of future revenues, results of operations and net cash flows difficult.</w:t>
      </w:r>
    </w:p>
    <w:p>
      <w:pPr>
        <w:spacing w:after="0" w:line="5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and to fund new products and product enhancements primarily through research and development. As of September 27, 2014, $40.0 million of our cash and cash equivalents was held by our foreign subsidiaries. If these funds are needed for our operations in the U.S., we may be required to accrue and pay U.S. taxes if we repatriate these funds. Our intent is to indefinitely reinvest these funds in our foreign operations and we have no current plans that would require us to repatriate these funds to the 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720" w:type="dxa"/>
            <w:vAlign w:val="bottom"/>
            <w:gridSpan w:val="2"/>
          </w:tcPr>
          <w:p>
            <w:pPr>
              <w:ind w:left="1680"/>
              <w:spacing w:after="0"/>
              <w:rPr>
                <w:sz w:val="20"/>
                <w:szCs w:val="20"/>
                <w:color w:val="auto"/>
              </w:rPr>
            </w:pPr>
            <w:r>
              <w:rPr>
                <w:rFonts w:ascii="Arial" w:cs="Arial" w:eastAsia="Arial" w:hAnsi="Arial"/>
                <w:sz w:val="14"/>
                <w:szCs w:val="14"/>
                <w:color w:val="auto"/>
              </w:rPr>
              <w:t>September 27,</w:t>
            </w:r>
          </w:p>
        </w:tc>
        <w:tc>
          <w:tcPr>
            <w:tcW w:w="1280" w:type="dxa"/>
            <w:vAlign w:val="bottom"/>
            <w:gridSpan w:val="2"/>
          </w:tcPr>
          <w:p>
            <w:pPr>
              <w:ind w:left="260"/>
              <w:spacing w:after="0"/>
              <w:rPr>
                <w:sz w:val="20"/>
                <w:szCs w:val="20"/>
                <w:color w:val="auto"/>
              </w:rPr>
            </w:pPr>
            <w:r>
              <w:rPr>
                <w:rFonts w:ascii="Arial" w:cs="Arial" w:eastAsia="Arial" w:hAnsi="Arial"/>
                <w:sz w:val="14"/>
                <w:szCs w:val="14"/>
                <w:color w:val="auto"/>
              </w:rPr>
              <w:t>December 28,</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122"/>
              <w:spacing w:after="0"/>
              <w:rPr>
                <w:sz w:val="20"/>
                <w:szCs w:val="20"/>
                <w:color w:val="auto"/>
              </w:rPr>
            </w:pPr>
            <w:r>
              <w:rPr>
                <w:rFonts w:ascii="Arial" w:cs="Arial" w:eastAsia="Arial" w:hAnsi="Arial"/>
                <w:sz w:val="14"/>
                <w:szCs w:val="14"/>
                <w:color w:val="auto"/>
              </w:rPr>
              <w:t>Percentage</w:t>
            </w:r>
          </w:p>
        </w:tc>
      </w:tr>
      <w:tr>
        <w:trPr>
          <w:trHeight w:val="159"/>
        </w:trPr>
        <w:tc>
          <w:tcPr>
            <w:tcW w:w="43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18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9"/>
              <w:spacing w:after="0" w:line="159" w:lineRule="exact"/>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9"/>
              <w:spacing w:after="0" w:line="159" w:lineRule="exact"/>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tcBorders>
            <w:gridSpan w:val="2"/>
          </w:tcPr>
          <w:p>
            <w:pPr>
              <w:jc w:val="right"/>
              <w:ind w:right="232"/>
              <w:spacing w:after="0" w:line="159" w:lineRule="exact"/>
              <w:rPr>
                <w:sz w:val="20"/>
                <w:szCs w:val="20"/>
                <w:color w:val="auto"/>
              </w:rPr>
            </w:pPr>
            <w:r>
              <w:rPr>
                <w:rFonts w:ascii="Arial" w:cs="Arial" w:eastAsia="Arial" w:hAnsi="Arial"/>
                <w:sz w:val="14"/>
                <w:szCs w:val="14"/>
                <w:color w:val="auto"/>
              </w:rPr>
              <w:t>Increase</w:t>
            </w:r>
          </w:p>
        </w:tc>
        <w:tc>
          <w:tcPr>
            <w:tcW w:w="1060" w:type="dxa"/>
            <w:vAlign w:val="bottom"/>
            <w:tcBorders>
              <w:bottom w:val="single" w:sz="8" w:color="auto"/>
            </w:tcBorders>
          </w:tcPr>
          <w:p>
            <w:pPr>
              <w:jc w:val="right"/>
              <w:ind w:right="222"/>
              <w:spacing w:after="0" w:line="159" w:lineRule="exact"/>
              <w:rPr>
                <w:sz w:val="20"/>
                <w:szCs w:val="20"/>
                <w:color w:val="auto"/>
              </w:rPr>
            </w:pPr>
            <w:r>
              <w:rPr>
                <w:rFonts w:ascii="Arial" w:cs="Arial" w:eastAsia="Arial" w:hAnsi="Arial"/>
                <w:sz w:val="14"/>
                <w:szCs w:val="14"/>
                <w:color w:val="auto"/>
              </w:rPr>
              <w:t>Change</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8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61,733</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52,868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8,865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Working capital</w:t>
            </w:r>
          </w:p>
        </w:tc>
        <w:tc>
          <w:tcPr>
            <w:tcW w:w="1820" w:type="dxa"/>
            <w:vAlign w:val="bottom"/>
          </w:tcPr>
          <w:p>
            <w:pPr>
              <w:ind w:left="16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9"/>
              <w:spacing w:after="0"/>
              <w:rPr>
                <w:sz w:val="20"/>
                <w:szCs w:val="20"/>
                <w:color w:val="auto"/>
              </w:rPr>
            </w:pPr>
            <w:r>
              <w:rPr>
                <w:rFonts w:ascii="Arial" w:cs="Arial" w:eastAsia="Arial" w:hAnsi="Arial"/>
                <w:sz w:val="18"/>
                <w:szCs w:val="18"/>
                <w:color w:val="auto"/>
                <w:w w:val="95"/>
              </w:rPr>
              <w:t>140,614</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9"/>
              <w:spacing w:after="0"/>
              <w:rPr>
                <w:sz w:val="20"/>
                <w:szCs w:val="20"/>
                <w:color w:val="auto"/>
              </w:rPr>
            </w:pPr>
            <w:r>
              <w:rPr>
                <w:rFonts w:ascii="Arial" w:cs="Arial" w:eastAsia="Arial" w:hAnsi="Arial"/>
                <w:sz w:val="18"/>
                <w:szCs w:val="18"/>
                <w:color w:val="auto"/>
                <w:w w:val="92"/>
              </w:rPr>
              <w:t>125,837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w w:val="87"/>
              </w:rPr>
              <w:t>14,777</w:t>
            </w: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56"/>
        </w:trPr>
        <w:tc>
          <w:tcPr>
            <w:tcW w:w="4360" w:type="dxa"/>
            <w:vAlign w:val="bottom"/>
          </w:tcPr>
          <w:p>
            <w:pPr>
              <w:spacing w:after="0"/>
              <w:rPr>
                <w:sz w:val="24"/>
                <w:szCs w:val="24"/>
                <w:color w:val="auto"/>
              </w:rPr>
            </w:pPr>
          </w:p>
        </w:tc>
        <w:tc>
          <w:tcPr>
            <w:tcW w:w="1820" w:type="dxa"/>
            <w:vAlign w:val="bottom"/>
          </w:tcPr>
          <w:p>
            <w:pPr>
              <w:jc w:val="right"/>
              <w:ind w:right="757"/>
              <w:spacing w:after="0"/>
              <w:rPr>
                <w:sz w:val="20"/>
                <w:szCs w:val="20"/>
                <w:color w:val="auto"/>
              </w:rPr>
            </w:pPr>
            <w:r>
              <w:rPr>
                <w:rFonts w:ascii="Arial" w:cs="Arial" w:eastAsia="Arial" w:hAnsi="Arial"/>
                <w:sz w:val="18"/>
                <w:szCs w:val="18"/>
                <w:color w:val="auto"/>
              </w:rPr>
              <w:t>23</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27, 2014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Operating cash flows consist of our net income, adjusted for non-cash expenses and changes in operating assets and liabilities. Non-cash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include depreciation and amortization, non-cash share-based compensation expense and deferred income taxes. Our net cash provided by operating activities in the first nine months of fiscal 2014 totaled $5.0 million. Cash provided by operating activities was impacted by changes in current assets and liabilities and, excluding the impact of the sale of Cohu Electronics, included increases in accounts receivables of $28.4 million; inventory of $6.0 million; deferred profit of $5.2 million; accounts payable of $8.8 million; accrued compensation, warranty and other liabilities of $6.5 million and income taxes payable of $1.4 million. The increase in accounts receivables resulted from a sequential increase in product shipments made by our semiconductor equipment segment during the second and third quarters of 2014 and the timing of the resulting cash conversion cycle. Material purchases made by our semiconductor equipment segment to fulfill orders for semiconductor equipment led to an increase in our inventory balance and deferred profit increased due to revenue deferrals of semiconductor equipment shipments made in accordance with our revenue recognition policy. The increases in accounts payable and accrued compensation, warranty and other liabilities resulted from higher business volume, the timing of cash payments made to vendors and our employees and the accrual of employee severance by our microwave communication equipment segment related to its geographic consolidation plan. The increase in income taxes payable is a result of an increase in taxable income generated in fiscal 2014.</w:t>
      </w:r>
    </w:p>
    <w:p>
      <w:pPr>
        <w:spacing w:after="0" w:line="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Investing cash flows consist primarily of cash used for capital expenditures in support of our businesses, proceeds from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maturities, asset disposals and divestitures and cash used for purchases of investments and business acquisitions. Our net cash provided by investing activities in the first nine months of fiscal 2014 totaled $8.6 million and was primarily the result of the sale of Cohu Electronics on June 6, 2014 for $9.9 million. The decision to sell Cohu Electronics resulted from Cohu management’s determination that this industry segment was no longer a strategic fit within our organization. Additions to property, plant and equipment in the first nine months of fiscal 2014 were $1.2 million and were made to support the operating and development activities of our semiconductor equipment and microwave communication businesses.</w:t>
      </w:r>
    </w:p>
    <w:p>
      <w:pPr>
        <w:spacing w:after="0" w:line="3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Cash flows from financing activities consist primarily of net proceeds from the issuance of common stock under our stock option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stock purchase plans and cash used to pay dividends to our stockholders. We issue stock options and maintain an employee stock purchase plan as components of our overall employee compensation. In the first nine months of fiscal 2014, we generated $1.2 million issuing common stock under our employee stock plans and we paid dividends totaling $4.5 million, or $0.18 per common share. Future quarterly dividends are subject to our cash liquidity, capital availability and periodic determinations by our Board of Directors that cash dividends are in the best interests of our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letters of credit. As of September 27, 2014, we had approximately $0.5 million of standby letters of credit outstanding under the Secured Facility. We also have credit agreements with multiple financial institutions under which they administer lines of credit on behalf of our wholly owned Ismeca subsidiary. The agreements provide Ismeca with 2.5 million Swiss Francs of available credit and at September 27, 2014 no amounts were outstanding. We expect that we will continue to make capital expenditures to support our business and we anticipate that present working capital will be sufficient to meet our operating requirements for at least the next twelve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that have not changed materially from those disclosed in our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on Form 10-K for the year ended December 28, 2013.</w:t>
      </w:r>
    </w:p>
    <w:p>
      <w:pPr>
        <w:spacing w:after="0" w:line="5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 xml:space="preserve">Purchase Commitments: </w:t>
      </w:r>
      <w:r>
        <w:rPr>
          <w:rFonts w:ascii="Arial" w:cs="Arial" w:eastAsia="Arial" w:hAnsi="Arial"/>
          <w:sz w:val="16"/>
          <w:szCs w:val="16"/>
          <w:color w:val="auto"/>
        </w:rPr>
        <w:t>From time to time, we enter into commitments with our vendors and outsourcing partners to purchase inventory at fixed prices 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27, 2014</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27, 2014, the maximum potential amount of future payments that we could be required to make under these standby letters of credit was approximately $0.5 million. No liability has been recorded in connection with these arrangements beyond those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Interest Rate Risk.</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At September 27, 2014, our investment portfolio included short-term, fixed-income investment securities with a fair value of approximately $1.2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September 27, 2014, we had no investments with loss positions.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conduct business on a global basis in a number of major international currencies. As such, we are exposed to adverse as well as beneficial movements in foreign currency exchange rates. The majority of our sales are denominated in U.S. dollars except for certain of our revenues that are denominated in Euros and Swiss Francs. Certain expenses incurred by our non-U.S. operations, such as employee payroll and benefits as well as some raw materials purchases and other expenses are denominated and paid in local currency.</w:t>
      </w:r>
    </w:p>
    <w:p>
      <w:pPr>
        <w:spacing w:after="0" w:line="6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considered a hypothetical ten percent adverse movement in foreign exchange rates to the underlying exposures described above and believe that such a market movement would not have a material effect on our consolidated financial position,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ind w:right="120" w:firstLine="8"/>
        <w:spacing w:after="0" w:line="301" w:lineRule="auto"/>
        <w:tabs>
          <w:tab w:leader="none" w:pos="24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Under the supervision and with the participation of our management, including our principal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2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57" w:lineRule="exact"/>
        <w:rPr>
          <w:sz w:val="20"/>
          <w:szCs w:val="20"/>
          <w:color w:val="auto"/>
        </w:rPr>
      </w:pPr>
    </w:p>
    <w:p>
      <w:pPr>
        <w:ind w:right="440" w:firstLine="8"/>
        <w:spacing w:after="0" w:line="275" w:lineRule="auto"/>
        <w:tabs>
          <w:tab w:leader="none" w:pos="25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have been no changes in our internal control over financial reporting during the most recent fiscal quarter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affected, or is reasonable likely to materially affect our internal control over financial reporting.</w:t>
      </w:r>
    </w:p>
    <w:p>
      <w:pPr>
        <w:spacing w:after="0" w:line="4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May 14, 2013, the committee of Sponsoring Organizations of the Treadway Commission (COSO) issued an updated version of its Internal Control – Integrated Framework (2013 Framework). Originally issued in 1992 (1992 Framework), the frameworks helps organizations design, implement and evaluate the effectiveness of internal control concepts and simplify their use and application. The 1992 Framework remains available during the transition period, which extends to December 15, 2014, after which time COSO will consider it as superseded by the 2013 Framework. As of September 27, 2014, Cohu continues to utilize the 1992 Framework and will transition to the 2013 Framework by the end of 2014.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information set forth above under Note 9 contained in the “Notes to Unaudited Condensed Consolidated Financial Statements” of this Form 10-Q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risks described below may not be the only risks we face. Additional risks that we do not currently believe are material may also impair our business operations. The risk factors set forth below with an asterisk (*) next to the title contain changes to the description of the risk factors associated with our business as previously disclosed in Item 1A to our 2013 Annual Report on Form 10-K. If any of the events or circumstances described in the following risks occur, our business, financial condition, results of operations or cash flows could suffer, and the trading price of our common stock and our market capitalization could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investments and divestitures.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such as our acquisition of Ismeca, which was completed on December 31, 2012. Acquisitions and investments involve numerous risks, including, but not limited to:</w:t>
      </w:r>
    </w:p>
    <w:p>
      <w:pPr>
        <w:spacing w:after="0" w:line="59"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and increased costs in connection with integration of the personnel, operations, technologies and products of acquired businesses;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loss of key employees or customers of Cohu or acquired businesses;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commercialize purchased technology;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may be required to finance future acquisitions and investments through a combination of borrowings, proceeds from equity or debt offerings and the use of cash, cash equivalents and short-term investments.</w:t>
      </w:r>
    </w:p>
    <w:p>
      <w:pPr>
        <w:spacing w:after="0" w:line="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With respect to divestitures, we may divest businesses that do not meet our strategic objectives, or do not meet our growth or profitability targets and may not be able to complete proposed divestitures on terms commercially favorable to us.</w:t>
      </w:r>
    </w:p>
    <w:p>
      <w:pPr>
        <w:spacing w:after="0" w:line="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September 27, 2014 we had goodwill and net purchased intangible assets balances of $67.9 million and $36.5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59"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which can affect demand and increase our costs.</w:t>
      </w:r>
    </w:p>
    <w:p>
      <w:pPr>
        <w:spacing w:after="0" w:line="9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implementation of our Enterprise Resource Planning software could disrupt our business which could decrease our sales, earnings and liquidity.</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are in the process of finalizing the implementation of an Enterprise Resource Planning (ERP) software system which may not result in improvements that outweigh its costs and may disrupt our operations. Our inability to mitigate existing and future disruptions could decrease our sales, earnings and liquidity. The ERP system implementation subjects us to substantial costs and inherent risks associated with migrating from our legacy systems. These costs and risks could include, but are not limited to:</w:t>
      </w:r>
    </w:p>
    <w:p>
      <w:pPr>
        <w:spacing w:after="0" w:line="62"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operating expenditures;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our domestic and international supply chains;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fill customer orders accurately and on a timely basis, or at all;</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process payments to suppliers, vendors and associates accurately and in a timely manner;</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or the ineffectiveness of our internal control environment;</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fulfill our SEC or other governmental reporting requirements in a timely or accurate manner;</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fulfill federal, state and local tax filing requirements in a timely or accurate manner;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demands on management and staff time to the detriment of other corporate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2013, 2012 and 2011, we recorded pre-tax inventory-related charges of approximately $8.1 million, $8.9 million, and $5.8 million, respectively, primarily as a result of changes in customer forecasts.</w:t>
      </w:r>
    </w:p>
    <w:p>
      <w:pPr>
        <w:spacing w:after="0" w:line="120" w:lineRule="exact"/>
        <w:rPr>
          <w:sz w:val="20"/>
          <w:szCs w:val="20"/>
          <w:color w:val="auto"/>
        </w:rPr>
      </w:pPr>
    </w:p>
    <w:p>
      <w:pPr>
        <w:ind w:right="220" w:firstLine="8"/>
        <w:spacing w:after="0" w:line="268" w:lineRule="auto"/>
        <w:tabs>
          <w:tab w:leader="none" w:pos="132"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5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believe that our existing sources of liquidity, including cash resources and cash provided by operating activities will provide sufficient resources to meet our working capital and cash requirements for at least the next twelve months. In the event we are required, or elect, to raise additional funds, we may be unable to do so on favorable terms, or at all, and may incur expenses in raising the additional funds and future indebtedness could adversely affect our operating results and severely limit our ability to plan for, or react to, changes in our business or industry. We could also be limited by financial and other restrictive covenants in credit arrangements, including limitations on our borrowing of additional funds and issuing dividends. If we choose to issue new equity securities, existing stockholders may experience dilution, or the new equity securities may have rights, preferences or privileges senior to those of existing holders of common stock.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semiconductor test handler industry is intensely competitive and we face substantial competition from numerous companies throughout the world. The test handler industry, while relatively small in terms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5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28, 2013. Future inventory write-offs and increased inventory reserve requirements could have a material adverse impact on our results of operations and financial condition.</w:t>
      </w:r>
    </w:p>
    <w:p>
      <w:pPr>
        <w:spacing w:after="0" w:line="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MEMS, system-level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operations and financial results depend on worldwide economic conditions and their impact on levels of business spending, which have deteriorated significantly in many countries and regions and may remain depressed for the foreseeable future.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small number of customers of our semiconductor equipment segment have been responsible for a significant portion of our net sales. During the past five years, the percentage of our sales derived from these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participate in the memory test handler market.</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Pick-and-place handlers used in memory test applications account for a significant portion of the worldwide test handler market. We do not currently participate in the memory market segment; therefore our total available sales market is limited.</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5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18" w:lineRule="exact"/>
        <w:rPr>
          <w:sz w:val="20"/>
          <w:szCs w:val="20"/>
          <w:color w:val="auto"/>
        </w:rPr>
      </w:pPr>
    </w:p>
    <w:p>
      <w:pPr>
        <w:jc w:val="both"/>
        <w:ind w:right="160" w:firstLine="8"/>
        <w:spacing w:after="0" w:line="357" w:lineRule="auto"/>
        <w:tabs>
          <w:tab w:leader="none" w:pos="132" w:val="left"/>
        </w:tabs>
        <w:numPr>
          <w:ilvl w:val="0"/>
          <w:numId w:val="1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are in the process of transitioning our manufacturing to Asia. Our inability to manage multiple manufacturing sites during this transition and secure raw materials meeting our quality, cost and other requirements, or failures by our suppliers to perform, could harm our sales, service levels and reputation.</w:t>
      </w:r>
    </w:p>
    <w:p>
      <w:pPr>
        <w:spacing w:after="0" w:line="290" w:lineRule="auto"/>
        <w:rPr>
          <w:sz w:val="20"/>
          <w:szCs w:val="20"/>
          <w:color w:val="auto"/>
        </w:rPr>
      </w:pPr>
      <w:r>
        <w:rPr>
          <w:rFonts w:ascii="Arial" w:cs="Arial" w:eastAsia="Arial" w:hAnsi="Arial"/>
          <w:sz w:val="16"/>
          <w:szCs w:val="16"/>
          <w:color w:val="auto"/>
        </w:rPr>
        <w:t>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Therefore, if we should fail to effectively manage overseas manufacturing operations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If our overseas manufacturing locations are unable to meet our manufacturing requirements in a timely manner, our ability to ship products and to realize the related revenues when anticipated could be materially affected.</w:t>
      </w:r>
    </w:p>
    <w:p>
      <w:pPr>
        <w:spacing w:after="0" w:line="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suppliers are subject to the fluctuations in general economic cycles, and the global economic conditions may impact their ability to operate their business. They may also be impacted by the increasing costs of raw materials, labor and distribution, resulting in demands for less attractive contract terms or an inability for them to meet our requirements or conduct their own businesses. The performance and financial condition of a supplier may cause us to alter our business terms or to cease doing business with a particular supplier, or change our sourcing practices generally, which could in turn adversely affect our own business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Kolbermoor, Germany and La Chaux-de-Fonds, Switzerland areas, where the majority of our development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1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occurrence of natural disasters and geopolitical instability caused by terrorist attacks and other threats may adversely impact our operations and sales.</w:t>
      </w:r>
    </w:p>
    <w:p>
      <w:pPr>
        <w:spacing w:after="0" w:line="12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Our Asian sales and service headquarters is located in Singapore and the majority of our sales are made to destinations in Asia. In addition, we have manufacturing plants in the Philippines, Malaysia and China.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we have customers throughout the Middle East and terrorist attacks, protests or other threats in this region may cause geopolitical instability, which may have an adverse impact on our business, results of operations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tax provisions or exposure to additional income tax liabilities could affect our profitability.</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subject to income and other taxes in the U.S. and numerous foreign jurisdictions. Our tax liabilities are affected by, among other things, the amounts our affiliated entities charge each other for intercompany transactions. We may be subject to ongoing tax examinations in various jurisdictions. Tax authorities may disagree with our intercompany charges or other matters and assess additional taxes. While we regularly assess the likely outcomes of these examinations in order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9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Certain products and services that we offer require compliance with United States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to government regulations regarding sale and export, we are subject to other regulations regarding our products. For example, the U.S. Securities and Exchange Commission has recently adopted disclosure rules for companies that use conflict minerals in their products, with substantial supply chain verification requirements in the event that the materials come from, or could have come from, the Democratic Republic of the Congo or adjoining countries. These new rules and verification requirements will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w:t>
      </w:r>
    </w:p>
    <w:p>
      <w:pPr>
        <w:spacing w:after="0" w:line="12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microwave communications equipment segment depends on governments for a significant portion of its sales, creating uncertainty in the timing of and funding for projected contracts.</w:t>
      </w:r>
    </w:p>
    <w:p>
      <w:pPr>
        <w:spacing w:after="0" w:line="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 significant portion of the sales of BMS, Inc. are made to federal, state, local and foreign government agencies as a prime or sub-contractor. Government spending has historically been cyclical. A decrease in government spending or changes in spending allocation could result in one or more of the programs being reduced, delayed or terminated. Reductions or delays in the funding process or changes in funding caused by automatic budget cuts (“sequestration”) or unforeseen world events can impact the timing of available funds or can lead to changes in program content or termination. The loss of anticipated funding or the termination of multiple or large programs could have an adverse effect on our future sales and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security breaches.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90"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cyclical nature of the semiconductor equipment industry;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intangible and deferred tax asset writedowns.</w:t>
      </w:r>
    </w:p>
    <w:p>
      <w:pPr>
        <w:spacing w:after="0" w:line="9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$7.96 to $17.18.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3(i).1</w:t>
            </w:r>
          </w:p>
        </w:tc>
        <w:tc>
          <w:tcPr>
            <w:tcW w:w="10460" w:type="dxa"/>
            <w:vAlign w:val="bottom"/>
          </w:tcPr>
          <w:p>
            <w:pPr>
              <w:ind w:left="220"/>
              <w:spacing w:after="0"/>
              <w:rPr>
                <w:sz w:val="20"/>
                <w:szCs w:val="20"/>
                <w:color w:val="auto"/>
              </w:rPr>
            </w:pPr>
            <w:r>
              <w:rPr>
                <w:rFonts w:ascii="Arial" w:cs="Arial" w:eastAsia="Arial" w:hAnsi="Arial"/>
                <w:sz w:val="18"/>
                <w:szCs w:val="18"/>
                <w:color w:val="auto"/>
                <w:w w:val="89"/>
              </w:rPr>
              <w:t>Amended and Restated Certificate of Incorporation of Cohu, Inc. incorporated herein by reference to Exhibit 3.1(a) from the Cohu, Inc. Form 10-</w:t>
            </w:r>
          </w:p>
        </w:tc>
      </w:tr>
      <w:tr>
        <w:trPr>
          <w:trHeight w:val="222"/>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rPr>
              <w:t>Q for the quarterly period ended June 30, 1999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3(i).2</w:t>
            </w:r>
          </w:p>
        </w:tc>
        <w:tc>
          <w:tcPr>
            <w:tcW w:w="10460" w:type="dxa"/>
            <w:vAlign w:val="bottom"/>
          </w:tcPr>
          <w:p>
            <w:pPr>
              <w:ind w:left="220"/>
              <w:spacing w:after="0"/>
              <w:rPr>
                <w:sz w:val="20"/>
                <w:szCs w:val="20"/>
                <w:color w:val="auto"/>
              </w:rPr>
            </w:pPr>
            <w:r>
              <w:rPr>
                <w:rFonts w:ascii="Arial" w:cs="Arial" w:eastAsia="Arial" w:hAnsi="Arial"/>
                <w:sz w:val="18"/>
                <w:szCs w:val="18"/>
                <w:color w:val="auto"/>
                <w:w w:val="89"/>
              </w:rPr>
              <w:t>Certificate of Amendment of Amended and Restated Certificate of Incorporation of Cohu, Inc. incorporated herein by reference to Exhibit 4.1(a)</w:t>
            </w:r>
          </w:p>
        </w:tc>
      </w:tr>
      <w:tr>
        <w:trPr>
          <w:trHeight w:val="222"/>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rPr>
              <w:t>from the Cohu, Inc. Form S-8 filed with the Securities and Exchange Commission on June 30, 2000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3(ii)</w:t>
            </w:r>
          </w:p>
        </w:tc>
        <w:tc>
          <w:tcPr>
            <w:tcW w:w="10460" w:type="dxa"/>
            <w:vAlign w:val="bottom"/>
          </w:tcPr>
          <w:p>
            <w:pPr>
              <w:ind w:left="220"/>
              <w:spacing w:after="0"/>
              <w:rPr>
                <w:sz w:val="20"/>
                <w:szCs w:val="20"/>
                <w:color w:val="auto"/>
              </w:rPr>
            </w:pPr>
            <w:r>
              <w:rPr>
                <w:rFonts w:ascii="Arial" w:cs="Arial" w:eastAsia="Arial" w:hAnsi="Arial"/>
                <w:sz w:val="18"/>
                <w:szCs w:val="18"/>
                <w:color w:val="auto"/>
                <w:w w:val="90"/>
              </w:rPr>
              <w:t>Amended and Restated Bylaws of Cohu, Inc. incorporated herein by reference to Exhibit 3.2 from the Cohu, Inc. Report on Form 8-K filed with</w:t>
            </w:r>
          </w:p>
        </w:tc>
      </w:tr>
      <w:tr>
        <w:trPr>
          <w:trHeight w:val="222"/>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rPr>
              <w:t>the Securities and Exchange Commission on December 12, 1996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460" w:type="dxa"/>
            <w:vAlign w:val="bottom"/>
          </w:tcPr>
          <w:p>
            <w:pPr>
              <w:ind w:left="220"/>
              <w:spacing w:after="0"/>
              <w:rPr>
                <w:sz w:val="20"/>
                <w:szCs w:val="20"/>
                <w:color w:val="auto"/>
              </w:rPr>
            </w:pPr>
            <w:r>
              <w:rPr>
                <w:rFonts w:ascii="Arial" w:cs="Arial" w:eastAsia="Arial" w:hAnsi="Arial"/>
                <w:sz w:val="18"/>
                <w:szCs w:val="18"/>
                <w:color w:val="auto"/>
                <w:w w:val="90"/>
              </w:rPr>
              <w:t>Amended and Restated Rights Agreement dated November 10, 2006, between Cohu, Inc. and Mellon Investor Services LLC, as Rights Agent,</w:t>
            </w:r>
          </w:p>
        </w:tc>
      </w:tr>
      <w:tr>
        <w:trPr>
          <w:trHeight w:val="216"/>
        </w:trPr>
        <w:tc>
          <w:tcPr>
            <w:tcW w:w="880" w:type="dxa"/>
            <w:vAlign w:val="bottom"/>
          </w:tcPr>
          <w:p>
            <w:pPr>
              <w:spacing w:after="0"/>
              <w:rPr>
                <w:sz w:val="18"/>
                <w:szCs w:val="18"/>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w w:val="89"/>
              </w:rPr>
              <w:t>incorporated herein by reference to Exhibit 99.1 from the Cohu, Inc. Report on Form 8-K filed with the Securities and Exchange Commission on</w:t>
            </w:r>
          </w:p>
        </w:tc>
      </w:tr>
      <w:tr>
        <w:trPr>
          <w:trHeight w:val="222"/>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rPr>
              <w:t>November 13,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220"/>
              <w:spacing w:after="0"/>
              <w:rPr>
                <w:sz w:val="20"/>
                <w:szCs w:val="20"/>
                <w:color w:val="auto"/>
              </w:rPr>
            </w:pPr>
            <w:r>
              <w:rPr>
                <w:rFonts w:ascii="Arial" w:cs="Arial" w:eastAsia="Arial" w:hAnsi="Arial"/>
                <w:sz w:val="18"/>
                <w:szCs w:val="18"/>
                <w:color w:val="auto"/>
                <w:w w:val="88"/>
              </w:rPr>
              <w:t>Executive Employment Agreement, dated October 7, 2014, by and between Cohu, Inc. and Luis A. Müller, incorporated herein by reference from</w:t>
            </w:r>
          </w:p>
        </w:tc>
      </w:tr>
      <w:tr>
        <w:trPr>
          <w:trHeight w:val="222"/>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w w:val="99"/>
              </w:rPr>
              <w:t>the Cohu, Inc. Current Report on Form 8-K filed with the Securities and Exchange Commission on October 8, 2014, Exhibit 10.1 *</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22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22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9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2675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3, 2014</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2675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&amp; Chief Executive Officer</w:t>
      </w:r>
    </w:p>
    <w:p>
      <w:pPr>
        <w:spacing w:after="0" w:line="32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3, 2014</w:t>
      </w:r>
      <w:r>
        <w:rPr>
          <w:sz w:val="20"/>
          <w:szCs w:val="20"/>
          <w:color w:val="auto"/>
        </w:rPr>
        <w:tab/>
      </w:r>
      <w:r>
        <w:rPr>
          <w:rFonts w:ascii="Arial" w:cs="Arial" w:eastAsia="Arial" w:hAnsi="Arial"/>
          <w:sz w:val="15"/>
          <w:szCs w:val="15"/>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2675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Finance &amp;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&amp;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40" w:type="dxa"/>
            <w:vAlign w:val="bottom"/>
          </w:tcPr>
          <w:p>
            <w:pPr>
              <w:spacing w:after="0"/>
              <w:rPr>
                <w:sz w:val="24"/>
                <w:szCs w:val="2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720" w:type="dxa"/>
            <w:vAlign w:val="bottom"/>
          </w:tcPr>
          <w:p>
            <w:pPr>
              <w:spacing w:after="0"/>
              <w:rPr>
                <w:sz w:val="20"/>
                <w:szCs w:val="20"/>
                <w:color w:val="auto"/>
              </w:rPr>
            </w:pPr>
            <w:r>
              <w:rPr>
                <w:rFonts w:ascii="Arial" w:cs="Arial" w:eastAsia="Arial" w:hAnsi="Arial"/>
                <w:sz w:val="18"/>
                <w:szCs w:val="18"/>
                <w:color w:val="auto"/>
              </w:rPr>
              <w:t>3(i).1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 Cohu, Inc. Form</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10-Q for the quarterly period ended June 30, 1999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3(i).2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3"/>
              </w:rPr>
              <w:t>Certificate of Amendment of Amended and Restated Certificate of Incorporation of Cohu, Inc. incorporated herein by reference to Exhibit</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4.1(a) from the Cohu, Inc. Form S-8 filed with the Securities and Exchange Commission on June 30, 2000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3(ii)</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9"/>
              </w:rPr>
              <w:t>Amended and Restated Bylaws of Cohu, Inc. incorporated herein by reference to Exhibit 3.2 from the Cohu, Inc. Report on Form 8-K filed with</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the Securities and Exchange Commission on December 12, 1996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9"/>
              </w:rPr>
              <w:t>Amended and Restated Rights Agreement dated November 10, 2006, between Cohu, Inc. and Mellon Investor Services LLC, as Rights Agent,</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0"/>
              </w:rPr>
              <w:t>incorporated herein by reference to Exhibit 99.1 from the Cohu, Inc. Report on Form 8-K filed with the Securities and Exchange Commission</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on November 13,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1"/>
              </w:rPr>
              <w:t>Executive Employment Agreement, dated October 7, 2014, by and between Cohu, Inc. and Luis A. Müller, incorporated herein by reference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4"/>
              </w:rPr>
              <w:t>from the Cohu, Inc. Current Report on Form 8-K filed with the Securities and Exchange Commission on October 8, 2014, Exhibit 10.1 *</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Instance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9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500" w:right="360" w:hanging="8"/>
        <w:spacing w:after="0" w:line="306" w:lineRule="auto"/>
        <w:tabs>
          <w:tab w:leader="none" w:pos="1739"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500" w:right="100" w:hanging="8"/>
        <w:spacing w:after="0" w:line="259" w:lineRule="auto"/>
        <w:tabs>
          <w:tab w:leader="none" w:pos="17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1500" w:right="220" w:hanging="8"/>
        <w:spacing w:after="0" w:line="357" w:lineRule="auto"/>
        <w:tabs>
          <w:tab w:leader="none" w:pos="1739"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right="140" w:hanging="8"/>
        <w:spacing w:after="0" w:line="259" w:lineRule="auto"/>
        <w:tabs>
          <w:tab w:leader="none" w:pos="17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500" w:right="440" w:hanging="8"/>
        <w:spacing w:after="0" w:line="332" w:lineRule="auto"/>
        <w:tabs>
          <w:tab w:leader="none" w:pos="1739"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500" w:right="120" w:hanging="8"/>
        <w:spacing w:after="0" w:line="268" w:lineRule="auto"/>
        <w:tabs>
          <w:tab w:leader="none" w:pos="17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13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9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500" w:right="360" w:hanging="8"/>
        <w:spacing w:after="0" w:line="306" w:lineRule="auto"/>
        <w:tabs>
          <w:tab w:leader="none" w:pos="1739"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500" w:right="100" w:hanging="8"/>
        <w:spacing w:after="0" w:line="259" w:lineRule="auto"/>
        <w:tabs>
          <w:tab w:leader="none" w:pos="17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1500" w:right="220" w:hanging="8"/>
        <w:spacing w:after="0" w:line="357" w:lineRule="auto"/>
        <w:tabs>
          <w:tab w:leader="none" w:pos="1739"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right="140" w:hanging="8"/>
        <w:spacing w:after="0" w:line="259" w:lineRule="auto"/>
        <w:tabs>
          <w:tab w:leader="none" w:pos="17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500" w:right="440" w:hanging="8"/>
        <w:spacing w:after="0" w:line="332" w:lineRule="auto"/>
        <w:tabs>
          <w:tab w:leader="none" w:pos="1739"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500" w:right="120" w:hanging="8"/>
        <w:spacing w:after="0" w:line="268" w:lineRule="auto"/>
        <w:tabs>
          <w:tab w:leader="none" w:pos="17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13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September 27, 2014 (the “Report”), I, James A. Donahue, President and Chief Executive Officer of the Company, certify, pursuant to 18 U.S.C. Section 1350, as adopted pursuant to Section 906 of the Sarbanes-Oxley Act of 2002, that, based on my knowledge:</w:t>
      </w:r>
    </w:p>
    <w:p>
      <w:pPr>
        <w:spacing w:after="0" w:line="140"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980" w:firstLine="8"/>
        <w:spacing w:after="0" w:line="493"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3, 2014</w:t>
      </w: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13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6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September 27, 2014 (the “Report”), I, Jeffrey D. Jones, Vice President Finance &amp; Chief Financial Officer of the Company, certify, pursuant to 18 U.S.C. Section 1350, as adopted pursuant to Section 906 of the Sarbanes-Oxley Act of 2002, that, based on my knowledge:</w:t>
      </w:r>
    </w:p>
    <w:p>
      <w:pPr>
        <w:spacing w:after="0" w:line="140"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980" w:firstLine="8"/>
        <w:spacing w:after="0" w:line="493"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3, 2014</w:t>
      </w: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2"/>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2019-12-05T07:50:25Z</dcterms:created>
  <dcterms:modified xsi:type="dcterms:W3CDTF">2019-12-05T07:50:25Z</dcterms:modified>
</cp:coreProperties>
</file>