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88" w:lineRule="exact"/>
        <w:rPr>
          <w:sz w:val="24"/>
          <w:szCs w:val="24"/>
          <w:color w:val="auto"/>
        </w:rPr>
      </w:pPr>
    </w:p>
    <w:p>
      <w:pPr>
        <w:ind w:left="1380" w:right="1060" w:hanging="1034"/>
        <w:spacing w:after="0" w:line="438" w:lineRule="auto"/>
        <w:tabs>
          <w:tab w:leader="none" w:pos="13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28, 2014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4"/>
          <w:szCs w:val="24"/>
          <w:color w:val="auto"/>
        </w:rPr>
      </w:pPr>
    </w:p>
    <w:p>
      <w:pPr>
        <w:jc w:val="center"/>
        <w:ind w:left="4380" w:right="1060" w:hanging="4034"/>
        <w:spacing w:after="0" w:line="418" w:lineRule="auto"/>
        <w:tabs>
          <w:tab w:leader="none" w:pos="13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001-04298</w:t>
      </w: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COHU, INC.</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90"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760" w:type="dxa"/>
            <w:vAlign w:val="bottom"/>
          </w:tcPr>
          <w:p>
            <w:pPr>
              <w:jc w:val="center"/>
              <w:ind w:right="133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920" w:type="dxa"/>
            <w:vAlign w:val="bottom"/>
          </w:tcPr>
          <w:p>
            <w:pPr>
              <w:jc w:val="center"/>
              <w:ind w:left="1352"/>
              <w:spacing w:after="0"/>
              <w:rPr>
                <w:sz w:val="20"/>
                <w:szCs w:val="20"/>
                <w:color w:val="auto"/>
              </w:rPr>
            </w:pPr>
            <w:r>
              <w:rPr>
                <w:rFonts w:ascii="Times New Roman" w:cs="Times New Roman" w:eastAsia="Times New Roman" w:hAnsi="Times New Roman"/>
                <w:sz w:val="18"/>
                <w:szCs w:val="18"/>
                <w:b w:val="1"/>
                <w:bCs w:val="1"/>
                <w:color w:val="auto"/>
                <w:w w:val="96"/>
              </w:rPr>
              <w:t>95-1934119</w:t>
            </w:r>
          </w:p>
        </w:tc>
      </w:tr>
      <w:tr>
        <w:trPr>
          <w:trHeight w:val="216"/>
        </w:trPr>
        <w:tc>
          <w:tcPr>
            <w:tcW w:w="4760" w:type="dxa"/>
            <w:vAlign w:val="bottom"/>
          </w:tcPr>
          <w:p>
            <w:pPr>
              <w:jc w:val="center"/>
              <w:ind w:right="1332"/>
              <w:spacing w:after="0"/>
              <w:rPr>
                <w:sz w:val="20"/>
                <w:szCs w:val="20"/>
                <w:color w:val="auto"/>
              </w:rPr>
            </w:pPr>
            <w:r>
              <w:rPr>
                <w:rFonts w:ascii="Times New Roman" w:cs="Times New Roman" w:eastAsia="Times New Roman" w:hAnsi="Times New Roman"/>
                <w:sz w:val="18"/>
                <w:szCs w:val="18"/>
                <w:i w:val="1"/>
                <w:iCs w:val="1"/>
                <w:color w:val="auto"/>
                <w:w w:val="97"/>
              </w:rPr>
              <w:t>(State or other jurisdiction of</w:t>
            </w:r>
          </w:p>
        </w:tc>
        <w:tc>
          <w:tcPr>
            <w:tcW w:w="3920" w:type="dxa"/>
            <w:vAlign w:val="bottom"/>
          </w:tcPr>
          <w:p>
            <w:pPr>
              <w:jc w:val="center"/>
              <w:ind w:left="1332"/>
              <w:spacing w:after="0"/>
              <w:rPr>
                <w:sz w:val="20"/>
                <w:szCs w:val="20"/>
                <w:color w:val="auto"/>
              </w:rPr>
            </w:pPr>
            <w:r>
              <w:rPr>
                <w:rFonts w:ascii="Times New Roman" w:cs="Times New Roman" w:eastAsia="Times New Roman" w:hAnsi="Times New Roman"/>
                <w:sz w:val="18"/>
                <w:szCs w:val="18"/>
                <w:i w:val="1"/>
                <w:iCs w:val="1"/>
                <w:color w:val="auto"/>
                <w:w w:val="97"/>
              </w:rPr>
              <w:t>(I.R.S. Employer Identification No.)</w:t>
            </w:r>
          </w:p>
        </w:tc>
      </w:tr>
      <w:tr>
        <w:trPr>
          <w:trHeight w:val="230"/>
        </w:trPr>
        <w:tc>
          <w:tcPr>
            <w:tcW w:w="4760" w:type="dxa"/>
            <w:vAlign w:val="bottom"/>
          </w:tcPr>
          <w:p>
            <w:pPr>
              <w:jc w:val="center"/>
              <w:ind w:right="1332"/>
              <w:spacing w:after="0"/>
              <w:rPr>
                <w:sz w:val="20"/>
                <w:szCs w:val="20"/>
                <w:color w:val="auto"/>
              </w:rPr>
            </w:pPr>
            <w:r>
              <w:rPr>
                <w:rFonts w:ascii="Times New Roman" w:cs="Times New Roman" w:eastAsia="Times New Roman" w:hAnsi="Times New Roman"/>
                <w:sz w:val="18"/>
                <w:szCs w:val="18"/>
                <w:i w:val="1"/>
                <w:iCs w:val="1"/>
                <w:color w:val="auto"/>
                <w:w w:val="97"/>
              </w:rPr>
              <w:t>incorporation or organization)</w:t>
            </w:r>
          </w:p>
        </w:tc>
        <w:tc>
          <w:tcPr>
            <w:tcW w:w="3920" w:type="dxa"/>
            <w:vAlign w:val="bottom"/>
          </w:tcPr>
          <w:p>
            <w:pPr>
              <w:spacing w:after="0"/>
              <w:rPr>
                <w:sz w:val="20"/>
                <w:szCs w:val="20"/>
                <w:color w:val="auto"/>
              </w:rPr>
            </w:pPr>
          </w:p>
        </w:tc>
      </w:tr>
      <w:tr>
        <w:trPr>
          <w:trHeight w:val="431"/>
        </w:trPr>
        <w:tc>
          <w:tcPr>
            <w:tcW w:w="4760" w:type="dxa"/>
            <w:vAlign w:val="bottom"/>
          </w:tcPr>
          <w:p>
            <w:pPr>
              <w:jc w:val="center"/>
              <w:ind w:right="1332"/>
              <w:spacing w:after="0"/>
              <w:rPr>
                <w:sz w:val="20"/>
                <w:szCs w:val="20"/>
                <w:color w:val="auto"/>
              </w:rPr>
            </w:pPr>
            <w:r>
              <w:rPr>
                <w:rFonts w:ascii="Times New Roman" w:cs="Times New Roman" w:eastAsia="Times New Roman" w:hAnsi="Times New Roman"/>
                <w:sz w:val="18"/>
                <w:szCs w:val="18"/>
                <w:b w:val="1"/>
                <w:bCs w:val="1"/>
                <w:color w:val="auto"/>
                <w:w w:val="97"/>
              </w:rPr>
              <w:t>12367 Crosthwaite Circle, Poway, California</w:t>
            </w:r>
          </w:p>
        </w:tc>
        <w:tc>
          <w:tcPr>
            <w:tcW w:w="392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8"/>
              </w:rPr>
              <w:t>92064-6817</w:t>
            </w:r>
          </w:p>
        </w:tc>
      </w:tr>
      <w:tr>
        <w:trPr>
          <w:trHeight w:val="230"/>
        </w:trPr>
        <w:tc>
          <w:tcPr>
            <w:tcW w:w="4760" w:type="dxa"/>
            <w:vAlign w:val="bottom"/>
          </w:tcPr>
          <w:p>
            <w:pPr>
              <w:jc w:val="center"/>
              <w:ind w:right="1332"/>
              <w:spacing w:after="0"/>
              <w:rPr>
                <w:sz w:val="20"/>
                <w:szCs w:val="20"/>
                <w:color w:val="auto"/>
              </w:rPr>
            </w:pPr>
            <w:r>
              <w:rPr>
                <w:rFonts w:ascii="Times New Roman" w:cs="Times New Roman" w:eastAsia="Times New Roman" w:hAnsi="Times New Roman"/>
                <w:sz w:val="18"/>
                <w:szCs w:val="18"/>
                <w:i w:val="1"/>
                <w:iCs w:val="1"/>
                <w:color w:val="auto"/>
                <w:w w:val="97"/>
              </w:rPr>
              <w:t>(Address of principal executive offices)</w:t>
            </w:r>
          </w:p>
        </w:tc>
        <w:tc>
          <w:tcPr>
            <w:tcW w:w="3920" w:type="dxa"/>
            <w:vAlign w:val="bottom"/>
          </w:tcPr>
          <w:p>
            <w:pPr>
              <w:jc w:val="center"/>
              <w:ind w:left="1332"/>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848-8100</w:t>
      </w:r>
    </w:p>
    <w:p>
      <w:pPr>
        <w:spacing w:after="0" w:line="173" w:lineRule="exact"/>
        <w:rPr>
          <w:sz w:val="24"/>
          <w:szCs w:val="24"/>
          <w:color w:val="auto"/>
        </w:rPr>
      </w:pPr>
    </w:p>
    <w:p>
      <w:pPr>
        <w:ind w:firstLine="17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firstLine="17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firstLine="17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p>
      <w:pPr>
        <w:ind w:left="180"/>
        <w:spacing w:after="0" w:line="207" w:lineRule="exact"/>
        <w:tabs>
          <w:tab w:leader="none" w:pos="2640" w:val="left"/>
          <w:tab w:leader="none" w:pos="4720" w:val="left"/>
          <w:tab w:leader="none" w:pos="71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180" w:right="2980" w:firstLine="10"/>
        <w:spacing w:after="0" w:line="27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June 28, 2014 the Registrant had 25,398,173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7"/>
              </w:rPr>
              <w:t>Part I Financial Information</w:t>
            </w:r>
          </w:p>
        </w:tc>
        <w:tc>
          <w:tcPr>
            <w:tcW w:w="8360" w:type="dxa"/>
            <w:vAlign w:val="bottom"/>
            <w:gridSpan w:val="11"/>
            <w:vMerge w:val="restart"/>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Page Number</w:t>
            </w:r>
          </w:p>
        </w:tc>
        <w:tc>
          <w:tcPr>
            <w:tcW w:w="0" w:type="dxa"/>
            <w:vAlign w:val="bottom"/>
          </w:tcPr>
          <w:p>
            <w:pPr>
              <w:spacing w:after="0"/>
              <w:rPr>
                <w:sz w:val="1"/>
                <w:szCs w:val="1"/>
                <w:color w:val="auto"/>
              </w:rPr>
            </w:pPr>
          </w:p>
        </w:tc>
      </w:tr>
      <w:tr>
        <w:trPr>
          <w:trHeight w:val="161"/>
        </w:trPr>
        <w:tc>
          <w:tcPr>
            <w:tcW w:w="2160" w:type="dxa"/>
            <w:vAlign w:val="bottom"/>
            <w:tcBorders>
              <w:bottom w:val="single" w:sz="8" w:color="0000EE"/>
            </w:tcBorders>
            <w:gridSpan w:val="11"/>
            <w:vMerge w:val="continue"/>
          </w:tcPr>
          <w:p>
            <w:pPr>
              <w:spacing w:after="0"/>
              <w:rPr>
                <w:sz w:val="13"/>
                <w:szCs w:val="13"/>
                <w:color w:val="auto"/>
              </w:rPr>
            </w:pPr>
          </w:p>
        </w:tc>
        <w:tc>
          <w:tcPr>
            <w:tcW w:w="8360" w:type="dxa"/>
            <w:vAlign w:val="bottom"/>
            <w:gridSpan w:val="11"/>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52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30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June 28, 2014 (unaudited) and December 28, 2013</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8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Operations (unaudited) Three and Six Months Ended June 28, 2014 and June 29, 2013</w:t>
              </w:r>
            </w:hyperlink>
          </w:p>
        </w:tc>
        <w:tc>
          <w:tcPr>
            <w:tcW w:w="142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0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(Loss) (unaudited) Three and Six Months Ended June 28, 2014 and</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0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June 29, 2013</w:t>
              </w:r>
            </w:hyperlink>
          </w:p>
        </w:tc>
        <w:tc>
          <w:tcPr>
            <w:tcW w:w="10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1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Condensed Consolidated Statements of Cash Flows (unaudited) Six Months Ended June 28, 2014 and June 29, 2013</w:t>
              </w:r>
            </w:hyperlink>
          </w:p>
        </w:tc>
        <w:tc>
          <w:tcPr>
            <w:tcW w:w="21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Notes to Unaudited Condensed Consolidated Financial Statements</w:t>
              </w:r>
            </w:hyperlink>
          </w:p>
        </w:tc>
        <w:tc>
          <w:tcPr>
            <w:tcW w:w="562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0520" w:type="dxa"/>
            <w:vAlign w:val="bottom"/>
            <w:gridSpan w:val="22"/>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12"/>
        </w:trPr>
        <w:tc>
          <w:tcPr>
            <w:tcW w:w="482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3. Quantitative and Qualitative Disclosures About Market Risk</w:t>
              </w:r>
            </w:hyperlink>
          </w:p>
        </w:tc>
        <w:tc>
          <w:tcPr>
            <w:tcW w:w="2020" w:type="dxa"/>
            <w:vAlign w:val="bottom"/>
            <w:tcBorders>
              <w:top w:val="single" w:sz="8" w:color="0000EE"/>
            </w:tcBorders>
            <w:gridSpan w:val="3"/>
          </w:tcPr>
          <w:p>
            <w:pPr>
              <w:spacing w:after="0"/>
              <w:rPr>
                <w:sz w:val="24"/>
                <w:szCs w:val="24"/>
                <w:color w:val="auto"/>
              </w:rPr>
            </w:pPr>
          </w:p>
        </w:tc>
        <w:tc>
          <w:tcPr>
            <w:tcW w:w="368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2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4. Controls and Procedures</w:t>
              </w:r>
            </w:hyperlink>
          </w:p>
        </w:tc>
        <w:tc>
          <w:tcPr>
            <w:tcW w:w="824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19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7"/>
              </w:rPr>
            </w:pPr>
            <w:hyperlink w:anchor="page25">
              <w:r>
                <w:rPr>
                  <w:rFonts w:ascii="Times New Roman" w:cs="Times New Roman" w:eastAsia="Times New Roman" w:hAnsi="Times New Roman"/>
                  <w:sz w:val="18"/>
                  <w:szCs w:val="18"/>
                  <w:b w:val="1"/>
                  <w:bCs w:val="1"/>
                  <w:color w:val="0000EE"/>
                  <w:w w:val="97"/>
                </w:rPr>
                <w:t>Part II Other Information</w:t>
              </w:r>
            </w:hyperlink>
          </w:p>
        </w:tc>
        <w:tc>
          <w:tcPr>
            <w:tcW w:w="854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1. Legal Proceedings</w:t>
              </w:r>
            </w:hyperlink>
          </w:p>
        </w:tc>
        <w:tc>
          <w:tcPr>
            <w:tcW w:w="866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1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Item 1A. Risk Factors</w:t>
              </w:r>
            </w:hyperlink>
          </w:p>
        </w:tc>
        <w:tc>
          <w:tcPr>
            <w:tcW w:w="896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4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2. Unregistered Sales of Equity Securities and Use of Proceeds</w:t>
              </w:r>
            </w:hyperlink>
          </w:p>
        </w:tc>
        <w:tc>
          <w:tcPr>
            <w:tcW w:w="572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2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3. Defaults Upon Senior Securities</w:t>
              </w:r>
            </w:hyperlink>
          </w:p>
        </w:tc>
        <w:tc>
          <w:tcPr>
            <w:tcW w:w="770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2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4. Mine Safety Disclosures</w:t>
              </w:r>
            </w:hyperlink>
          </w:p>
        </w:tc>
        <w:tc>
          <w:tcPr>
            <w:tcW w:w="824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1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5. Other Information</w:t>
              </w:r>
            </w:hyperlink>
          </w:p>
        </w:tc>
        <w:tc>
          <w:tcPr>
            <w:tcW w:w="868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11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Item 6. Exhibits</w:t>
              </w:r>
            </w:hyperlink>
          </w:p>
        </w:tc>
        <w:tc>
          <w:tcPr>
            <w:tcW w:w="9380" w:type="dxa"/>
            <w:vAlign w:val="bottom"/>
            <w:gridSpan w:val="18"/>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10520" w:type="dxa"/>
            <w:vAlign w:val="bottom"/>
            <w:gridSpan w:val="2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Signatures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6"/>
              </w:rPr>
              <w:t>June 28,</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2013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4"/>
              </w:rPr>
              <w:t>(Unaudited)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Work in process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61,464</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assets of discontinued video camera segment (Note 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203,810</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Machinery and equipment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(52,649)</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of discontinued video camera segment (Note 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356,098</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warranty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Deferred profit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 of discontinued video camera segment (Note 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71,108</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income tax liabilities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40" w:type="dxa"/>
            <w:vAlign w:val="bottom"/>
            <w:gridSpan w:val="2"/>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Common stock, $1 par value; 60,000 shares authorized, 25,398 shares issued and outstanding in 2014 and 25,080 shares in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2013</w:t>
            </w:r>
          </w:p>
        </w:tc>
        <w:tc>
          <w:tcPr>
            <w:tcW w:w="8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25,398</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Paid-in capital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129,330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254,268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356,098</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Derived from December 28, 2013 audited financial statements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600" w:type="dxa"/>
            <w:vAlign w:val="bottom"/>
            <w:tcBorders>
              <w:top w:val="single" w:sz="8" w:color="auto"/>
            </w:tcBorders>
            <w:gridSpan w:val="3"/>
          </w:tcPr>
          <w:p>
            <w:pPr>
              <w:jc w:val="right"/>
              <w:ind w:right="60"/>
              <w:spacing w:after="0" w:line="125"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28,</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77,850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6"/>
              </w:rPr>
              <w:t>62,234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142,714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9"/>
              </w:rPr>
              <w:t>114,461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52,366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6"/>
              </w:rPr>
              <w:t>42,720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10,180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96"/>
              </w:rPr>
              <w:t>11,192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14,259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6"/>
              </w:rPr>
              <w:t>13,218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76,805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67,130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145,093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(4,880)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0" w:type="dxa"/>
            <w:vAlign w:val="bottom"/>
          </w:tcPr>
          <w:p>
            <w:pPr>
              <w:spacing w:after="0"/>
              <w:rPr>
                <w:sz w:val="1"/>
                <w:szCs w:val="1"/>
                <w:color w:val="auto"/>
              </w:rPr>
            </w:pPr>
          </w:p>
        </w:tc>
      </w:tr>
      <w:tr>
        <w:trPr>
          <w:trHeight w:val="244"/>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 (Note 2)</w:t>
            </w:r>
          </w:p>
        </w:tc>
        <w:tc>
          <w:tcPr>
            <w:tcW w:w="1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Income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25,324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96"/>
              </w:rPr>
              <w:t>24,817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24,737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25,797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24,817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28,</w:t>
            </w: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2"/>
              <w:spacing w:after="0" w:line="125"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56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4"/>
                <w:szCs w:val="14"/>
                <w:color w:val="auto"/>
              </w:rPr>
            </w:pPr>
          </w:p>
        </w:tc>
        <w:tc>
          <w:tcPr>
            <w:tcW w:w="7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240" w:type="dxa"/>
            <w:vAlign w:val="bottom"/>
          </w:tcPr>
          <w:p>
            <w:pPr>
              <w:spacing w:after="0"/>
              <w:rPr>
                <w:sz w:val="14"/>
                <w:szCs w:val="14"/>
                <w:color w:val="auto"/>
              </w:rPr>
            </w:pPr>
          </w:p>
        </w:tc>
        <w:tc>
          <w:tcPr>
            <w:tcW w:w="84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$4,163</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(4,045)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2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2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(175)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3,659</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(2,888)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(18,937)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disposal of video camera segment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cash flows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current assets and liabilities, excluding effects from acquisitions and divestitures: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0"/>
              </w:rPr>
              <w:t>(11,399)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profit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 taxes payable, including excess stock option exercise benefit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 excluding effects from acquisitions and divestitures: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from sale of video camera segment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for purchase of Ismeca, net of cash received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cash flows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(54,246)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stock, net of repurchases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(55,368)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102,808</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(refunded) for income taxes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capitalized as property, plant and equipment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76" w:lineRule="exact"/>
        <w:rPr>
          <w:sz w:val="20"/>
          <w:szCs w:val="20"/>
          <w:color w:val="auto"/>
        </w:rPr>
      </w:pPr>
    </w:p>
    <w:p>
      <w:pPr>
        <w:ind w:left="460" w:right="7640" w:hanging="452"/>
        <w:spacing w:after="0" w:line="345" w:lineRule="auto"/>
        <w:tabs>
          <w:tab w:leader="none" w:pos="44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rFonts w:ascii="Times New Roman" w:cs="Times New Roman" w:eastAsia="Times New Roman" w:hAnsi="Times New Roman"/>
          <w:sz w:val="18"/>
          <w:szCs w:val="18"/>
          <w:b w:val="1"/>
          <w:bCs w:val="1"/>
          <w:color w:val="auto"/>
        </w:rPr>
      </w:pPr>
    </w:p>
    <w:p>
      <w:pPr>
        <w:ind w:left="460" w:right="20"/>
        <w:spacing w:after="0" w:line="29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Our fiscal years are based on a 52- or 53-week period ending on the last Saturday in December. The condensed consolidated balance sheet at December 28, 2013 has been derived from our audited financial statements at that date. The interim condensed consolidated financial statements as of June 28, 2014 (also referred to as “the second quarter of fiscal 2014” and “the first six months of fiscal 2014”) and June 29, 2013 (also referred to as “the second quarter of fiscal 2013” and “the first six months of fiscal 2013”) are unaudited. However, in management’s opinion, these financial statements reflect all adjustments (consisting only of normal, recurring items) necessary to provide a fair presentation of our financial position, results of operations and cash flows for the periods presented. The six-month periods ended June 28, 2014 and June 29, 2013 were each comprised of 13 and 26 weeks, respectively.</w:t>
      </w:r>
    </w:p>
    <w:p>
      <w:pPr>
        <w:spacing w:after="0" w:line="29"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interim results are not necessarily indicative of the results that should be expected for the full year. For a better understanding of Cohu, Inc. and our financial statements, we recommend reading these interim condensed consolidated financial statements in conjunction with our audited financial statements for the year ended December 28, 2013, which are included in our 2013 Annual Report on Form 10-K, filed with the U. S. Securities and Exchange Commission (“SEC”). In the following notes to our interim condensed consolidated financial statements, Cohu, Inc. is referred to as “Cohu”, “we”, “our” and “us”.</w:t>
      </w:r>
    </w:p>
    <w:p>
      <w:pPr>
        <w:spacing w:after="0" w:line="57" w:lineRule="exact"/>
        <w:rPr>
          <w:rFonts w:ascii="Times New Roman" w:cs="Times New Roman" w:eastAsia="Times New Roman" w:hAnsi="Times New Roman"/>
          <w:sz w:val="18"/>
          <w:szCs w:val="18"/>
          <w:b w:val="1"/>
          <w:bCs w:val="1"/>
          <w:color w:val="auto"/>
        </w:rPr>
      </w:pPr>
    </w:p>
    <w:p>
      <w:pPr>
        <w:ind w:left="460" w:right="4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prior-period amounts on our condensed consolidated financial statements have been reclassified to conform to the current period presentation. These reclassifications have no effect on previously reported net income.</w:t>
      </w:r>
    </w:p>
    <w:p>
      <w:pPr>
        <w:spacing w:after="0" w:line="3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92" w:lineRule="exact"/>
        <w:rPr>
          <w:rFonts w:ascii="Times New Roman" w:cs="Times New Roman" w:eastAsia="Times New Roman" w:hAnsi="Times New Roman"/>
          <w:sz w:val="18"/>
          <w:szCs w:val="18"/>
          <w:b w:val="1"/>
          <w:bCs w:val="1"/>
          <w:color w:val="auto"/>
        </w:rPr>
      </w:pPr>
    </w:p>
    <w:p>
      <w:pPr>
        <w:ind w:left="46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subject to a number of risks and uncertainties that may significantly impact our future operating results. These risks and uncertainties are discussed under Item 1A. “Risk Factors” included in this Form 10-Q. Understanding these risks and uncertainties is integral to the review of our interim condensed consolidated financial statements.</w:t>
      </w:r>
    </w:p>
    <w:p>
      <w:pPr>
        <w:spacing w:after="0" w:line="4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92" w:lineRule="exact"/>
        <w:rPr>
          <w:rFonts w:ascii="Times New Roman" w:cs="Times New Roman" w:eastAsia="Times New Roman" w:hAnsi="Times New Roman"/>
          <w:sz w:val="18"/>
          <w:szCs w:val="18"/>
          <w:b w:val="1"/>
          <w:bCs w:val="1"/>
          <w:color w:val="auto"/>
        </w:rPr>
      </w:pPr>
    </w:p>
    <w:p>
      <w:pPr>
        <w:ind w:left="4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6, 2014 we completed the sale of substantially all of the assets of our video camera segment, Cohu Electronics Division (“Cohu Electronics”), and its operating results are being presented as discontinued operations and all prior period amounts have been reclassified accordingly. See Note 2, “Disposal of Video Camera Segment” for additional information. Unless otherwise indicated, all amounts herein relate to continuing operations.</w:t>
      </w:r>
    </w:p>
    <w:p>
      <w:pPr>
        <w:spacing w:after="0" w:line="4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92" w:lineRule="exact"/>
        <w:rPr>
          <w:rFonts w:ascii="Times New Roman" w:cs="Times New Roman" w:eastAsia="Times New Roman" w:hAnsi="Times New Roman"/>
          <w:sz w:val="18"/>
          <w:szCs w:val="18"/>
          <w:b w:val="1"/>
          <w:bCs w:val="1"/>
          <w:color w:val="auto"/>
        </w:rPr>
      </w:pPr>
    </w:p>
    <w:p>
      <w:pPr>
        <w:ind w:left="460" w:right="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38" w:lineRule="exact"/>
        <w:rPr>
          <w:rFonts w:ascii="Times New Roman" w:cs="Times New Roman" w:eastAsia="Times New Roman" w:hAnsi="Times New Roman"/>
          <w:sz w:val="18"/>
          <w:szCs w:val="18"/>
          <w:b w:val="1"/>
          <w:bCs w:val="1"/>
          <w:color w:val="auto"/>
        </w:rPr>
      </w:pPr>
    </w:p>
    <w:p>
      <w:pPr>
        <w:ind w:left="460" w:right="140"/>
        <w:spacing w:after="0" w:line="30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Trade accounts receivable are presented net of allowance for doubtful accounts of $0.3 million and $0.5 million at June 28, 2014 and December 28, 2013, respectively. Our customers include semiconductor manufacturers and semiconductor test subcontractors and other customers located throughout many areas of the world. While we believe that our allowance for doubtful accounts is adequate and represents our best estimate at June 28, 2014, we will continue to monitor customer liquidity and other economic conditions, which may result in changes to our estimates regarding collectability.</w:t>
      </w:r>
    </w:p>
    <w:p>
      <w:pPr>
        <w:spacing w:after="0" w:line="2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Other Intangible Assets and Long-lived Assets</w:t>
      </w:r>
    </w:p>
    <w:p>
      <w:pPr>
        <w:spacing w:after="0" w:line="92" w:lineRule="exact"/>
        <w:rPr>
          <w:rFonts w:ascii="Times New Roman" w:cs="Times New Roman" w:eastAsia="Times New Roman" w:hAnsi="Times New Roman"/>
          <w:sz w:val="18"/>
          <w:szCs w:val="18"/>
          <w:b w:val="1"/>
          <w:bCs w:val="1"/>
          <w:color w:val="auto"/>
        </w:rPr>
      </w:pPr>
    </w:p>
    <w:p>
      <w:pPr>
        <w:ind w:left="460" w:right="1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5"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We conduct our annual impairment test as of October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of each year, and have determined there is no impairment as of October 1, 2013 as we determined that the estimated fair values of our semiconductor equipment and microwave communications reporting units exceeded their carrying values by approximately 31% and 11%, respectively,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that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June 28, 2014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66"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assets carrying amount and estimated fair value.</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92"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Share-based compensation expense related to stock options is recorded based on the fair value of the award on its grant date which 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Reported share-based compensation is classified, in the condensed consolidated interim financial statements,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29"/>
        </w:trPr>
        <w:tc>
          <w:tcPr>
            <w:tcW w:w="728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440"/>
              <w:spacing w:after="0" w:line="129" w:lineRule="exact"/>
              <w:rPr>
                <w:sz w:val="20"/>
                <w:szCs w:val="20"/>
                <w:color w:val="auto"/>
              </w:rPr>
            </w:pPr>
            <w:r>
              <w:rPr>
                <w:rFonts w:ascii="Times New Roman" w:cs="Times New Roman" w:eastAsia="Times New Roman" w:hAnsi="Times New Roman"/>
                <w:sz w:val="14"/>
                <w:szCs w:val="14"/>
                <w:color w:val="auto"/>
                <w:w w:val="98"/>
              </w:rPr>
              <w:t>June 28,</w:t>
            </w:r>
          </w:p>
        </w:tc>
        <w:tc>
          <w:tcPr>
            <w:tcW w:w="50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w w:val="98"/>
              </w:rPr>
              <w:t>June 29,</w:t>
            </w:r>
          </w:p>
        </w:tc>
        <w:tc>
          <w:tcPr>
            <w:tcW w:w="340" w:type="dxa"/>
            <w:vAlign w:val="bottom"/>
          </w:tcPr>
          <w:p>
            <w:pPr>
              <w:spacing w:after="0"/>
              <w:rPr>
                <w:sz w:val="11"/>
                <w:szCs w:val="11"/>
                <w:color w:val="auto"/>
              </w:rPr>
            </w:pPr>
          </w:p>
        </w:tc>
        <w:tc>
          <w:tcPr>
            <w:tcW w:w="740" w:type="dxa"/>
            <w:vAlign w:val="bottom"/>
            <w:tcBorders>
              <w:top w:val="single" w:sz="8" w:color="auto"/>
            </w:tcBorders>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w w:val="98"/>
              </w:rPr>
              <w:t>June 28,</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98"/>
              </w:rPr>
              <w:t>June 29,</w:t>
            </w:r>
          </w:p>
        </w:tc>
        <w:tc>
          <w:tcPr>
            <w:tcW w:w="60" w:type="dxa"/>
            <w:vAlign w:val="bottom"/>
          </w:tcPr>
          <w:p>
            <w:pPr>
              <w:spacing w:after="0"/>
              <w:rPr>
                <w:sz w:val="11"/>
                <w:szCs w:val="11"/>
                <w:color w:val="auto"/>
              </w:rPr>
            </w:pPr>
          </w:p>
        </w:tc>
      </w:tr>
      <w:tr>
        <w:trPr>
          <w:trHeight w:val="161"/>
        </w:trPr>
        <w:tc>
          <w:tcPr>
            <w:tcW w:w="7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color w:val="auto"/>
                <w:w w:val="99"/>
              </w:rPr>
              <w:t>2014</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9"/>
              </w:rPr>
              <w:t>2013</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w w:val="92"/>
              </w:rPr>
              <w:t>2014</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w w:val="99"/>
              </w:rPr>
              <w:t>2013</w:t>
            </w:r>
          </w:p>
        </w:tc>
        <w:tc>
          <w:tcPr>
            <w:tcW w:w="6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1,958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1,641</w:t>
            </w:r>
          </w:p>
        </w:tc>
      </w:tr>
      <w:tr>
        <w:trPr>
          <w:trHeight w:val="222"/>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1,687</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1,324</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3,168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2,711</w:t>
            </w:r>
          </w:p>
        </w:tc>
        <w:tc>
          <w:tcPr>
            <w:tcW w:w="60" w:type="dxa"/>
            <w:vAlign w:val="bottom"/>
          </w:tcPr>
          <w:p>
            <w:pPr>
              <w:spacing w:after="0"/>
              <w:rPr>
                <w:sz w:val="19"/>
                <w:szCs w:val="19"/>
                <w:color w:val="auto"/>
              </w:rPr>
            </w:pPr>
          </w:p>
        </w:tc>
      </w:tr>
      <w:tr>
        <w:trPr>
          <w:trHeight w:val="21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1,631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1,324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2,711</w:t>
            </w:r>
          </w:p>
        </w:tc>
        <w:tc>
          <w:tcPr>
            <w:tcW w:w="6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(Loss) Per Share</w:t>
      </w:r>
    </w:p>
    <w:p>
      <w:pPr>
        <w:spacing w:after="0" w:line="92" w:lineRule="exact"/>
        <w:rPr>
          <w:sz w:val="20"/>
          <w:szCs w:val="20"/>
          <w:color w:val="auto"/>
        </w:rPr>
      </w:pPr>
    </w:p>
    <w:p>
      <w:pPr>
        <w:ind w:left="460" w:right="40"/>
        <w:spacing w:after="0" w:line="254" w:lineRule="auto"/>
        <w:rPr>
          <w:sz w:val="20"/>
          <w:szCs w:val="20"/>
          <w:color w:val="auto"/>
        </w:rPr>
      </w:pPr>
      <w:r>
        <w:rPr>
          <w:rFonts w:ascii="Times New Roman" w:cs="Times New Roman" w:eastAsia="Times New Roman" w:hAnsi="Times New Roman"/>
          <w:sz w:val="18"/>
          <w:szCs w:val="18"/>
          <w:color w:val="auto"/>
        </w:rPr>
        <w:t>Basic income (loss) per common share is computed by dividing net income (loss) by the weighted-average number of common shares outstanding during the reporting period. Diluted income (loss)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three and six months ended June 28, 2014, options to issue approximately 2,231,000 and 2,257,000 shares of common stock were excluded from the computation,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following table reconciles the denominators used in computing basic and diluted income (loss) per share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40" w:type="dxa"/>
            <w:vAlign w:val="bottom"/>
            <w:gridSpan w:val="3"/>
          </w:tcPr>
          <w:p>
            <w:pPr>
              <w:jc w:val="right"/>
              <w:ind w:right="77"/>
              <w:spacing w:after="0"/>
              <w:rPr>
                <w:sz w:val="20"/>
                <w:szCs w:val="20"/>
                <w:color w:val="auto"/>
              </w:rPr>
            </w:pPr>
            <w:r>
              <w:rPr>
                <w:rFonts w:ascii="Times New Roman" w:cs="Times New Roman" w:eastAsia="Times New Roman" w:hAnsi="Times New Roman"/>
                <w:sz w:val="14"/>
                <w:szCs w:val="14"/>
                <w:color w:val="auto"/>
              </w:rPr>
              <w:t>Three Months Ended</w:t>
            </w:r>
          </w:p>
        </w:tc>
        <w:tc>
          <w:tcPr>
            <w:tcW w:w="360" w:type="dxa"/>
            <w:vAlign w:val="bottom"/>
          </w:tcPr>
          <w:p>
            <w:pPr>
              <w:spacing w:after="0"/>
              <w:rPr>
                <w:sz w:val="14"/>
                <w:szCs w:val="14"/>
                <w:color w:val="auto"/>
              </w:rPr>
            </w:pPr>
          </w:p>
        </w:tc>
        <w:tc>
          <w:tcPr>
            <w:tcW w:w="15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29"/>
        </w:trPr>
        <w:tc>
          <w:tcPr>
            <w:tcW w:w="720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8"/>
              </w:rPr>
              <w:t>June 28,</w:t>
            </w:r>
          </w:p>
        </w:tc>
        <w:tc>
          <w:tcPr>
            <w:tcW w:w="3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29,</w:t>
            </w:r>
          </w:p>
        </w:tc>
        <w:tc>
          <w:tcPr>
            <w:tcW w:w="36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400"/>
              <w:spacing w:after="0" w:line="129" w:lineRule="exact"/>
              <w:rPr>
                <w:sz w:val="20"/>
                <w:szCs w:val="20"/>
                <w:color w:val="auto"/>
              </w:rPr>
            </w:pPr>
            <w:r>
              <w:rPr>
                <w:rFonts w:ascii="Times New Roman" w:cs="Times New Roman" w:eastAsia="Times New Roman" w:hAnsi="Times New Roman"/>
                <w:sz w:val="14"/>
                <w:szCs w:val="14"/>
                <w:color w:val="auto"/>
              </w:rPr>
              <w:t>June 28,</w:t>
            </w: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29,</w:t>
            </w:r>
          </w:p>
        </w:tc>
        <w:tc>
          <w:tcPr>
            <w:tcW w:w="60" w:type="dxa"/>
            <w:vAlign w:val="bottom"/>
          </w:tcPr>
          <w:p>
            <w:pPr>
              <w:spacing w:after="0"/>
              <w:rPr>
                <w:sz w:val="11"/>
                <w:szCs w:val="11"/>
                <w:color w:val="auto"/>
              </w:rPr>
            </w:pPr>
          </w:p>
        </w:tc>
      </w:tr>
      <w:tr>
        <w:trPr>
          <w:trHeight w:val="161"/>
        </w:trPr>
        <w:tc>
          <w:tcPr>
            <w:tcW w:w="720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2014</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2013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2014</w:t>
            </w:r>
          </w:p>
        </w:tc>
        <w:tc>
          <w:tcPr>
            <w:tcW w:w="360" w:type="dxa"/>
            <w:vAlign w:val="bottom"/>
          </w:tcPr>
          <w:p>
            <w:pPr>
              <w:spacing w:after="0"/>
              <w:rPr>
                <w:sz w:val="14"/>
                <w:szCs w:val="14"/>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2013</w:t>
            </w:r>
          </w:p>
        </w:tc>
        <w:tc>
          <w:tcPr>
            <w:tcW w:w="60" w:type="dxa"/>
            <w:vAlign w:val="bottom"/>
          </w:tcPr>
          <w:p>
            <w:pPr>
              <w:spacing w:after="0"/>
              <w:rPr>
                <w:sz w:val="14"/>
                <w:szCs w:val="14"/>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25,223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24,737</w:t>
            </w:r>
          </w:p>
        </w:tc>
      </w:tr>
      <w:tr>
        <w:trPr>
          <w:trHeight w:val="20"/>
        </w:trPr>
        <w:tc>
          <w:tcPr>
            <w:tcW w:w="7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Cohu has utilized the “control number” concept in the computation of diluted earnings per share to determine whether potential common stock instruments are dilutive. The control number used is income/loss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 or net income per share for the six months ended June 28, 2014 and of income from discontinued operations per share for the three and six months ended June 29, 2013.</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2" w:lineRule="exact"/>
        <w:rPr>
          <w:sz w:val="20"/>
          <w:szCs w:val="20"/>
          <w:color w:val="auto"/>
        </w:rPr>
      </w:pPr>
    </w:p>
    <w:p>
      <w:pPr>
        <w:ind w:left="460" w:right="120"/>
        <w:spacing w:after="0" w:line="258" w:lineRule="auto"/>
        <w:rPr>
          <w:sz w:val="20"/>
          <w:szCs w:val="20"/>
          <w:color w:val="auto"/>
        </w:rPr>
      </w:pPr>
      <w:r>
        <w:rPr>
          <w:rFonts w:ascii="Times New Roman" w:cs="Times New Roman" w:eastAsia="Times New Roman" w:hAnsi="Times New Roman"/>
          <w:sz w:val="18"/>
          <w:szCs w:val="18"/>
          <w:color w:val="auto"/>
        </w:rPr>
        <w:t>Our revenue recognition policy is disclosed in Note 1 of the Notes to Consolidated Financial Statements included in our Annual Report on Form 10-K for the year ended December 28, 2013. As more fully described in that policy, revenue from products that have not previously satisfied customer acceptance requirements is recognized upon customer acceptance. The gross profit on sales that are not recognized is generally recorded as deferred profit and reflected as a current liability in our consolidated balance sheet.</w:t>
      </w:r>
    </w:p>
    <w:p>
      <w:pPr>
        <w:spacing w:after="0" w:line="55" w:lineRule="exact"/>
        <w:rPr>
          <w:sz w:val="20"/>
          <w:szCs w:val="20"/>
          <w:color w:val="auto"/>
        </w:rPr>
      </w:pPr>
    </w:p>
    <w:p>
      <w:pPr>
        <w:ind w:left="460" w:right="100"/>
        <w:spacing w:after="0" w:line="262" w:lineRule="auto"/>
        <w:rPr>
          <w:sz w:val="20"/>
          <w:szCs w:val="20"/>
          <w:color w:val="auto"/>
        </w:rPr>
      </w:pPr>
      <w:r>
        <w:rPr>
          <w:rFonts w:ascii="Times New Roman" w:cs="Times New Roman" w:eastAsia="Times New Roman" w:hAnsi="Times New Roman"/>
          <w:sz w:val="18"/>
          <w:szCs w:val="18"/>
          <w:color w:val="auto"/>
        </w:rPr>
        <w:t>At June 28, 2014, we had deferred revenue totaling approximately $15.3 million and deferred profit of $8.9 million. At December 28, 2013, we had deferred revenue totaling approximately $7.4 million and deferred profit of $6.1 million. The periodic increase is primarily a result of deferrals of revenue associated with shipments of semiconductor equipment.</w:t>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2" w:lineRule="exact"/>
        <w:rPr>
          <w:sz w:val="20"/>
          <w:szCs w:val="20"/>
          <w:color w:val="auto"/>
        </w:rPr>
      </w:pPr>
    </w:p>
    <w:p>
      <w:pPr>
        <w:ind w:left="460" w:right="180"/>
        <w:spacing w:after="0" w:line="256" w:lineRule="auto"/>
        <w:rPr>
          <w:sz w:val="20"/>
          <w:szCs w:val="20"/>
          <w:color w:val="auto"/>
        </w:rPr>
      </w:pPr>
      <w:r>
        <w:rPr>
          <w:rFonts w:ascii="Times New Roman" w:cs="Times New Roman" w:eastAsia="Times New Roman" w:hAnsi="Times New Roman"/>
          <w:sz w:val="18"/>
          <w:szCs w:val="18"/>
          <w:color w:val="auto"/>
        </w:rPr>
        <w:t>Our accumulated other comprehensive income balance totaled approximately $6.5 million and $6.7 million at June 28, 2014 and December 28, 2013, respectively, and was attributed to all non-owner changes in stockholders’ equity and consists of, on an after-tax basis where applicable, foreign currency adjustments resulting from the translation of certain accounts into U.S. dollars where the functional currency is the Euro or the Swiss Franc, unrealized gains and losses on investments and adjustments related to postretirement benefits. Reclassification adjustments to accumulated other comprehensive income during the first six months of fiscal 2014 and 2013 were not significant.</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Retiree Medical Benefits</w:t>
      </w:r>
    </w:p>
    <w:p>
      <w:pPr>
        <w:spacing w:after="0" w:line="92" w:lineRule="exact"/>
        <w:rPr>
          <w:sz w:val="20"/>
          <w:szCs w:val="20"/>
          <w:color w:val="auto"/>
        </w:rPr>
      </w:pPr>
    </w:p>
    <w:p>
      <w:pPr>
        <w:ind w:left="460" w:right="180"/>
        <w:spacing w:after="0" w:line="275" w:lineRule="auto"/>
        <w:rPr>
          <w:sz w:val="20"/>
          <w:szCs w:val="20"/>
          <w:color w:val="auto"/>
        </w:rPr>
      </w:pPr>
      <w:r>
        <w:rPr>
          <w:rFonts w:ascii="Times New Roman" w:cs="Times New Roman" w:eastAsia="Times New Roman" w:hAnsi="Times New Roman"/>
          <w:sz w:val="18"/>
          <w:szCs w:val="18"/>
          <w:color w:val="auto"/>
        </w:rPr>
        <w:t>We provide post-retirement health benefits to certain executives and directors under a noncontributory plan. The net periodic benefit cost incurred during the first six months of fiscal 2014 and 2013 was not significant.</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0" w:lineRule="exact"/>
        <w:rPr>
          <w:sz w:val="20"/>
          <w:szCs w:val="20"/>
          <w:color w:val="auto"/>
        </w:rPr>
      </w:pPr>
    </w:p>
    <w:p>
      <w:pPr>
        <w:ind w:left="46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Recently Adopted Accounting Pronouncements </w:t>
      </w:r>
      <w:r>
        <w:rPr>
          <w:rFonts w:ascii="Times New Roman" w:cs="Times New Roman" w:eastAsia="Times New Roman" w:hAnsi="Times New Roman"/>
          <w:sz w:val="18"/>
          <w:szCs w:val="18"/>
          <w:color w:val="auto"/>
        </w:rPr>
        <w:t>– In July 2013, the Financial Accounting Standards Board (“FASB”) issued guidance on the presentation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unrecognized tax benefit when a net operating loss carryforward, a similar tax loss, or a tax credit carryforward exists. This amendment to previous income tax guidance clarifies that an unrecognized tax benefit, or a portion of an unrecognized tax benefit, should be presented in the financial statements as a reduction to a deferred tax asset for a net operating loss carryforward, a similar tax loss, or a tax credit carryforward if such settlement is required or expected in the event the uncertain tax benefit is disallowed. In situations where a net operating loss carryforward, a similar tax loss, or a tax credit carryforward is not available at the reporting date under the tax law of the applicable jurisdiction or the tax law of the jurisdiction does not require, and the entity does not intend to use, the deferred tax asset for such purpose, the unrecognized tax benefit should be presented in the financial statements as a liability and should not be netted with the deferred tax asset. These amendments are effective for fiscal years, and interim periods within those years, beginning after December 15, 2013. Early adoption is permitted. The amendments should be applied prospectively to all unrecognized tax benefits that exist at the effective date. Retrospective application is permitted. The adoption of this new guidance in the first quarter of fiscal 2014 did not have a material impact on our consolidated financial position, results of operations or cash flows.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5" w:lineRule="exact"/>
        <w:rPr>
          <w:sz w:val="20"/>
          <w:szCs w:val="20"/>
          <w:color w:val="auto"/>
        </w:rPr>
      </w:pPr>
    </w:p>
    <w:p>
      <w:pPr>
        <w:ind w:left="460" w:right="100"/>
        <w:spacing w:after="0" w:line="255" w:lineRule="auto"/>
        <w:rPr>
          <w:sz w:val="20"/>
          <w:szCs w:val="20"/>
          <w:color w:val="auto"/>
        </w:rPr>
      </w:pPr>
      <w:r>
        <w:rPr>
          <w:rFonts w:ascii="Times New Roman" w:cs="Times New Roman" w:eastAsia="Times New Roman" w:hAnsi="Times New Roman"/>
          <w:sz w:val="18"/>
          <w:szCs w:val="18"/>
          <w:color w:val="auto"/>
        </w:rPr>
        <w:t>In March 2013, the FASB issued guidance on a parent company’s accounting for the cumulative translation adjustment upon derecognition of a subsidiary or group of assets within a foreign entity. This new guidance requires that the parent release any related cumulative translation adjustment into net income only if the sale or transfer results in the complete or substantially complete liquidation of the foreign entity in which the subsidiary or group of assets had resided. The amendments will be effective for fiscal years and interim periods starting after December 15, 2013 with early adoption permitted. The adoption of this new guidance in the first quarter of fiscal 2014 did not have a material impact on our consolidated financial position, results of operations or cash flows.</w:t>
      </w:r>
    </w:p>
    <w:p>
      <w:pPr>
        <w:spacing w:after="0" w:line="58" w:lineRule="exact"/>
        <w:rPr>
          <w:sz w:val="20"/>
          <w:szCs w:val="20"/>
          <w:color w:val="auto"/>
        </w:rPr>
      </w:pPr>
    </w:p>
    <w:p>
      <w:pPr>
        <w:ind w:left="460" w:right="80"/>
        <w:spacing w:after="0" w:line="254" w:lineRule="auto"/>
        <w:rPr>
          <w:sz w:val="20"/>
          <w:szCs w:val="20"/>
          <w:color w:val="auto"/>
        </w:rPr>
      </w:pPr>
      <w:r>
        <w:rPr>
          <w:rFonts w:ascii="Times New Roman" w:cs="Times New Roman" w:eastAsia="Times New Roman" w:hAnsi="Times New Roman"/>
          <w:sz w:val="18"/>
          <w:szCs w:val="18"/>
          <w:color w:val="auto"/>
        </w:rPr>
        <w:t>In April 2014, the FASB issued new guidance on reporting discontinued operations and disclosures of disposals of components of an entity, which amends the existing definition of a discontinued operation and requires entities to disclose additional information about disposal transactions that do not meet the discontinued operations criteria. The guidance redefines a discontinued operation as a component or group of components of an entity that has been disposed of by sale or other than by sale or is classified as held for sale and represents a strategic shift that has a major effect on an entity’s operations and financial results. The guidance is effective prospectively for disposals or components classified as held for sale in periods on or after December 15, 2014 with early adoption permitted. Cohu elected to implement this new guidance in the second quarter of fiscal 2014 and the adoption did not have a material impact on our consolidated financial position, results of operations or cash flows.</w:t>
      </w:r>
    </w:p>
    <w:p>
      <w:pPr>
        <w:spacing w:after="0" w:line="58" w:lineRule="exact"/>
        <w:rPr>
          <w:sz w:val="20"/>
          <w:szCs w:val="20"/>
          <w:color w:val="auto"/>
        </w:rPr>
      </w:pPr>
    </w:p>
    <w:p>
      <w:pPr>
        <w:ind w:left="46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Recently Issued Accounting Pronouncements </w:t>
      </w:r>
      <w:r>
        <w:rPr>
          <w:rFonts w:ascii="Times New Roman" w:cs="Times New Roman" w:eastAsia="Times New Roman" w:hAnsi="Times New Roman"/>
          <w:sz w:val="16"/>
          <w:szCs w:val="16"/>
          <w:color w:val="auto"/>
        </w:rPr>
        <w:t>– In May 2014, the FASB issued new guidance on revenue from contracts with customers. The amended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guidance outlines a single comprehensive revenue model for entities to use in accounting for revenue arising from contracts with customers. The guidance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Entities have the option of using either a full retrospective or modified approach to adopt the guidance. This guidance is effective for fiscal years, and interim reporting periods within those years, beginning after December 15, 2016. Early adoption is not permitted. We are still evaluating the impact this new guidance might have on our consolidated financial position, results of operations or cash flows.</w:t>
      </w:r>
    </w:p>
    <w:p>
      <w:pPr>
        <w:spacing w:after="0" w:line="235"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Video Camera Segment</w:t>
      </w:r>
    </w:p>
    <w:p>
      <w:pPr>
        <w:spacing w:after="0" w:line="92" w:lineRule="exact"/>
        <w:rPr>
          <w:rFonts w:ascii="Times New Roman" w:cs="Times New Roman" w:eastAsia="Times New Roman" w:hAnsi="Times New Roman"/>
          <w:sz w:val="18"/>
          <w:szCs w:val="18"/>
          <w:b w:val="1"/>
          <w:bCs w:val="1"/>
          <w:color w:val="auto"/>
        </w:rPr>
      </w:pPr>
    </w:p>
    <w:p>
      <w:pPr>
        <w:ind w:left="46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6, 2014, Cohu announced the sale of substantially all the assets of our video camera segment, Cohu Electronics. Our decision to sell Cohu Electronics resulted from management’s determination that this industry segment was no longer a strategic fit within our organization. The sales price was $9.5 million in cash plus up to $0.5 million in contingent consideration. The sales price is subject to a working capital adjustment and, as a result, adjustments to the gain on disposal noted below are possible.</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Balance sheet information of our discontinued video camera segment is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28,</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6"/>
              </w:rPr>
              <w:t>December 28,</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48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2014</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4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8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4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4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484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8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84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8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current liabilities</w:t>
            </w:r>
          </w:p>
        </w:tc>
        <w:tc>
          <w:tcPr>
            <w:tcW w:w="4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84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w:t>
            </w:r>
          </w:p>
        </w:tc>
        <w:tc>
          <w:tcPr>
            <w:tcW w:w="8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160" w:type="dxa"/>
            <w:vAlign w:val="bottom"/>
            <w:vMerge w:val="restart"/>
          </w:tcPr>
          <w:p>
            <w:pPr>
              <w:jc w:val="right"/>
              <w:ind w:right="2636"/>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results of our discontinued video camera segment is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June 28,</w:t>
            </w:r>
          </w:p>
        </w:tc>
        <w:tc>
          <w:tcPr>
            <w:tcW w:w="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w w:val="98"/>
              </w:rPr>
              <w:t>June 29,</w:t>
            </w:r>
          </w:p>
        </w:tc>
        <w:tc>
          <w:tcPr>
            <w:tcW w:w="34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w w:val="98"/>
              </w:rPr>
              <w:t>June 28,</w:t>
            </w:r>
          </w:p>
        </w:tc>
        <w:tc>
          <w:tcPr>
            <w:tcW w:w="160" w:type="dxa"/>
            <w:vAlign w:val="bottom"/>
          </w:tcPr>
          <w:p>
            <w:pPr>
              <w:spacing w:after="0"/>
              <w:rPr>
                <w:sz w:val="12"/>
                <w:szCs w:val="12"/>
                <w:color w:val="auto"/>
              </w:rPr>
            </w:pPr>
          </w:p>
        </w:tc>
        <w:tc>
          <w:tcPr>
            <w:tcW w:w="5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8"/>
              </w:rPr>
              <w:t>June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color w:val="auto"/>
                <w:w w:val="99"/>
              </w:rPr>
              <w:t>2014</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w w:val="99"/>
              </w:rPr>
              <w:t>2013</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color w:val="auto"/>
                <w:w w:val="92"/>
              </w:rPr>
              <w:t>2014</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w w:val="99"/>
              </w:rPr>
              <w:t>2013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1,907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4,418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5,460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 before income taxes</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(363)</w:t>
            </w: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video camera segment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4,133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3,232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3,238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sale of the assets of our video camera segment we incurred divestiture-related costs that would not have been incurred</w:t>
      </w:r>
    </w:p>
    <w:p>
      <w:pPr>
        <w:spacing w:after="0" w:line="21"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otherwise. These costs consist of legal advisory services, success based compensation arrangements and certain other items that are incremental to normal operating charges and were expensed as incurred. During the three and six months ended June 28, 2014 divestiture-related costs totaled $0.7 million and $0.8 million, respectively and have been netted against the gain on disposal presented above.</w:t>
      </w:r>
    </w:p>
    <w:p>
      <w:pPr>
        <w:spacing w:after="0" w:line="25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Consolidation</w:t>
      </w:r>
    </w:p>
    <w:p>
      <w:pPr>
        <w:spacing w:after="0" w:line="92" w:lineRule="exact"/>
        <w:rPr>
          <w:rFonts w:ascii="Times New Roman" w:cs="Times New Roman" w:eastAsia="Times New Roman" w:hAnsi="Times New Roman"/>
          <w:sz w:val="18"/>
          <w:szCs w:val="18"/>
          <w:b w:val="1"/>
          <w:bCs w:val="1"/>
          <w:color w:val="auto"/>
        </w:rPr>
      </w:pPr>
    </w:p>
    <w:p>
      <w:pPr>
        <w:ind w:left="46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2014, our wholly owned subsidiary Broadcast Microwave Services, Inc. (“BMS”) implemented a geographic consolidation plan to relocate the manufacturing, engineering and administrative function of its German operation to its headquarters facility in Poway, California. The consolidation is expected to be substantially complete in September 2014. For the three-month period ended June 28, 2014, BMS recorded charges to operations totaling $427,000 for severance and one-time termination benefits. These charges are included in cost of sales $143,000, research and development $170,000 and selling, general and administrative expense $114,000.</w:t>
      </w:r>
    </w:p>
    <w:p>
      <w:pPr>
        <w:spacing w:after="0" w:line="5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reconciles amounts accrued and paid under the consolidation plan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Severance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Other Payroll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29, 2014</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accrued</w:t>
            </w:r>
          </w:p>
        </w:tc>
        <w:tc>
          <w:tcPr>
            <w:tcW w:w="3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paid or charged</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3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28, 2014</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Purchased Intangible Assets</w:t>
      </w:r>
    </w:p>
    <w:p>
      <w:pPr>
        <w:spacing w:after="0" w:line="92" w:lineRule="exact"/>
        <w:rPr>
          <w:rFonts w:ascii="Times New Roman" w:cs="Times New Roman" w:eastAsia="Times New Roman" w:hAnsi="Times New Roman"/>
          <w:sz w:val="18"/>
          <w:szCs w:val="18"/>
          <w:b w:val="1"/>
          <w:bCs w:val="1"/>
          <w:color w:val="auto"/>
        </w:rPr>
      </w:pPr>
    </w:p>
    <w:p>
      <w:pPr>
        <w:ind w:left="4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carrying value of goodwill by reportable segment during the year ended December 28, 2013 and the six-month period ended June 28, 2014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6"/>
              </w:rPr>
              <w:t>Semiconductor</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w w:val="97"/>
              </w:rPr>
              <w:t>Microwave</w:t>
            </w:r>
          </w:p>
        </w:tc>
        <w:tc>
          <w:tcPr>
            <w:tcW w:w="14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1"/>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December 29, 2012</w:t>
            </w: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7"/>
              </w:rPr>
              <w:t>Equipment</w:t>
            </w:r>
          </w:p>
        </w:tc>
        <w:tc>
          <w:tcPr>
            <w:tcW w:w="2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Communications</w:t>
            </w: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Goodwill</w:t>
            </w:r>
          </w:p>
        </w:tc>
        <w:tc>
          <w:tcPr>
            <w:tcW w:w="0" w:type="dxa"/>
            <w:vAlign w:val="bottom"/>
          </w:tcPr>
          <w:p>
            <w:pPr>
              <w:spacing w:after="0"/>
              <w:rPr>
                <w:sz w:val="1"/>
                <w:szCs w:val="1"/>
                <w:color w:val="auto"/>
              </w:rPr>
            </w:pPr>
          </w:p>
        </w:tc>
      </w:tr>
      <w:tr>
        <w:trPr>
          <w:trHeight w:val="223"/>
        </w:trPr>
        <w:tc>
          <w:tcPr>
            <w:tcW w:w="3720" w:type="dxa"/>
            <w:vAlign w:val="bottom"/>
            <w:gridSpan w:val="2"/>
            <w:vMerge w:val="continue"/>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55,520</w:t>
            </w: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3,236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net of adjustments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2013</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28, 2014</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Purchased Intangible Assets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Purchased intangible assets, subject to amortization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color w:val="auto"/>
              </w:rPr>
              <w:t>June 28, 2014</w:t>
            </w:r>
          </w:p>
        </w:tc>
        <w:tc>
          <w:tcPr>
            <w:tcW w:w="6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color w:val="auto"/>
                <w:w w:val="96"/>
              </w:rPr>
              <w:t>December 28, 2013</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6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color w:val="auto"/>
                <w:w w:val="97"/>
              </w:rPr>
              <w:t>Gross Carrying</w:t>
            </w:r>
          </w:p>
        </w:tc>
        <w:tc>
          <w:tcPr>
            <w:tcW w:w="460" w:type="dxa"/>
            <w:vAlign w:val="bottom"/>
          </w:tcPr>
          <w:p>
            <w:pPr>
              <w:spacing w:after="0"/>
              <w:rPr>
                <w:sz w:val="12"/>
                <w:szCs w:val="12"/>
                <w:color w:val="auto"/>
              </w:rPr>
            </w:pPr>
          </w:p>
        </w:tc>
        <w:tc>
          <w:tcPr>
            <w:tcW w:w="126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color w:val="auto"/>
              </w:rPr>
              <w:t>Accumulated</w:t>
            </w:r>
          </w:p>
        </w:tc>
        <w:tc>
          <w:tcPr>
            <w:tcW w:w="122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4"/>
                <w:szCs w:val="14"/>
                <w:color w:val="auto"/>
              </w:rPr>
              <w:t>Remaining</w:t>
            </w:r>
          </w:p>
        </w:tc>
        <w:tc>
          <w:tcPr>
            <w:tcW w:w="8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w w:val="95"/>
              </w:rPr>
              <w:t>Gross Carrying</w:t>
            </w:r>
          </w:p>
        </w:tc>
        <w:tc>
          <w:tcPr>
            <w:tcW w:w="480" w:type="dxa"/>
            <w:vAlign w:val="bottom"/>
          </w:tcPr>
          <w:p>
            <w:pPr>
              <w:spacing w:after="0"/>
              <w:rPr>
                <w:sz w:val="12"/>
                <w:szCs w:val="12"/>
                <w:color w:val="auto"/>
              </w:rPr>
            </w:pPr>
          </w:p>
        </w:tc>
        <w:tc>
          <w:tcPr>
            <w:tcW w:w="78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6"/>
              </w:rPr>
              <w:t>Amortization</w:t>
            </w:r>
          </w:p>
        </w:tc>
        <w:tc>
          <w:tcPr>
            <w:tcW w:w="52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Useful Life</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Rasco technology</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 years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21,319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Ismeca technology</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29,945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5,719</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6.5 years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Duma technology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552</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 years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29,562</w:t>
            </w: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64,468</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related to intangible assets was approximately $2.1 million in the second quarter of fiscal 2014 and $4.1 million in the first six</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months of fiscal 2014. Amortization expense related to intangible assets was approximately $1.7 million in the second quarter of fiscal 2013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$3.4 million in the first six months of fiscal 2013. The amounts included in the table above for the periods ended June 28, 2014 and December 28, 2013</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exclude approximately $2.4 million and $4.0 million, related to the trade names of Rasco and Ismeca, respectively. Changes in the carrying values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purchased intangible assets include the impact of fluctuations in currency exchange rates.</w:t>
      </w:r>
    </w:p>
    <w:p>
      <w:pPr>
        <w:spacing w:after="0" w:line="278"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92"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55" w:lineRule="exact"/>
        <w:rPr>
          <w:rFonts w:ascii="Times New Roman" w:cs="Times New Roman" w:eastAsia="Times New Roman" w:hAnsi="Times New Roman"/>
          <w:sz w:val="18"/>
          <w:szCs w:val="18"/>
          <w:b w:val="1"/>
          <w:bCs w:val="1"/>
          <w:color w:val="auto"/>
        </w:rPr>
      </w:pPr>
    </w:p>
    <w:p>
      <w:pPr>
        <w:ind w:left="460"/>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 Investments that we have classified as short-term, by security type,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June 28, 2014</w:t>
            </w: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7"/>
              </w:rPr>
              <w:t>Gross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6"/>
              <w:spacing w:after="0" w:line="143" w:lineRule="exact"/>
              <w:rPr>
                <w:sz w:val="20"/>
                <w:szCs w:val="20"/>
                <w:color w:val="auto"/>
              </w:rPr>
            </w:pPr>
            <w:r>
              <w:rPr>
                <w:rFonts w:ascii="Times New Roman" w:cs="Times New Roman" w:eastAsia="Times New Roman" w:hAnsi="Times New Roman"/>
                <w:sz w:val="14"/>
                <w:szCs w:val="14"/>
                <w:color w:val="auto"/>
                <w:w w:val="91"/>
              </w:rPr>
              <w:t>Gross</w:t>
            </w:r>
          </w:p>
        </w:tc>
        <w:tc>
          <w:tcPr>
            <w:tcW w:w="580" w:type="dxa"/>
            <w:vAlign w:val="bottom"/>
          </w:tcPr>
          <w:p>
            <w:pPr>
              <w:spacing w:after="0"/>
              <w:rPr>
                <w:sz w:val="12"/>
                <w:szCs w:val="12"/>
                <w:color w:val="auto"/>
              </w:rPr>
            </w:pPr>
          </w:p>
        </w:tc>
        <w:tc>
          <w:tcPr>
            <w:tcW w:w="600" w:type="dxa"/>
            <w:vAlign w:val="bottom"/>
            <w:gridSpan w:val="2"/>
          </w:tcPr>
          <w:p>
            <w:pPr>
              <w:jc w:val="center"/>
              <w:ind w:right="60"/>
              <w:spacing w:after="0" w:line="143" w:lineRule="exact"/>
              <w:rPr>
                <w:sz w:val="20"/>
                <w:szCs w:val="20"/>
                <w:color w:val="auto"/>
              </w:rPr>
            </w:pPr>
            <w:r>
              <w:rPr>
                <w:rFonts w:ascii="Times New Roman" w:cs="Times New Roman" w:eastAsia="Times New Roman" w:hAnsi="Times New Roman"/>
                <w:sz w:val="14"/>
                <w:szCs w:val="14"/>
                <w:color w:val="auto"/>
                <w:w w:val="96"/>
              </w:rPr>
              <w:t>Estimated</w:t>
            </w: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Unrealized</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Unrealized</w:t>
            </w:r>
          </w:p>
        </w:tc>
        <w:tc>
          <w:tcPr>
            <w:tcW w:w="5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7"/>
              </w:rPr>
              <w:t>Fair</w:t>
            </w:r>
          </w:p>
        </w:tc>
      </w:tr>
      <w:tr>
        <w:trPr>
          <w:trHeight w:val="168"/>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Cost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Gains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color w:val="auto"/>
                <w:w w:val="99"/>
              </w:rPr>
              <w:t>Losses</w:t>
            </w:r>
          </w:p>
        </w:tc>
        <w:tc>
          <w:tcPr>
            <w:tcW w:w="5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Value</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60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77"/>
              </w:rPr>
              <w:t>—</w:t>
            </w:r>
          </w:p>
        </w:tc>
        <w:tc>
          <w:tcPr>
            <w:tcW w:w="1180" w:type="dxa"/>
            <w:vAlign w:val="bottom"/>
            <w:gridSpan w:val="3"/>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  200</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color w:val="auto"/>
              </w:rPr>
              <w:t>December 28, 2013</w:t>
            </w: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3"/>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color w:val="auto"/>
                <w:w w:val="97"/>
              </w:rPr>
              <w:t>Gross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26"/>
              <w:spacing w:after="0" w:line="143" w:lineRule="exact"/>
              <w:rPr>
                <w:sz w:val="20"/>
                <w:szCs w:val="20"/>
                <w:color w:val="auto"/>
              </w:rPr>
            </w:pPr>
            <w:r>
              <w:rPr>
                <w:rFonts w:ascii="Times New Roman" w:cs="Times New Roman" w:eastAsia="Times New Roman" w:hAnsi="Times New Roman"/>
                <w:sz w:val="14"/>
                <w:szCs w:val="14"/>
                <w:color w:val="auto"/>
                <w:w w:val="97"/>
              </w:rPr>
              <w:t>Gross</w:t>
            </w:r>
          </w:p>
        </w:tc>
        <w:tc>
          <w:tcPr>
            <w:tcW w:w="580" w:type="dxa"/>
            <w:vAlign w:val="bottom"/>
          </w:tcPr>
          <w:p>
            <w:pPr>
              <w:spacing w:after="0"/>
              <w:rPr>
                <w:sz w:val="12"/>
                <w:szCs w:val="12"/>
                <w:color w:val="auto"/>
              </w:rPr>
            </w:pPr>
          </w:p>
        </w:tc>
        <w:tc>
          <w:tcPr>
            <w:tcW w:w="600" w:type="dxa"/>
            <w:vAlign w:val="bottom"/>
            <w:gridSpan w:val="2"/>
          </w:tcPr>
          <w:p>
            <w:pPr>
              <w:jc w:val="center"/>
              <w:ind w:right="60"/>
              <w:spacing w:after="0" w:line="143" w:lineRule="exact"/>
              <w:rPr>
                <w:sz w:val="20"/>
                <w:szCs w:val="20"/>
                <w:color w:val="auto"/>
              </w:rPr>
            </w:pPr>
            <w:r>
              <w:rPr>
                <w:rFonts w:ascii="Times New Roman" w:cs="Times New Roman" w:eastAsia="Times New Roman" w:hAnsi="Times New Roman"/>
                <w:sz w:val="14"/>
                <w:szCs w:val="14"/>
                <w:color w:val="auto"/>
                <w:w w:val="96"/>
              </w:rPr>
              <w:t>Estimated</w:t>
            </w: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60" w:type="dxa"/>
            <w:vAlign w:val="bottom"/>
          </w:tcPr>
          <w:p>
            <w:pPr>
              <w:spacing w:after="0"/>
              <w:rPr>
                <w:sz w:val="12"/>
                <w:szCs w:val="12"/>
                <w:color w:val="auto"/>
              </w:rPr>
            </w:pPr>
          </w:p>
        </w:tc>
        <w:tc>
          <w:tcPr>
            <w:tcW w:w="64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4"/>
              </w:rPr>
              <w:t>Unrealized</w:t>
            </w:r>
          </w:p>
        </w:tc>
        <w:tc>
          <w:tcPr>
            <w:tcW w:w="56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Unrealized</w:t>
            </w:r>
          </w:p>
        </w:tc>
        <w:tc>
          <w:tcPr>
            <w:tcW w:w="5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7"/>
              </w:rPr>
              <w:t>Fair</w:t>
            </w:r>
          </w:p>
        </w:tc>
      </w:tr>
      <w:tr>
        <w:trPr>
          <w:trHeight w:val="168"/>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w:t>
            </w:r>
          </w:p>
        </w:tc>
        <w:tc>
          <w:tcPr>
            <w:tcW w:w="3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color w:val="auto"/>
                <w:w w:val="97"/>
              </w:rPr>
              <w:t>Gains</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color w:val="auto"/>
                <w:w w:val="94"/>
              </w:rPr>
              <w:t>Losses</w:t>
            </w:r>
          </w:p>
        </w:tc>
        <w:tc>
          <w:tcPr>
            <w:tcW w:w="5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Value</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600" w:type="dxa"/>
            <w:vAlign w:val="bottom"/>
            <w:gridSpan w:val="3"/>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rPr>
              <w:t>1,200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9"/>
              </w:rPr>
              <w:t>$ 1,200</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Effective maturities of short-term investments at June 28, 2014 and December 28, 2013,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color w:val="auto"/>
              </w:rPr>
              <w:t>June 28, 2014</w:t>
            </w:r>
          </w:p>
        </w:tc>
        <w:tc>
          <w:tcPr>
            <w:tcW w:w="520" w:type="dxa"/>
            <w:vAlign w:val="bottom"/>
          </w:tcPr>
          <w:p>
            <w:pPr>
              <w:spacing w:after="0"/>
              <w:rPr>
                <w:sz w:val="14"/>
                <w:szCs w:val="14"/>
                <w:color w:val="auto"/>
              </w:rPr>
            </w:pPr>
          </w:p>
        </w:tc>
        <w:tc>
          <w:tcPr>
            <w:tcW w:w="16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color w:val="auto"/>
              </w:rPr>
              <w:t>December 28, 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Amortized</w:t>
            </w:r>
          </w:p>
        </w:tc>
        <w:tc>
          <w:tcPr>
            <w:tcW w:w="520" w:type="dxa"/>
            <w:vAlign w:val="bottom"/>
          </w:tcPr>
          <w:p>
            <w:pPr>
              <w:spacing w:after="0"/>
              <w:rPr>
                <w:sz w:val="12"/>
                <w:szCs w:val="12"/>
                <w:color w:val="auto"/>
              </w:rPr>
            </w:pPr>
          </w:p>
        </w:tc>
        <w:tc>
          <w:tcPr>
            <w:tcW w:w="108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Estimated</w:t>
            </w: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Amortized</w:t>
            </w:r>
          </w:p>
        </w:tc>
        <w:tc>
          <w:tcPr>
            <w:tcW w:w="520" w:type="dxa"/>
            <w:vAlign w:val="bottom"/>
          </w:tcPr>
          <w:p>
            <w:pPr>
              <w:spacing w:after="0"/>
              <w:rPr>
                <w:sz w:val="12"/>
                <w:szCs w:val="12"/>
                <w:color w:val="auto"/>
              </w:rPr>
            </w:pPr>
          </w:p>
        </w:tc>
        <w:tc>
          <w:tcPr>
            <w:tcW w:w="6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color w:val="auto"/>
              </w:rPr>
              <w:t>Estimated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Cost</w:t>
            </w:r>
          </w:p>
        </w:tc>
        <w:tc>
          <w:tcPr>
            <w:tcW w:w="5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0"/>
              </w:rPr>
              <w:t>Fair Value</w:t>
            </w: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Cost</w:t>
            </w:r>
          </w:p>
        </w:tc>
        <w:tc>
          <w:tcPr>
            <w:tcW w:w="5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780" w:type="dxa"/>
            <w:vAlign w:val="bottom"/>
            <w:gridSpan w:val="2"/>
            <w:shd w:val="clear" w:color="auto" w:fill="CCEEFF"/>
          </w:tcPr>
          <w:p>
            <w:pPr>
              <w:jc w:val="center"/>
              <w:ind w:left="3112"/>
              <w:spacing w:after="0"/>
              <w:rPr>
                <w:sz w:val="20"/>
                <w:szCs w:val="20"/>
                <w:color w:val="auto"/>
              </w:rPr>
            </w:pPr>
            <w:r>
              <w:rPr>
                <w:rFonts w:ascii="Times New Roman" w:cs="Times New Roman" w:eastAsia="Times New Roman" w:hAnsi="Times New Roman"/>
                <w:sz w:val="18"/>
                <w:szCs w:val="18"/>
                <w:color w:val="auto"/>
              </w:rPr>
              <w:t>$   200</w:t>
            </w:r>
          </w:p>
        </w:tc>
        <w:tc>
          <w:tcPr>
            <w:tcW w:w="16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200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$ 1,200</w:t>
            </w:r>
          </w:p>
        </w:tc>
        <w:tc>
          <w:tcPr>
            <w:tcW w:w="11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$ 1,200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0" w:type="dxa"/>
            <w:vAlign w:val="bottom"/>
            <w:vMerge w:val="restart"/>
          </w:tcPr>
          <w:p>
            <w:pPr>
              <w:jc w:val="right"/>
              <w:ind w:right="1172"/>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5" w:right="3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5"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Our municipal securities include variable rate demand notes which can be put (sold at par) typically on a daily basis with settlement periods ranging from the same day to one week and have varying contractual maturities through 2034. These securities can be used for short-term liquidity needs and are held for limited periods of time. At June 28, 2014 and December 28, 2013 these securities had amortized cost and fair value of $0.2 million and $1.2 million, respectively, and are included in “Due in one year or less” in the table above.</w:t>
      </w:r>
    </w:p>
    <w:p>
      <w:pPr>
        <w:spacing w:after="0" w:line="55" w:lineRule="exact"/>
        <w:rPr>
          <w:sz w:val="20"/>
          <w:szCs w:val="20"/>
          <w:color w:val="auto"/>
        </w:rPr>
      </w:pPr>
    </w:p>
    <w:p>
      <w:pPr>
        <w:ind w:left="460" w:right="40"/>
        <w:spacing w:after="0" w:line="255" w:lineRule="auto"/>
        <w:rPr>
          <w:sz w:val="20"/>
          <w:szCs w:val="20"/>
          <w:color w:val="auto"/>
        </w:rPr>
      </w:pPr>
      <w:r>
        <w:rPr>
          <w:rFonts w:ascii="Times New Roman" w:cs="Times New Roman" w:eastAsia="Times New Roman" w:hAnsi="Times New Roman"/>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spacing w:after="0" w:line="58" w:lineRule="exact"/>
        <w:rPr>
          <w:sz w:val="20"/>
          <w:szCs w:val="20"/>
          <w:color w:val="auto"/>
        </w:rPr>
      </w:pPr>
    </w:p>
    <w:p>
      <w:pPr>
        <w:ind w:left="460" w:right="280"/>
        <w:spacing w:after="0" w:line="275" w:lineRule="auto"/>
        <w:rPr>
          <w:sz w:val="20"/>
          <w:szCs w:val="20"/>
          <w:color w:val="auto"/>
        </w:rPr>
      </w:pPr>
      <w:r>
        <w:rPr>
          <w:rFonts w:ascii="Times New Roman" w:cs="Times New Roman" w:eastAsia="Times New Roman" w:hAnsi="Times New Roman"/>
          <w:sz w:val="18"/>
          <w:szCs w:val="18"/>
          <w:color w:val="auto"/>
        </w:rPr>
        <w:t xml:space="preserve">The following table summarizes, by major security type, our assets that are measured at fair value on a recurring basis and are categorized using the fair value hierarchy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9"/>
          </w:tcPr>
          <w:p>
            <w:pPr>
              <w:jc w:val="center"/>
              <w:ind w:left="559"/>
              <w:spacing w:after="0"/>
              <w:rPr>
                <w:sz w:val="20"/>
                <w:szCs w:val="20"/>
                <w:color w:val="auto"/>
              </w:rPr>
            </w:pPr>
            <w:r>
              <w:rPr>
                <w:rFonts w:ascii="Times New Roman" w:cs="Times New Roman" w:eastAsia="Times New Roman" w:hAnsi="Times New Roman"/>
                <w:sz w:val="14"/>
                <w:szCs w:val="14"/>
                <w:color w:val="auto"/>
                <w:w w:val="96"/>
              </w:rPr>
              <w:t>Fair value measurements at June 28, 2014 using:</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w w:val="92"/>
              </w:rPr>
              <w:t>Total estimated</w:t>
            </w:r>
          </w:p>
        </w:tc>
        <w:tc>
          <w:tcPr>
            <w:tcW w:w="60" w:type="dxa"/>
            <w:vAlign w:val="bottom"/>
          </w:tcPr>
          <w:p>
            <w:pPr>
              <w:spacing w:after="0"/>
              <w:rPr>
                <w:sz w:val="11"/>
                <w:szCs w:val="11"/>
                <w:color w:val="auto"/>
              </w:rPr>
            </w:pPr>
          </w:p>
        </w:tc>
      </w:tr>
      <w:tr>
        <w:trPr>
          <w:trHeight w:val="16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Level 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Level 3</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fair value</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5,514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5,514</w:t>
            </w:r>
          </w:p>
        </w:tc>
      </w:tr>
      <w:tr>
        <w:trPr>
          <w:trHeight w:val="223"/>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5,714</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58,169</w:t>
            </w:r>
          </w:p>
        </w:tc>
        <w:tc>
          <w:tcPr>
            <w:tcW w:w="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center"/>
              <w:ind w:left="399"/>
              <w:spacing w:after="0"/>
              <w:rPr>
                <w:sz w:val="20"/>
                <w:szCs w:val="20"/>
                <w:color w:val="auto"/>
              </w:rPr>
            </w:pPr>
            <w:r>
              <w:rPr>
                <w:rFonts w:ascii="Times New Roman" w:cs="Times New Roman" w:eastAsia="Times New Roman" w:hAnsi="Times New Roman"/>
                <w:sz w:val="14"/>
                <w:szCs w:val="14"/>
                <w:color w:val="auto"/>
                <w:w w:val="96"/>
              </w:rPr>
              <w:t>Fair value measurements at December 28, 2013 using:</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w w:val="92"/>
              </w:rPr>
              <w:t>Total estimated</w:t>
            </w:r>
          </w:p>
        </w:tc>
        <w:tc>
          <w:tcPr>
            <w:tcW w:w="60" w:type="dxa"/>
            <w:vAlign w:val="bottom"/>
          </w:tcPr>
          <w:p>
            <w:pPr>
              <w:spacing w:after="0"/>
              <w:rPr>
                <w:sz w:val="11"/>
                <w:szCs w:val="11"/>
                <w:color w:val="auto"/>
              </w:rPr>
            </w:pPr>
          </w:p>
        </w:tc>
      </w:tr>
      <w:tr>
        <w:trPr>
          <w:trHeight w:val="16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Level 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Level 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Level 3</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fair value</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7,503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7,503</w:t>
            </w:r>
          </w:p>
        </w:tc>
      </w:tr>
      <w:tr>
        <w:trPr>
          <w:trHeight w:val="223"/>
        </w:trPr>
        <w:tc>
          <w:tcPr>
            <w:tcW w:w="5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8,703</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52,868</w:t>
            </w:r>
          </w:p>
        </w:tc>
        <w:tc>
          <w:tcPr>
            <w:tcW w:w="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Benefit Plans</w:t>
      </w:r>
    </w:p>
    <w:p>
      <w:pPr>
        <w:spacing w:after="0" w:line="92" w:lineRule="exact"/>
        <w:rPr>
          <w:rFonts w:ascii="Times New Roman" w:cs="Times New Roman" w:eastAsia="Times New Roman" w:hAnsi="Times New Roman"/>
          <w:sz w:val="18"/>
          <w:szCs w:val="18"/>
          <w:b w:val="1"/>
          <w:bCs w:val="1"/>
          <w:color w:val="auto"/>
        </w:rPr>
      </w:pPr>
    </w:p>
    <w:p>
      <w:pPr>
        <w:ind w:left="4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2005 Equity Incentive Plan is a broad-based, long-term retention program intended to attract, motivate, and retain talented employees as well as align stockholder and employee interests. Awards that may be granted under the program include, but are not limited to, non-qualified and incentive stock options, restricted stock units, and performance-based stock units. We settle employee stock option exercises, ESPP purchases, and the vesting of restricted stock units, and performance-based stock units with newly issued common shares. At June 28, 2014, there were 785,862 shares available for future equity grants under the 2005 Equity Incentive Plan.</w:t>
      </w:r>
    </w:p>
    <w:p>
      <w:pPr>
        <w:spacing w:after="0" w:line="5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92" w:lineRule="exact"/>
        <w:rPr>
          <w:rFonts w:ascii="Times New Roman" w:cs="Times New Roman" w:eastAsia="Times New Roman" w:hAnsi="Times New Roman"/>
          <w:sz w:val="18"/>
          <w:szCs w:val="18"/>
          <w:b w:val="1"/>
          <w:bCs w:val="1"/>
          <w:color w:val="auto"/>
        </w:rPr>
      </w:pPr>
    </w:p>
    <w:p>
      <w:pPr>
        <w:ind w:left="460" w:right="2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options may be granted to employees, consultants and directors to purchase a fixed number of shares of our common stock. The exercise prices of options granted are at least equal to the fair market value of our common stock on the dates of grant and options generally vest and become exercisable after one year or in four annual increments beginning one year after the date of grant. Stock options granted under the program have a maximum contractual term of ten years.</w:t>
      </w:r>
    </w:p>
    <w:p>
      <w:pPr>
        <w:spacing w:after="0" w:line="55" w:lineRule="exact"/>
        <w:rPr>
          <w:rFonts w:ascii="Times New Roman" w:cs="Times New Roman" w:eastAsia="Times New Roman" w:hAnsi="Times New Roman"/>
          <w:sz w:val="18"/>
          <w:szCs w:val="18"/>
          <w:b w:val="1"/>
          <w:bCs w:val="1"/>
          <w:color w:val="auto"/>
        </w:rPr>
      </w:pPr>
    </w:p>
    <w:p>
      <w:pPr>
        <w:ind w:left="460" w:right="4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June 28, 2014, we had 2,812,323 stock options outstanding. These options had a weighted-average exercise price of $11.71 per share, an aggregate intrinsic value of approximately $2.9 million and the weighted average remaining contractual term was approximately 5.1 years.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5"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At June 28, 2014, we had 2,195,574 stock options outstanding that were exercisable. These options had a weighted-average exercise price of $12.02 per share, an aggregate intrinsic value of $2.6 million and the weighted average remaining contractual term was approximately 4.2 years.</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92" w:lineRule="exact"/>
        <w:rPr>
          <w:sz w:val="20"/>
          <w:szCs w:val="20"/>
          <w:color w:val="auto"/>
        </w:rPr>
      </w:pPr>
    </w:p>
    <w:p>
      <w:pPr>
        <w:ind w:left="460" w:right="100"/>
        <w:spacing w:after="0" w:line="262" w:lineRule="auto"/>
        <w:rPr>
          <w:sz w:val="20"/>
          <w:szCs w:val="20"/>
          <w:color w:val="auto"/>
        </w:rPr>
      </w:pPr>
      <w:r>
        <w:rPr>
          <w:rFonts w:ascii="Times New Roman" w:cs="Times New Roman" w:eastAsia="Times New Roman" w:hAnsi="Times New Roman"/>
          <w:sz w:val="18"/>
          <w:szCs w:val="18"/>
          <w:color w:val="auto"/>
        </w:rPr>
        <w:t>We issue restricted stock units to certain employees, consultants and directors. 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w:t>
      </w:r>
    </w:p>
    <w:p>
      <w:pPr>
        <w:spacing w:after="0" w:line="51" w:lineRule="exact"/>
        <w:rPr>
          <w:sz w:val="20"/>
          <w:szCs w:val="20"/>
          <w:color w:val="auto"/>
        </w:rPr>
      </w:pPr>
    </w:p>
    <w:p>
      <w:pPr>
        <w:ind w:left="460" w:right="40"/>
        <w:spacing w:after="0" w:line="262" w:lineRule="auto"/>
        <w:rPr>
          <w:sz w:val="20"/>
          <w:szCs w:val="20"/>
          <w:color w:val="auto"/>
        </w:rPr>
      </w:pPr>
      <w:r>
        <w:rPr>
          <w:rFonts w:ascii="Times New Roman" w:cs="Times New Roman" w:eastAsia="Times New Roman" w:hAnsi="Times New Roman"/>
          <w:sz w:val="18"/>
          <w:szCs w:val="18"/>
          <w:color w:val="auto"/>
        </w:rPr>
        <w:t>Subsequent to December 28, 2013, we awarded restricted stock units covering 492,238 shares of our common stock to employees and at June 28, 2014, we had 1,109,297 restricted stock units outstanding with an aggregate intrinsic value of approximately $11.8 million and the weighted average remaining vesting period was approximately 1.7 years.</w:t>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Equity-Based Performance Stock Units</w:t>
      </w:r>
    </w:p>
    <w:p>
      <w:pPr>
        <w:spacing w:after="0" w:line="92" w:lineRule="exact"/>
        <w:rPr>
          <w:sz w:val="20"/>
          <w:szCs w:val="20"/>
          <w:color w:val="auto"/>
        </w:rPr>
      </w:pPr>
    </w:p>
    <w:p>
      <w:pPr>
        <w:ind w:left="460"/>
        <w:spacing w:after="0" w:line="293" w:lineRule="auto"/>
        <w:rPr>
          <w:sz w:val="20"/>
          <w:szCs w:val="20"/>
          <w:color w:val="auto"/>
        </w:rPr>
      </w:pPr>
      <w:r>
        <w:rPr>
          <w:rFonts w:ascii="Times New Roman" w:cs="Times New Roman" w:eastAsia="Times New Roman" w:hAnsi="Times New Roman"/>
          <w:sz w:val="16"/>
          <w:szCs w:val="16"/>
          <w:color w:val="auto"/>
        </w:rPr>
        <w:t>Starting in 2012, we began issuing equity-based performance stock units (“PSUs”) to certain employees to reward achievement of financial performance goals set by the Board of Directors. Equity-based performance stock units vest over a three-year period from the date of grant. Prior to vesting, equity-based performance stock units do not have dividend equivalent rights, do not have voting rights and the shares underlying the restricted stock units are not considered issued and outstanding. The number of shares of stock ultimately issued to participants will depend upon the extent to which certain performance goals are met. The award measurement period is one fiscal year and based upon the level of goal achievement, the number of shares we will issue can range from 0% up to 150% of the granted units and vest over three years from the date of initial grant and upon final Board of Directors approval.</w:t>
      </w:r>
    </w:p>
    <w:p>
      <w:pPr>
        <w:spacing w:after="0" w:line="3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Subsequent to December 28, 2013, we awarded 208,015 equity-based performance stock units to senior executives with vesting that is contingent on the level of achievement of certain performance goals, market return and continued service (“market-based PSUs”). The market-based PSUs issued in 2014 are subject to a one-year performance period after which the number of market-based PSUs earned will be determined and will then be subject to certain adjustments resulting from performance of Cohu’s Relative Total Shareholder Return (“TSR”) to a selected peer group over a two year measurement period following the date of grant with the total adjustment ranging from 75% to 125% of the target amount based on the percentage by which our TSR exceeds or falls below the selected peer group. Market-based PSUs earned will vest at the rate of 50% on the second and third anniversary of their grant. We estimated the fair value of market-based PSUs using a Monte Carlo simulation model on the date of grant. The model incorporates assumptions for the risk-free interest rate, Cohu and the selected peer group price volatility, the correlation between Cohu and the selected index, and dividend yields. Compensation expense is recognized ratably over the measurement period.</w:t>
      </w:r>
    </w:p>
    <w:p>
      <w:pPr>
        <w:spacing w:after="0" w:line="62" w:lineRule="exact"/>
        <w:rPr>
          <w:sz w:val="20"/>
          <w:szCs w:val="20"/>
          <w:color w:val="auto"/>
        </w:rPr>
      </w:pPr>
    </w:p>
    <w:p>
      <w:pPr>
        <w:ind w:left="460" w:right="480"/>
        <w:spacing w:after="0" w:line="275" w:lineRule="auto"/>
        <w:rPr>
          <w:sz w:val="20"/>
          <w:szCs w:val="20"/>
          <w:color w:val="auto"/>
        </w:rPr>
      </w:pPr>
      <w:r>
        <w:rPr>
          <w:rFonts w:ascii="Times New Roman" w:cs="Times New Roman" w:eastAsia="Times New Roman" w:hAnsi="Times New Roman"/>
          <w:sz w:val="18"/>
          <w:szCs w:val="18"/>
          <w:color w:val="auto"/>
        </w:rPr>
        <w:t>At June 28, 2014, we had 333,875 PSUs and market based PSUs outstanding with an aggregate intrinsic value of approximately $3.6 million and the weighted average remaining vesting period was approximately 1.8 years.</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p>
      <w:pPr>
        <w:spacing w:after="0" w:line="92" w:lineRule="exact"/>
        <w:rPr>
          <w:sz w:val="20"/>
          <w:szCs w:val="20"/>
          <w:color w:val="auto"/>
        </w:rPr>
      </w:pPr>
    </w:p>
    <w:p>
      <w:pPr>
        <w:ind w:left="460"/>
        <w:spacing w:after="0" w:line="287" w:lineRule="auto"/>
        <w:rPr>
          <w:sz w:val="20"/>
          <w:szCs w:val="20"/>
          <w:color w:val="auto"/>
        </w:rPr>
      </w:pPr>
      <w:r>
        <w:rPr>
          <w:rFonts w:ascii="Times New Roman" w:cs="Times New Roman" w:eastAsia="Times New Roman" w:hAnsi="Times New Roman"/>
          <w:sz w:val="16"/>
          <w:szCs w:val="16"/>
          <w:color w:val="auto"/>
        </w:rPr>
        <w:t>The Cohu, Inc. 1997 Employee Stock Purchase Plan (“the Plan”) provides for the issuance of shares of our common stock. Under the Plan, eligible employees may purchase shares of Cohu common stock through payroll deductions at a price equal to 85 percent of the lower of the fair market value of Cohu common stock at the beginning or end of each 6-month purchase period, subject to certain limits. During the three-month period ended June 28, 2014</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we sold 71,492 shares to our employees under the Plan and we have 250,930 shares available for future issuance.</w:t>
      </w:r>
    </w:p>
    <w:p>
      <w:pPr>
        <w:spacing w:after="0" w:line="7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rFonts w:ascii="Times New Roman" w:cs="Times New Roman" w:eastAsia="Times New Roman" w:hAnsi="Times New Roman"/>
          <w:sz w:val="18"/>
          <w:szCs w:val="18"/>
          <w:b w:val="1"/>
          <w:bCs w:val="1"/>
          <w:color w:val="auto"/>
        </w:rPr>
      </w:pPr>
    </w:p>
    <w:p>
      <w:pPr>
        <w:ind w:left="4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Ordinarily, interim tax provisions are calculated using the estimated effective tax rate (“ETR”) expected to be applicable for the full fiscal year. However, when a reliable estimate of the annual ETR cannot be made, the actual ETR for the year-to-date period may be the best estimate of the annual ETR. For the three and six months ended June 28, 2014 and June 29, 2013 we used the actual year-to-date ETR in computing our tax provision or benefit as a reliable estimate of the annual ETR cannot be made as relatively small changes in our projected income or loss produce a significant variation in our ETR. The actual year-to-date ETR on income or loss from continuing operations for the three months ended June 28, 2014 and June 29, 2013, was 11.3% and 11.2%, respectively, and for the six months ended June 28, 2014 and June 29, 2013 was (2.7)% and 8.0%, respectively. The tax provision or benefit on income or loss from continuing operations in 2014 and 2013 differs from the U.S. federal statutory rate primarily due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5" w:lineRule="exact"/>
        <w:rPr>
          <w:sz w:val="20"/>
          <w:szCs w:val="20"/>
          <w:color w:val="auto"/>
        </w:rPr>
      </w:pPr>
    </w:p>
    <w:p>
      <w:pPr>
        <w:ind w:left="460" w:right="420"/>
        <w:spacing w:after="0" w:line="262" w:lineRule="auto"/>
        <w:rPr>
          <w:sz w:val="20"/>
          <w:szCs w:val="20"/>
          <w:color w:val="auto"/>
        </w:rPr>
      </w:pPr>
      <w:r>
        <w:rPr>
          <w:rFonts w:ascii="Times New Roman" w:cs="Times New Roman" w:eastAsia="Times New Roman" w:hAnsi="Times New Roman"/>
          <w:sz w:val="18"/>
          <w:szCs w:val="18"/>
          <w:color w:val="auto"/>
        </w:rPr>
        <w:t>to the inability to benefit our domestic losses other than to the extent we have a tax provision on income from items that are excluded from continuing operations, foreign income taxed at lower rates, changes in our deferred tax asset valuation allowance, state taxes and changes and interest related to unrecognized tax benefits.</w:t>
      </w:r>
    </w:p>
    <w:p>
      <w:pPr>
        <w:spacing w:after="0" w:line="51" w:lineRule="exact"/>
        <w:rPr>
          <w:sz w:val="20"/>
          <w:szCs w:val="20"/>
          <w:color w:val="auto"/>
        </w:rPr>
      </w:pPr>
    </w:p>
    <w:p>
      <w:pPr>
        <w:ind w:left="460" w:right="280"/>
        <w:spacing w:after="0" w:line="275" w:lineRule="auto"/>
        <w:rPr>
          <w:sz w:val="20"/>
          <w:szCs w:val="20"/>
          <w:color w:val="auto"/>
        </w:rPr>
      </w:pPr>
      <w:r>
        <w:rPr>
          <w:rFonts w:ascii="Times New Roman" w:cs="Times New Roman" w:eastAsia="Times New Roman" w:hAnsi="Times New Roman"/>
          <w:sz w:val="18"/>
          <w:szCs w:val="18"/>
          <w:color w:val="auto"/>
        </w:rPr>
        <w:t>There was no material change to our unrecognized tax benefits and interest accrued related to unrecognized tax benefits during the three and six months ended June 28, 2014.</w:t>
      </w:r>
    </w:p>
    <w:p>
      <w:pPr>
        <w:spacing w:after="0" w:line="37"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Industry Segments</w:t>
      </w:r>
    </w:p>
    <w:p>
      <w:pPr>
        <w:spacing w:after="0" w:line="92"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reportable segments are business units that offer different products and are managed separately because each business requires different technology and marketing strategies. As discussed in Note 2, in June 2014, we sold substantially all the assets of Cohu Electronics, which comprised our video camera segment and have presented financial information for this segment as discontinued operations. Subsequent to this transaction Cohu’s remaining reportable segments are semiconductor and microwave communications equipment.</w:t>
      </w:r>
    </w:p>
    <w:p>
      <w:pPr>
        <w:spacing w:after="0" w:line="55" w:lineRule="exact"/>
        <w:rPr>
          <w:rFonts w:ascii="Times New Roman" w:cs="Times New Roman" w:eastAsia="Times New Roman" w:hAnsi="Times New Roman"/>
          <w:sz w:val="18"/>
          <w:szCs w:val="18"/>
          <w:b w:val="1"/>
          <w:bCs w:val="1"/>
          <w:color w:val="auto"/>
        </w:rPr>
      </w:pPr>
    </w:p>
    <w:p>
      <w:pPr>
        <w:ind w:left="4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allocate resources and evaluate the performance of segments based on profit or loss from operations, excluding interest, corporate expenses and unusual gains or losses. Intersegment sales were not significant for any period.</w:t>
      </w:r>
    </w:p>
    <w:p>
      <w:pPr>
        <w:spacing w:after="0" w:line="3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Financial information by industry segment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29"/>
        </w:trPr>
        <w:tc>
          <w:tcPr>
            <w:tcW w:w="5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480"/>
              <w:spacing w:after="0" w:line="129" w:lineRule="exact"/>
              <w:rPr>
                <w:sz w:val="20"/>
                <w:szCs w:val="20"/>
                <w:color w:val="auto"/>
              </w:rPr>
            </w:pPr>
            <w:r>
              <w:rPr>
                <w:rFonts w:ascii="Times New Roman" w:cs="Times New Roman" w:eastAsia="Times New Roman" w:hAnsi="Times New Roman"/>
                <w:sz w:val="14"/>
                <w:szCs w:val="14"/>
                <w:color w:val="auto"/>
              </w:rPr>
              <w:t>June 28,</w:t>
            </w:r>
          </w:p>
        </w:tc>
        <w:tc>
          <w:tcPr>
            <w:tcW w:w="5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29,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40"/>
              <w:spacing w:after="0" w:line="129" w:lineRule="exact"/>
              <w:rPr>
                <w:sz w:val="20"/>
                <w:szCs w:val="20"/>
                <w:color w:val="auto"/>
              </w:rPr>
            </w:pPr>
            <w:r>
              <w:rPr>
                <w:rFonts w:ascii="Times New Roman" w:cs="Times New Roman" w:eastAsia="Times New Roman" w:hAnsi="Times New Roman"/>
                <w:sz w:val="14"/>
                <w:szCs w:val="14"/>
                <w:color w:val="auto"/>
                <w:w w:val="94"/>
              </w:rPr>
              <w:t>June 28,</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6"/>
              <w:spacing w:after="0" w:line="129" w:lineRule="exact"/>
              <w:rPr>
                <w:sz w:val="20"/>
                <w:szCs w:val="20"/>
                <w:color w:val="auto"/>
              </w:rPr>
            </w:pPr>
            <w:r>
              <w:rPr>
                <w:rFonts w:ascii="Times New Roman" w:cs="Times New Roman" w:eastAsia="Times New Roman" w:hAnsi="Times New Roman"/>
                <w:sz w:val="14"/>
                <w:szCs w:val="14"/>
                <w:color w:val="auto"/>
                <w:w w:val="94"/>
              </w:rPr>
              <w:t>June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sales by segment:</w:t>
            </w: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2014</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2013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color w:val="auto"/>
              </w:rPr>
              <w:t>2014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Semiconductor equipment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74,299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59,339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134,469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107,923</w:t>
            </w:r>
          </w:p>
        </w:tc>
        <w:tc>
          <w:tcPr>
            <w:tcW w:w="0" w:type="dxa"/>
            <w:vAlign w:val="bottom"/>
          </w:tcPr>
          <w:p>
            <w:pPr>
              <w:spacing w:after="0"/>
              <w:rPr>
                <w:sz w:val="1"/>
                <w:szCs w:val="1"/>
                <w:color w:val="auto"/>
              </w:rPr>
            </w:pPr>
          </w:p>
        </w:tc>
      </w:tr>
      <w:tr>
        <w:trPr>
          <w:trHeight w:val="22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Microwave communications equipment</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Consolidated net sales for reportable segments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77,850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62,234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142,714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114,461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Segment profit (loss):</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Semiconductor equipment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(9,466)</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Microwave communications equipment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(1,798)</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Profit (loss) for reportable segments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(14,479)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unallocated amounts: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(1,637)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23"/>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net</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120"/>
        <w:spacing w:after="0" w:line="275" w:lineRule="auto"/>
        <w:rPr>
          <w:sz w:val="20"/>
          <w:szCs w:val="20"/>
          <w:color w:val="auto"/>
        </w:rPr>
      </w:pPr>
      <w:r>
        <w:rPr>
          <w:rFonts w:ascii="Times New Roman" w:cs="Times New Roman" w:eastAsia="Times New Roman" w:hAnsi="Times New Roman"/>
          <w:sz w:val="18"/>
          <w:szCs w:val="18"/>
          <w:color w:val="auto"/>
        </w:rPr>
        <w:t xml:space="preserve">A small number of customers of our semiconductor equipment segment historically have been responsible for a significant portion of our consolidated net sales. Significant customer concentration information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Three Months Ended</w:t>
            </w:r>
          </w:p>
        </w:tc>
        <w:tc>
          <w:tcPr>
            <w:tcW w:w="15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29"/>
        </w:trPr>
        <w:tc>
          <w:tcPr>
            <w:tcW w:w="670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520"/>
              <w:spacing w:after="0" w:line="129" w:lineRule="exact"/>
              <w:rPr>
                <w:sz w:val="20"/>
                <w:szCs w:val="20"/>
                <w:color w:val="auto"/>
              </w:rPr>
            </w:pPr>
            <w:r>
              <w:rPr>
                <w:rFonts w:ascii="Times New Roman" w:cs="Times New Roman" w:eastAsia="Times New Roman" w:hAnsi="Times New Roman"/>
                <w:sz w:val="14"/>
                <w:szCs w:val="14"/>
                <w:color w:val="auto"/>
                <w:w w:val="94"/>
              </w:rPr>
              <w:t>June 28,</w:t>
            </w:r>
          </w:p>
        </w:tc>
        <w:tc>
          <w:tcPr>
            <w:tcW w:w="56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June 29,</w:t>
            </w:r>
          </w:p>
        </w:tc>
        <w:tc>
          <w:tcPr>
            <w:tcW w:w="62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620"/>
              <w:spacing w:after="0" w:line="129" w:lineRule="exact"/>
              <w:rPr>
                <w:sz w:val="20"/>
                <w:szCs w:val="20"/>
                <w:color w:val="auto"/>
              </w:rPr>
            </w:pPr>
            <w:r>
              <w:rPr>
                <w:rFonts w:ascii="Times New Roman" w:cs="Times New Roman" w:eastAsia="Times New Roman" w:hAnsi="Times New Roman"/>
                <w:sz w:val="14"/>
                <w:szCs w:val="14"/>
                <w:color w:val="auto"/>
                <w:w w:val="94"/>
              </w:rPr>
              <w:t>June 28,</w:t>
            </w:r>
          </w:p>
        </w:tc>
        <w:tc>
          <w:tcPr>
            <w:tcW w:w="4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June 29,</w:t>
            </w:r>
          </w:p>
        </w:tc>
      </w:tr>
      <w:tr>
        <w:trPr>
          <w:trHeight w:val="161"/>
        </w:trPr>
        <w:tc>
          <w:tcPr>
            <w:tcW w:w="67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color w:val="auto"/>
              </w:rPr>
              <w:t>2014</w:t>
            </w:r>
          </w:p>
        </w:tc>
        <w:tc>
          <w:tcPr>
            <w:tcW w:w="5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2013</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2014</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color w:val="auto"/>
              </w:rPr>
              <w:t>2013</w:t>
            </w: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 individually more than 10% of consolidated net sales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two</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three</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w:t>
            </w:r>
          </w:p>
        </w:tc>
      </w:tr>
      <w:tr>
        <w:trPr>
          <w:trHeight w:val="22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consolidated net sales</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5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92" w:lineRule="exact"/>
        <w:rPr>
          <w:rFonts w:ascii="Times New Roman" w:cs="Times New Roman" w:eastAsia="Times New Roman" w:hAnsi="Times New Roman"/>
          <w:sz w:val="18"/>
          <w:szCs w:val="18"/>
          <w:b w:val="1"/>
          <w:bCs w:val="1"/>
          <w:color w:val="auto"/>
        </w:rPr>
      </w:pPr>
    </w:p>
    <w:p>
      <w:pPr>
        <w:ind w:left="46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time-to-time we are involved in various legal proceedings, examinations by various tax authorities and claims that have arisen in the ordinary course of our businesses. The outcome of any litigation is inherently uncertain. While there can be no assurance, we do not believe at the present time that the resolution of the matters described above will have a material adverse effect on our assets, financial position or results of operations.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3"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w:t>
      </w:r>
    </w:p>
    <w:p>
      <w:pPr>
        <w:spacing w:after="0" w:line="92" w:lineRule="exact"/>
        <w:rPr>
          <w:rFonts w:ascii="Times New Roman" w:cs="Times New Roman" w:eastAsia="Times New Roman" w:hAnsi="Times New Roman"/>
          <w:sz w:val="18"/>
          <w:szCs w:val="18"/>
          <w:b w:val="1"/>
          <w:bCs w:val="1"/>
          <w:color w:val="auto"/>
        </w:rPr>
      </w:pPr>
    </w:p>
    <w:p>
      <w:pPr>
        <w:ind w:left="4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products are generally sold with warranty periods that range from 12 to 36 months following sale or acceptance. Parts and labor are covered under the terms of the warranty agreement. The warranty provision is based on historical and projected experience by product and configuration.</w:t>
      </w:r>
    </w:p>
    <w:p>
      <w:pPr>
        <w:spacing w:after="0" w:line="3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accrued warranty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0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color w:val="auto"/>
              </w:rPr>
              <w:t>Three Months Ended</w:t>
            </w: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29"/>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June 28,</w:t>
            </w: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29,</w:t>
            </w:r>
          </w:p>
        </w:tc>
        <w:tc>
          <w:tcPr>
            <w:tcW w:w="4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June 28,</w:t>
            </w: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29,</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2014</w:t>
            </w:r>
          </w:p>
        </w:tc>
        <w:tc>
          <w:tcPr>
            <w:tcW w:w="26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2013</w:t>
            </w:r>
          </w:p>
        </w:tc>
        <w:tc>
          <w:tcPr>
            <w:tcW w:w="48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2014</w:t>
            </w:r>
          </w:p>
        </w:tc>
        <w:tc>
          <w:tcPr>
            <w:tcW w:w="26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$ 4,816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$ 5,255</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$ 5,155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 accruals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6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1,921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2,166</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payments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(1,371)</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(1,457)</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(2,866)</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Warranty liability assumed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$ 4,582</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$ 5,719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$ 4,582</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$ 5,719</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40"/>
        <w:spacing w:after="0" w:line="256" w:lineRule="auto"/>
        <w:rPr>
          <w:sz w:val="20"/>
          <w:szCs w:val="20"/>
          <w:color w:val="auto"/>
        </w:rPr>
      </w:pPr>
      <w:r>
        <w:rPr>
          <w:rFonts w:ascii="Times New Roman" w:cs="Times New Roman" w:eastAsia="Times New Roman" w:hAnsi="Times New Roman"/>
          <w:sz w:val="18"/>
          <w:szCs w:val="18"/>
          <w:color w:val="auto"/>
        </w:rPr>
        <w:t>From time-to-time, during the ordinary course of business, we provide standby letters of credit for certain contingent liabilities under contractual arrangements, including customer contracts. As of June 28, 2014, the maximum potential amount of future payments that Cohu could be required to make under these standby letters of credit was approximately $0.6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20"/>
          </w:cols>
          <w:pgMar w:left="240" w:top="45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2013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Cohu operates in two business segments. Our primary business is the development, manufacture, sale and servicing of test handling, burn-in, thermal sub-systems and MEMS test solutions for the global semiconductor industry through our wholly-owned subsidiaries, Delta Design, Inc., Rasco GmbH and Ismeca Semiconductor Holding SA. Our primary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is difficult to accurately predict.</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Average orders for back-end semiconductor equipment, as reported by Semiconductor Equipment and Materials International (SEMI), continued increasing sequentially each month during the second quarter of 2014. Consistent with the broader market, the order momentum within our semiconductor equipment segment that began toward the end of fiscal 2013 has continued its upward trend with orders increasing 28% sequentially, in the second quarter of 2014. We continue to experience order demand across all our product lines and customer base with our pick and place and gravity handlers benefitting in particular from continued demand from the automotive and industrial segments. The sustained improvement in the results within our turret business are being driven largely by the consumer, mobility and discrete markets and by increased demand from LED customers. We continue to be optimistic about the long-term prospects for the semiconductor equipment industry due to expanding applications, growing integrated circuit content in automotive, consumer and industrial applications, and the projected adoption of high brightness LEDs for the general lighting market.</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mobile microwave communications equipment business (Broadcast Microwave Services, Inc.) comprised approximately 10% of our consolidated revenues during the three-year period ended December 28, 2013 and was approximately 4.6% for the quarter ended June 28, 2014. Our microwave communications equipment business develops, manufactures and sells mobile microwave communications equipment, antenna systems and associated equipment. These products are used in the transmission of video, audio and telemetry. Applications for these microwave data-links include unmanned aerial vehicles (“UAVs”), public safety, security, surveillance and electronic news gathering. Customers for these products include government agencies, public safety organizations, UAV program contractors, television broadcasters and other commercial entities.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 and Policies</w:t>
      </w:r>
    </w:p>
    <w:p>
      <w:pPr>
        <w:spacing w:after="0" w:line="9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an investor’s understanding of our financial results and condition and require complex management judgment include:</w:t>
      </w:r>
    </w:p>
    <w:p>
      <w:pPr>
        <w:spacing w:after="0" w:line="31" w:lineRule="exact"/>
        <w:rPr>
          <w:sz w:val="20"/>
          <w:szCs w:val="20"/>
          <w:color w:val="auto"/>
        </w:rPr>
      </w:pPr>
    </w:p>
    <w:p>
      <w:pPr>
        <w:ind w:left="440" w:hanging="324"/>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deferral of revenue on sales to customers, which impacts our results of operations;</w:t>
      </w:r>
    </w:p>
    <w:p>
      <w:pPr>
        <w:spacing w:after="0" w:line="90" w:lineRule="exact"/>
        <w:rPr>
          <w:rFonts w:ascii="Times New Roman" w:cs="Times New Roman" w:eastAsia="Times New Roman" w:hAnsi="Times New Roman"/>
          <w:sz w:val="18"/>
          <w:szCs w:val="18"/>
          <w:color w:val="auto"/>
        </w:rPr>
      </w:pPr>
    </w:p>
    <w:p>
      <w:pPr>
        <w:ind w:left="440" w:right="360" w:hanging="324"/>
        <w:spacing w:after="0" w:line="275" w:lineRule="auto"/>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valuation allowances and accrued liabilities, specifically product warranty, inventory reserves and allowance for bad debts, which impact gross margin or operating expenses;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5" w:lineRule="exact"/>
        <w:rPr>
          <w:sz w:val="20"/>
          <w:szCs w:val="20"/>
          <w:color w:val="auto"/>
        </w:rPr>
      </w:pPr>
    </w:p>
    <w:p>
      <w:pPr>
        <w:ind w:left="440" w:right="600" w:hanging="324"/>
        <w:spacing w:after="0" w:line="275"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38" w:lineRule="exact"/>
        <w:rPr>
          <w:rFonts w:ascii="Times New Roman" w:cs="Times New Roman" w:eastAsia="Times New Roman" w:hAnsi="Times New Roman"/>
          <w:sz w:val="18"/>
          <w:szCs w:val="18"/>
          <w:color w:val="auto"/>
        </w:rPr>
      </w:pPr>
    </w:p>
    <w:p>
      <w:pPr>
        <w:ind w:left="440" w:right="400" w:hanging="324"/>
        <w:spacing w:after="0" w:line="275"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or amortization; and</w:t>
      </w:r>
    </w:p>
    <w:p>
      <w:pPr>
        <w:spacing w:after="0" w:line="38" w:lineRule="exact"/>
        <w:rPr>
          <w:rFonts w:ascii="Times New Roman" w:cs="Times New Roman" w:eastAsia="Times New Roman" w:hAnsi="Times New Roman"/>
          <w:sz w:val="18"/>
          <w:szCs w:val="18"/>
          <w:color w:val="auto"/>
        </w:rPr>
      </w:pPr>
    </w:p>
    <w:p>
      <w:pPr>
        <w:ind w:left="440" w:right="500" w:hanging="324"/>
        <w:spacing w:after="0" w:line="275"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and recognition of share-based compensation, which impacts gross margin, research and development expense, and selling, general and administrative expense.</w:t>
      </w:r>
    </w:p>
    <w:p>
      <w:pPr>
        <w:spacing w:after="0" w:line="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3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generally recognize revenue upon shipment and title passage for established products (i.e., those that have previously satisfied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53"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maintain an allowance for doubtful accounts for estimated losses resulting from the inability of our customers to make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If the financial condition of our customers deteriorates, resulting in an impairment of their ability to make payments, additional allowances may be required.</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provide for the estimated costs of product warranties in the period sales are recognized. Our warranty obligation estimates are affected by historical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The valuation of inventory requires us to estimate obsolete or excess inventory as well as inventory that is not of saleable quality. The determination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estimate our liability for income taxes based on the various jurisdictions where we conduct business. This requires us to estimate our</w:t>
      </w:r>
    </w:p>
    <w:p>
      <w:pPr>
        <w:spacing w:after="0" w:line="25" w:lineRule="exact"/>
        <w:rPr>
          <w:sz w:val="20"/>
          <w:szCs w:val="20"/>
          <w:color w:val="auto"/>
        </w:rPr>
      </w:pPr>
    </w:p>
    <w:p>
      <w:pPr>
        <w:ind w:firstLine="8"/>
        <w:spacing w:after="0" w:line="252" w:lineRule="auto"/>
        <w:tabs>
          <w:tab w:leader="none" w:pos="2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June 28, 2014 was approximately $45.0 million, with a valuation allowance of approximately $36.2 million. Our deferred tax assets consist primarily of reserves and accruals that are not yet deductible for tax and tax credit and net operating loss carryforwards.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Goodwill, Purchased Intangible Assets and Other Long-lived Assets: </w:t>
      </w:r>
      <w:r>
        <w:rPr>
          <w:rFonts w:ascii="Times New Roman" w:cs="Times New Roman" w:eastAsia="Times New Roman" w:hAnsi="Times New Roman"/>
          <w:sz w:val="16"/>
          <w:szCs w:val="16"/>
          <w:color w:val="auto"/>
        </w:rPr>
        <w:t>We evaluate goodwill for impairment annually and when an event occurs or circumstances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 our annual impairment test as of October 1st of each year.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that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June 28, 2014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54"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We are subject to certain contingencies that arise in the ordinary course of our businesses which require us to assess the likelihood that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4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Share-based compensation expense related to stock options is recorded based on the fair value of the award on its grant date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For a description of accounting changes and recent accounting pronouncements, including the expected dates of adoption and estimated effects, if any, on our consolidated financial statements, see Note 1, “Recent Accounting Pronouncements” in Part I, Item 1 of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In June 2014, we sold our video camera segment, Cohu Electronics, and its operating results are being presented as discontinued operations. All prior period amounts have been reclassified and unless otherwise indicated the discussion below covers the comparative results from continuing operations.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operating data as a percentage of net sales: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26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June 28,</w:t>
            </w:r>
          </w:p>
        </w:tc>
        <w:tc>
          <w:tcPr>
            <w:tcW w:w="11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29,</w:t>
            </w:r>
          </w:p>
        </w:tc>
        <w:tc>
          <w:tcPr>
            <w:tcW w:w="11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June 28,</w:t>
            </w: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June 29,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(67.3)</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(68.6)</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(66.6)</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(13.1)</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(18.0)</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(18.3)</w:t>
            </w: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(21.2)</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(20.5)</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Fiscal 2014 Compared to Second Quarter of Fiscal 2013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94"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Our consolidated net sales increased 25.1% to $77.9 million in 2014, compared to net sales of $62.2 million in 2013. Sales of semiconductor equipment in the second quarter of fiscal 2014 were $74.3 million, and increased $15.0 million or 25.2% from 2013 and represented 95.4% of consolidated net sales in 2014 versus 95.3% in 2013. Sales generated by our semiconductor equipment segment, in the second fiscal quarter of 2014, benefitted from increased shipments of products used by automotive, consumer and industrial power customers and increased demand for equipment used for processing discrete components and LEDs.</w:t>
      </w:r>
    </w:p>
    <w:p>
      <w:pPr>
        <w:spacing w:after="0" w:line="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mobile microwave communications equipment in the second quarter of fiscal 2014 were $3.6 million, representing 4.6% of consolidated net sales and increased $0.7 million or 22.7% when compared to 2013. The increase in business volume experienced by our microwave communication equipment segment during the second fiscal quarter of 2014 resulted from higher product shipments made to government agencies and state and local law enforcement groups for use in security and surveillance infrastructure projects.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Gross margin consists of net sales less cost of sales. Cost of sales consists primarily of the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increased to 32.7% in 2014 from 31.4% in 2013. In the second fiscal quarter of 2014 the improvement in our gross margin, as compared to the prior year, resulted from the benefits from the transition of our semiconductor equipment manufacturing to Asia and favorable product mix with increased shipments of thermal sub-systems which have higher gross margins than our semiconductor test handler products.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gross margin is also impacted by charges to cost of sales related to excess, obsolete and lower of cost or market inventory adjustments. We compute the majority of our excess and obsolete inventory reserve requirements using a one-year inventory usage forecast. In the second quarter of 2014 we recorded charges to cost of sales of approximately $1.7 million for excess and obsolete inventory, primarily semiconductor equipment. In the second quarter of fiscal 2013, we recorded charges to cost of sales of approximately $0.3 million. During the second quarter of 2014 and 2013 we sold certain inventory which had been previously reserved and gross margin benefited by $0.3 million and $0.6 million, respectively. While we believe our reserves for excess and obsolete inventory and lower of cost or market concerns are adequate to cover known exposures at June 28, 2014,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(“R&amp;D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consists primarily of salaries and related costs of employees engaged in ongoing research, product design and development activities, costs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engineering materials and supplies and professional consulting expenses. R&amp;D expense was $10.2 million or 13.1% of net sales in 2014,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million or 18.0% in 2013, decreasing as a result of product development programs that have concluded or are nearing completion as planned, and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measures and headcount reductions which occurred throughout 2013 within both our semiconductor and microwave communications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(“SG&amp;A Expense”)</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SG&amp;A expense consists primarily of salaries and benefit costs of employees, commission expense for independent sales representatives, product promotion and costs of professional services. SG&amp;A expense was $14.3 million or 18.3% in 2014, compared to $13.2 million or 21.2% in 2013, increasing in absolute dollars as a result of higher business volume within our semiconductor equipment segment. SG&amp;A expense in 2014 included $0.4 million of manufacturing transition and employee severance costs incurred by our semiconductor and microwave communications equipment segments and was also impacted by a $0.2 million increase in employee share based compensation and intangible amortization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Ordinarily, interim tax provisions are calculated using the estimated effective tax rate (“ETR”) expected to be applicable for the full fiscal year. However, when a reliable estimate of the annual ETR cannot be made, the actual ETR for the year-to-date period may be the best estimate of the annual ETR. For the three months ended June 28, 2014 and June 29, 2013 we used the actual year-to-date ETR in computing our tax provision or benefit as a reliable estimate of the annual ETR cannot be made as relatively small changes in our projected income or loss produce a significant variation in our ETR. The actual year-to-date ETR on income or loss from continuing operations for the three months ended June 28, 2014 and June 29, 2013, was 11.3% and 11.2%, respectively. The tax provision or benefit on income or loss from continuing operations in 2014 and 2013 differs from the U.S. federal statutory rate primarily due to the inability to benefit our domestic losses other than to the extent we have a tax provision on income from items that are excluded from continuing operations, foreign income taxed at lower rates, changes in our deferred tax asset valuation allowance, state taxes and changes and interest related to unrecognized tax benefits.</w:t>
      </w:r>
    </w:p>
    <w:p>
      <w:pPr>
        <w:spacing w:after="0" w:line="3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There was no material change to our unrecognized tax benefits and interest accrued related to unrecognized tax benefits during the three months ended June 28, 2014.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Continuing Operations and Net Income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factors set forth above, our income from continuing operations was $0.9 million in 2014, compared to a loss from continuing operations of</w:t>
      </w:r>
    </w:p>
    <w:p>
      <w:pPr>
        <w:spacing w:after="0" w:line="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$4.3 million in 2013. Including the results of our discontinued video camera segment, which included a gain on disposal of $4.2 million, our net income in 2014 was $4.2 million compared to a net loss of $4.0 million in the corresponding period of 2013.</w:t>
      </w:r>
    </w:p>
    <w:p>
      <w:pPr>
        <w:spacing w:after="0" w:line="130" w:lineRule="exact"/>
        <w:rPr>
          <w:sz w:val="20"/>
          <w:szCs w:val="20"/>
          <w:color w:val="auto"/>
        </w:rPr>
      </w:pPr>
    </w:p>
    <w:p>
      <w:pPr>
        <w:ind w:right="5620"/>
        <w:spacing w:after="0" w:line="345" w:lineRule="auto"/>
        <w:rPr>
          <w:sz w:val="20"/>
          <w:szCs w:val="20"/>
          <w:color w:val="auto"/>
        </w:rPr>
      </w:pPr>
      <w:r>
        <w:rPr>
          <w:rFonts w:ascii="Times New Roman" w:cs="Times New Roman" w:eastAsia="Times New Roman" w:hAnsi="Times New Roman"/>
          <w:sz w:val="18"/>
          <w:szCs w:val="18"/>
          <w:b w:val="1"/>
          <w:bCs w:val="1"/>
          <w:color w:val="auto"/>
        </w:rPr>
        <w:t xml:space="preserve">First Six Months of Fiscal 2014 Compared to First Six Months of Fiscal 2013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consolidated net sales increased 24.7% to $142.7 million in 2014, compared to net sales of $114.5 million in 2013. Sales of semiconductor equipment in the first six months of fiscal 2014 were $134.5 million, and increased $26.5 million or 24.6% from 2013 and represented 94.2% of consolidated net sales in 2014 versus 94.3% in 2013. The increase in sales within our semiconductor equipment business in the first six months of fiscal 2014 was a result of increased shipments of products used by automotive, consumer and industrial power customers and increased demand for equipment used for processing discrete components and LEDs.</w:t>
      </w:r>
    </w:p>
    <w:p>
      <w:pPr>
        <w:spacing w:after="0" w:line="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Sales of mobile microwave communications equipment in the first six months of fiscal 2014 were $8.2 million, representing 5.8% of consolidated net sales, and increased $1.7 million or 26.1% when compared to the same period of fiscal 2013. The increase in sales of our microwave communications business during the first six months of fiscal 2014 resulted from higher product shipments made to government agencies and state and local law enforcement groups for use in security and surveillance infrastructure projects.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gross margin, as a percentage of net sales, increased to 33.4% in 2014 from 29.2% in 2013. Gross margin in the first six months of fiscal 2014 improved as compared to the prior year as a result of increased shipments of thermal sub-systems which have higher gross margins than our semiconductor test handler products and the benefits from the transition of our semiconductor equipment manufacturing to Asia. Gross margin in the first six months of fiscal 2013 was impacted by the deferral of certain revenue with bifurcated payment terms in accordance with our revenue recognition policy, and the amortization of a purchase accounting inventory step-up adjustment recorded as a result of our acquisition of Ismeca. During the first six months of fiscal 2014 and 2013 we recorded net charges to cost of sales of approximately $2.8 million and $1.5 million for excess and obsolete inventory,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w:t>
      </w:r>
    </w:p>
    <w:p>
      <w:pPr>
        <w:spacing w:after="0" w:line="9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R&amp;D expense was $20.7 million or 14.5% of net sales in 2014, compared to $24.1 million or 21.0% in 2013. The decrease in R&amp;D spending during the first six months of 2014 resulted from product development programs that have concluded or are nearing completion, as planned, and cost control measures and headcount reductions which occurred throughout 2013 within both our semiconductor and microwave communications equipment segments.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w:t>
      </w:r>
    </w:p>
    <w:p>
      <w:pPr>
        <w:spacing w:after="0" w:line="9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SG&amp;A expense was $29.3 million or 20.5% of net sales in 2014, compared to $27.4 million or 24.0% in 2013. The increase in SG&amp;A expense in the first six months of fiscal 2014 was a result of increased business volume within our semiconductor equipment segment. SG&amp;A expense in 2014 included $1.3 million of manufacturing transition and employee severance costs and was also impacted by a $0.3 million increase in employee share based compensation and intangible amortization expense. The first six months of fiscal 2013 included $0.5 million of costs incurred in connection with transitioning our semiconductor equipment manufacturing to Asia and $0.4 million of acquisition related costs incurred in connection with completing the purchase of Ismeca.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For the six months ended June 28, 2014 and June 29, 2013 we used the actual year-to-date ETR in computing our tax provision or benefit as a reliable estimate of the annual ETR cannot be made as relatively small changes in our projected income or loss produce a significant variation in our ETR. The actual year-to-date ETR on income or loss from continuing operations for the six months ended June 28, 2014 and June 29, 2013, was (2.7)% and 8.0%, respectively. The tax provision or benefit on income or loss from continuing operations in 2014 and 2013 differs from the U.S. federal statutory rate primarily due to the inability to benefit our domestic losses other than to the extent we have a tax provision on income from items that are excluded from continuing operations, foreign income taxed at lower rates, changes in our deferred tax asset valuation allowance, state taxes and changes and interest related to unrecognized tax benefits.</w:t>
      </w:r>
    </w:p>
    <w:p>
      <w:pPr>
        <w:spacing w:after="0" w:line="3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There was no material change to our unrecognized tax benefits and interest accrued related to unrecognized tax benefits during the six months ended June 28,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and Net Income</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a result of the factors set forth above, our loss from continuing operations was $2.4 million and $16.6 million in 2014 and 2013, respectively. Including the results of our discontinued video camera segment, which included a gain on disposal of $4.1 million, our net income in 2014 was $0.8 million compared to a net loss of $16.1 million in the corresponding period of 2013.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Our primary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and to fund new products and product enhancements primarily through research and development. As of June 28, 2014, $42.8 million of our cash and cash equivalents was held by our foreign subsidiaries. If these funds are needed for our operations in the U.S., we may be required to accrue and pay U.S. taxes if we repatriate these funds. Our intent is to indefinitely reinvest these funds in our foreign operations and we have no current plans that would require us to repatriate these funds to the 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following summarizes our cash, cash equivalents, short-term investments and working capital:</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3"/>
                <w:szCs w:val="13"/>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4"/>
                <w:szCs w:val="14"/>
                <w:color w:val="auto"/>
                <w:w w:val="94"/>
              </w:rPr>
              <w:t>June 28,</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December 28,</w:t>
            </w:r>
          </w:p>
        </w:tc>
        <w:tc>
          <w:tcPr>
            <w:tcW w:w="920" w:type="dxa"/>
            <w:vAlign w:val="bottom"/>
          </w:tcPr>
          <w:p>
            <w:pPr>
              <w:spacing w:after="0"/>
              <w:rPr>
                <w:sz w:val="13"/>
                <w:szCs w:val="13"/>
                <w:color w:val="auto"/>
              </w:rPr>
            </w:pPr>
          </w:p>
        </w:tc>
        <w:tc>
          <w:tcPr>
            <w:tcW w:w="1020" w:type="dxa"/>
            <w:vAlign w:val="bottom"/>
          </w:tcPr>
          <w:p>
            <w:pPr>
              <w:jc w:val="right"/>
              <w:ind w:right="122"/>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61"/>
        </w:trPr>
        <w:tc>
          <w:tcPr>
            <w:tcW w:w="502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color w:val="auto"/>
              </w:rPr>
              <w:t>2014</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2013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Increase</w:t>
            </w:r>
          </w:p>
        </w:tc>
        <w:tc>
          <w:tcPr>
            <w:tcW w:w="10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58,169</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52,868</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w w:val="95"/>
              </w:rPr>
              <w:t>132,702</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125,837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$6,865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8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Operating cash flows consist of our net loss, adjusted for non-cash expenses and changes in operating assets and liabilities. Non-cash items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depreciation and amortization, non-cash share-based compensation expense and deferred income taxes. Our net cash used in operating activities in the first six months of fiscal 2014 totaled $1.0 million. Cash used in operating activities was impacted by changes in current assets and liabilities and, excluding the impact of the sale of Cohu Electronics, included increases in accounts receivables of $11.4 million; inventory of $6.2 million;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2014</w:t>
      </w:r>
    </w:p>
    <w:p>
      <w:pPr>
        <w:spacing w:after="0" w:line="14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deferred profit of $2.8 million; accrued compensation, warranty and other liabilities of $2.2 million and accounts payable of $6.5 million. The increase in accounts receivables resulted from a sequential increase in product shipments made by our semiconductor equipment segment during the second quarter of 2014 and the timing of the resulting cash conversion cycle. Material purchases made by our semiconductor equipment segment to fulfill orders for semiconductor equipment led to an increase in our inventory balance and deferred profit increased due to revenue deferrals of semiconductor equipment shipments made in accordance with our revenue recognition policy. The increases in accounts payable and accrued compensation, warranty and other liabilities resulted from higher business volume the timing of cash payments made to vendors and our employees and the accrual of employee severance by our microwave communication equipment segment related to its geographic consolidation plan.</w:t>
      </w:r>
    </w:p>
    <w:p>
      <w:pPr>
        <w:spacing w:after="0" w:line="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Investing cash flows consist primarily of cash used for capital expenditures in support of our businesses, proceeds from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asset disposals and divestitures and cash used for purchases of investments and business acquisitions. Our net cash provided by investing activities in the first six months of fiscal 2014 totaled $9.7 million and was primarily the result of the sale of Cohu Electronics on June 6, 2014 for $9.9 million. The decision to sell Cohu Electronics resulted from Cohu management’s determination that this industry segment was no longer a strategic fit within our organization. Additions to property, plant and equipment in the first six months of fiscal 2014 were $1.1 million and were made to support the operating and development activities of our semiconductor equipment and microwave communication businesses.</w:t>
      </w:r>
    </w:p>
    <w:p>
      <w:pPr>
        <w:spacing w:after="0" w:line="5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Cash flows from financing activities consist primarily of net proceeds from the issuance of common stock under our stock option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stock purchase plans and cash used to pay dividends to our stockholders. We issue stock options and maintain an employee stock purchase plan as components of our overall employee compensation. In the first six months of fiscal 2014, we generated $0.1 million issuing common stock under our employee stock plans and we paid dividends totaling $3.0 million, or $0.12 per common share. Future quarterly dividends are subject to our cash liquidity, capital availability and periodic determinations by our Board of Directors that cash dividends are in the best interests of our stockholders.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letters of credit. As of June 28, 2014, we had approximately $0.6 million of standby letters of credit outstanding under the Secured Facility. We also have credit agreements with multiple financial institutions under which they administer lines of credit on behalf of our wholly owned Ismeca subsidiary. The agreements provide Ismeca with 2.5 million Swiss Francs of available credit and at June 28, 2014 no amounts were outstanding. We expect that we will continue to make capital expenditures to support our business and we anticipate that present working capital will be sufficient to meet our operating requirements for at least the next twelve months.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8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w:t>
      </w:r>
      <w:r>
        <w:rPr>
          <w:rFonts w:ascii="Times New Roman" w:cs="Times New Roman" w:eastAsia="Times New Roman" w:hAnsi="Times New Roman"/>
          <w:sz w:val="18"/>
          <w:szCs w:val="18"/>
          <w:color w:val="auto"/>
        </w:rPr>
        <w:t>Our significant contractual obligations consist of operating leases that have not changed materially from those disclosed in our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 on Form 10-K for the year ended December 28, 2013.</w:t>
      </w:r>
    </w:p>
    <w:p>
      <w:pPr>
        <w:spacing w:after="0" w:line="3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Commitments: </w:t>
      </w:r>
      <w:r>
        <w:rPr>
          <w:rFonts w:ascii="Times New Roman" w:cs="Times New Roman" w:eastAsia="Times New Roman" w:hAnsi="Times New Roman"/>
          <w:sz w:val="18"/>
          <w:szCs w:val="18"/>
          <w:color w:val="auto"/>
        </w:rPr>
        <w:t>From time to time, we enter into commitments with our vendors and outsourcing partners to purchase inventory at fixed prices 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Off-Balance Sheet Arrangements: </w:t>
      </w:r>
      <w:r>
        <w:rPr>
          <w:rFonts w:ascii="Times New Roman" w:cs="Times New Roman" w:eastAsia="Times New Roman" w:hAnsi="Times New Roman"/>
          <w:sz w:val="16"/>
          <w:szCs w:val="16"/>
          <w:color w:val="auto"/>
        </w:rPr>
        <w:t>During the ordinary course of business, we provide standby letters of credit instruments to certain parties as required. As of</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2014, the maximum potential amount of future payments that we could be required to make under these standby letters of credit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$0.6 million. No liability has been recorded in connection with these arrangements beyond those required to appropriately account for the underlying transaction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being guaranteed. We do not believe, based on historical experience and information currently available, that it is probable that any amounts will be required to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under these arrangements.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Interest Rate Risk.</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June 28, 2014, our investment portfolio included short-term, fixed-income investment securities with a fair value of approximately $0.2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June 28, 2014, we had no investments with loss positions.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 business on a global basis in a number of major international currencies. As such, we are exposed to adverse as well as beneficial movements in foreign currency exchange rates. The majority of our sales are denominated in U.S. dollars except for certain of our revenues that are denominated in Euros and Swiss Francs. Certain expenses incurred by our non-U.S. operations, such as employee payroll and benefits as well as some raw materials purchases and other expenses are denominated and paid in local currency.</w:t>
      </w:r>
    </w:p>
    <w:p>
      <w:pPr>
        <w:spacing w:after="0" w:line="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considered a hypothetical ten percent adverse movement in foreign exchange rates to the underlying exposures described above and believe that such a market movement would not have a material effect on our consolidated financial position,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ind w:right="120" w:firstLine="8"/>
        <w:spacing w:after="0" w:line="259" w:lineRule="auto"/>
        <w:tabs>
          <w:tab w:leader="none" w:pos="24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56" w:lineRule="exact"/>
        <w:rPr>
          <w:sz w:val="20"/>
          <w:szCs w:val="20"/>
          <w:color w:val="auto"/>
        </w:rPr>
      </w:pPr>
    </w:p>
    <w:p>
      <w:pPr>
        <w:ind w:right="440" w:firstLine="8"/>
        <w:spacing w:after="0" w:line="277" w:lineRule="auto"/>
        <w:tabs>
          <w:tab w:leader="none" w:pos="25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Changes in Internal Controls. </w:t>
      </w:r>
      <w:r>
        <w:rPr>
          <w:rFonts w:ascii="Times New Roman" w:cs="Times New Roman" w:eastAsia="Times New Roman" w:hAnsi="Times New Roman"/>
          <w:sz w:val="18"/>
          <w:szCs w:val="18"/>
          <w:color w:val="auto"/>
        </w:rPr>
        <w:t>There have been no changes in our internal control over financial reporting during the most recent fiscal quarter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affected, or is reasonable likely to materially affect our internal control over financial reporting.</w:t>
      </w:r>
    </w:p>
    <w:p>
      <w:pPr>
        <w:spacing w:after="0" w:line="3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May 14, 2013, the committee of Sponsoring Organizations of the Treadway Commission (COSO) issued an updated version of its Internal Control – Integrated Framework (2013 Framework). Originally issued in 1992 (1992 Framework), the frameworks helps organizations design, implement and evaluate the effectiveness of internal control concepts and simplify their use and application. The 1992 Framework remains available during the transition period, which extends to December 15, 2014, after which time COSO will consider it as superseded by the 2013 Framework. As of June 28, 2014 Cohu continues to utilize the 1992 Framework and will transition to the 2013 Framework by the end of 2014.</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2"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The information set forth above under Note 9 contained in the “Notes to Unaudited Condensed Consolidated Financial Statements” of this Form 10-Q is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risks described below may not be the only risks we face. Additional risks that we do not currently believe are material may also impair our business operations. The risk factors set forth below with an asterisk (*) next to the title contain changes to the description of the risk factors associated with our business as previously disclosed in Item 1A to our 2013 Annual Report on Form 10-K. If any of the events or circumstances described in the following risks occur, our business, financial condition, results of operations or cash flows could suffer, and the trading price of our common stock and our market capitalization could decline.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acquisitions, investments and divestitures.</w:t>
      </w:r>
    </w:p>
    <w:p>
      <w:pPr>
        <w:spacing w:after="0" w:line="9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have made, and may in the future make, acquisitions of, or significant investments in, businesses with complementary products, services and/or technologies such as our acquisition of Ismeca, which was completed on December 31, 2012. Acquisitions and investments involve numerous risks, including, but not limited to:</w:t>
      </w:r>
    </w:p>
    <w:p>
      <w:pPr>
        <w:spacing w:after="0" w:line="51" w:lineRule="exact"/>
        <w:rPr>
          <w:sz w:val="20"/>
          <w:szCs w:val="20"/>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costs in connection with integration of the personnel, operations, technologies and products of acquired businesses;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business;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operational matters;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or customers of Cohu or acquired businesses;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synergy, or the inability to realize expected synergies, resulting from the acquisition;</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commercialize purchased technology; and</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acquired intangible assets and goodwill that could result in significant charges to operating results in future periods.</w:t>
      </w:r>
    </w:p>
    <w:p>
      <w:pPr>
        <w:spacing w:after="0" w:line="9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may be required to finance future acquisitions and investments through a combination of borrowings, proceeds from equity or debt offerings and the use of cash, cash equivalents and short-term investments.</w:t>
      </w:r>
    </w:p>
    <w:p>
      <w:pPr>
        <w:spacing w:after="0" w:line="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With respect to divestitures, we may divest businesses that do not meet our strategic objectives, or do not meet our growth or profitability targets and may not be able to complete proposed divestitures on terms commercially favorable to us.</w:t>
      </w:r>
    </w:p>
    <w:p>
      <w:pPr>
        <w:spacing w:after="0" w:line="3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Mergers, acquisitions and investments are inherently risky and the inability to effectively manage these risks could materially and adversely affect our business, financial condition and results of operations. At June 28, 2014 we had goodwill and net purchased intangible assets balances of $71.1 million and $41.1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a global business.</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51" w:lineRule="exact"/>
        <w:rPr>
          <w:sz w:val="20"/>
          <w:szCs w:val="20"/>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 staffing and managing international operations;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and intellectual property rights;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political and economic conditions;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restrictions on repatriating earnings and the threat of “double taxation”; and</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can affect demand and increase our costs.</w:t>
      </w:r>
    </w:p>
    <w:p>
      <w:pPr>
        <w:spacing w:after="0" w:line="90"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our Enterprise Resource Planning software could disrupt our business which could decrease our sales, earnings and liquidity.</w:t>
      </w:r>
    </w:p>
    <w:p>
      <w:pPr>
        <w:spacing w:after="0" w:line="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are in the process of finalizing the implementation of an Enterprise Resource Planning (ERP) software system which may not result in improvements that outweigh its costs and may disrupt our operations. Our inability to mitigate existing and future disruptions could decrease our sales, earnings and liquidity. The ERP system implementation subjects us to substantial costs and inherent risks associated with migrating from our legacy systems. These costs and risks could include, but are not limited to:</w:t>
      </w:r>
    </w:p>
    <w:p>
      <w:pPr>
        <w:spacing w:after="0" w:line="55" w:lineRule="exact"/>
        <w:rPr>
          <w:sz w:val="20"/>
          <w:szCs w:val="20"/>
          <w:color w:val="auto"/>
        </w:rPr>
      </w:pPr>
    </w:p>
    <w:p>
      <w:pPr>
        <w:ind w:left="660" w:hanging="43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operating expenditures;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domestic and international supply chains;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fill customer orders accurately and on a timely basis, or at all;</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process payments to suppliers, vendors and associates accurately and in a timely manner;</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or the ineffectiveness of our internal control environment;</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fulfill our SEC or other governmental reporting requirements in a timely or accurate manner;</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fulfill federal, state and local tax filing requirements in a timely or accurate manner; and</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demands on management and staff time to the detriment of other corporate initiatives.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industry we serve is highly volatile and unpredictable.</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2013, 2012 and 2011, we recorded pre-tax inventory-related charges of approximately $8.1 million, $8.9 million, and $5.8 million, respectively, primarily as a result of changes in customer forecasts.</w:t>
      </w:r>
    </w:p>
    <w:p>
      <w:pPr>
        <w:spacing w:after="0" w:line="139" w:lineRule="exact"/>
        <w:rPr>
          <w:sz w:val="20"/>
          <w:szCs w:val="20"/>
          <w:color w:val="auto"/>
        </w:rPr>
      </w:pPr>
    </w:p>
    <w:p>
      <w:pPr>
        <w:ind w:right="220" w:firstLine="8"/>
        <w:spacing w:after="0" w:line="280" w:lineRule="auto"/>
        <w:tabs>
          <w:tab w:leader="none" w:pos="132"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3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3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future indebtedness could adversely affect our operating results and severely limit our ability to plan for, or react to, changes in our business or industry. We could also be limited by financial and other restrictive covenants in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in general and the test handler market in particular, is highly competitive.</w:t>
      </w:r>
    </w:p>
    <w:p>
      <w:pPr>
        <w:spacing w:after="0" w:line="9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331"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34"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28, 2013. Future inventory write-offs and increased inventory reserve requirements could have a material adverse impact on our results of operations and financial condition.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have an impact on our business and financial condition in ways that we currently cannot predict.</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substantial percentage of our net sales.</w:t>
      </w:r>
    </w:p>
    <w:p>
      <w:pPr>
        <w:spacing w:after="0" w:line="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A small number of customers of our semiconductor equipment segment have been responsible for a significant portion of our net sales. During the past five years, the percentage of our sales derived from these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participate in the memory test handler market.</w:t>
      </w:r>
    </w:p>
    <w:p>
      <w:pPr>
        <w:spacing w:after="0" w:line="9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Pick-and-place handlers used in memory test applications account for a significant portion of the worldwide test handler market. We do not currently participate in the memory market segment; therefore our total available sales market is limited.</w:t>
      </w:r>
    </w:p>
    <w:p>
      <w:pPr>
        <w:spacing w:after="0" w:line="116"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cyclical nature of the semiconductor equipment industry places enormous demands on our employees, operations and infrastructure.</w:t>
      </w:r>
    </w:p>
    <w:p>
      <w:pPr>
        <w:spacing w:after="0" w:line="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37" w:lineRule="exact"/>
        <w:rPr>
          <w:sz w:val="20"/>
          <w:szCs w:val="20"/>
          <w:color w:val="auto"/>
        </w:rPr>
      </w:pPr>
    </w:p>
    <w:p>
      <w:pPr>
        <w:jc w:val="both"/>
        <w:ind w:right="160" w:firstLine="8"/>
        <w:spacing w:after="0" w:line="337" w:lineRule="auto"/>
        <w:tabs>
          <w:tab w:leader="none" w:pos="132" w:val="left"/>
        </w:tabs>
        <w:numPr>
          <w:ilvl w:val="0"/>
          <w:numId w:val="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We are in the process of transitioning our manufacturing to Asia. Our inability to manage multiple manufacturing sites during this transition and secure raw materials meeting our quality, cost and other requirements, or failures by our suppliers to perform, could harm our sales, service levels and reputation.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Therefore,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If our overseas manufacturing locations are unable to meet our manufacturing requirements in a timely manner, our ability to ship products and to realize the related revenues when anticipated could be materially affected.</w:t>
      </w:r>
    </w:p>
    <w:p>
      <w:pPr>
        <w:spacing w:after="0" w:line="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suppliers are subject to the fluctuations in general economic cycles, and the global economic conditions may impact their ability to operate their business. They may also be impacted by the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adversely impact our business.</w:t>
      </w:r>
    </w:p>
    <w:p>
      <w:pPr>
        <w:spacing w:after="0" w:line="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and La Chaux-de-Fonds,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critical suppliers to deliver sufficient quantities of parts in a timely and cost-effective manner could adversely impact our operations.</w:t>
      </w:r>
    </w:p>
    <w:p>
      <w:pPr>
        <w:spacing w:after="0" w:line="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violate our proprietary rights or accuse us of infringing upon their proprietary rights.</w:t>
      </w:r>
    </w:p>
    <w:p>
      <w:pPr>
        <w:spacing w:after="0" w:line="9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04"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occurrence of natural disasters and geopolitical instability caused by terrorist attacks and other threats may adversely impact our operations and sales.</w:t>
      </w:r>
    </w:p>
    <w:p>
      <w:pPr>
        <w:spacing w:after="0" w:line="11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Our Asian sales and service headquarters is located in Singapore and the majority of our sales are made to destinations in Asia. In addition, we have manufacturing plants in the Philippines, Malaysia and China.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we have customers throughout the Middle East and terrorist attacks, protests or other threats in this region may cause geopolitical instability, which may have an adverse impact on our business, results of operations and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exposure to additional income tax liabilities could affect our profitability.</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in order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 may impact sales to foreign customers and impose costs.</w:t>
      </w:r>
    </w:p>
    <w:p>
      <w:pPr>
        <w:spacing w:after="0" w:line="9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Certain products and services that we offer require compliance with United States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government regulations regarding sale and export, we are subject to other regulations regarding our products. For example, the U.S. Securities and Exchange Commission has recently adopted disclosure rules for companies that use conflict minerals in their products, with substantial supply chain verification requirements in the event that the materials come from, or could have come from, the Democratic Republic of the Congo or adjoining countries. These new rules and verification requirements will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w:t>
      </w:r>
    </w:p>
    <w:p>
      <w:pPr>
        <w:spacing w:after="0" w:line="13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microwave communications equipment segment depends on governments for a significant portion of its sales, creating uncertainty in the timing of and funding for projected contracts.</w:t>
      </w:r>
    </w:p>
    <w:p>
      <w:pPr>
        <w:spacing w:after="0" w:line="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significant portion of the sales of BMS, Inc. are made to federal, state, local and foreign government agencies as a prime or sub-contractor. Government spending has historically been cyclical. A decrease in government spending or changes in spending allocation could result in one or more of the programs being reduced, delayed or terminated. Reductions or delays in the funding process or changes in funding caused by automatic budget cuts (“sequestration”) or unforeseen world events can impact the timing of available funds or can lead to changes in program content or termination. The loss of anticipated funding or the termination of multiple or large programs could have an adverse effect on our future sales and earnings.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security breaches.</w:t>
      </w:r>
    </w:p>
    <w:p>
      <w:pPr>
        <w:spacing w:after="0" w:line="9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vary and may fall below analysts’ estimates, which may cause the price of our common stock to decline.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may fluctuate from quarter to quarter due to a variety of factors including, but not limited to:</w:t>
      </w:r>
    </w:p>
    <w:p>
      <w:pPr>
        <w:spacing w:after="0" w:line="90" w:lineRule="exact"/>
        <w:rPr>
          <w:sz w:val="20"/>
          <w:szCs w:val="20"/>
          <w:color w:val="auto"/>
        </w:rPr>
      </w:pPr>
    </w:p>
    <w:p>
      <w:pPr>
        <w:ind w:left="660" w:hanging="43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nature of the semiconductor equipment industry;</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orders from customers and shipments to customers;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revenue due to accounting requirements;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deliver solutions as expected by our customers; and</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and deferred tax asset writedowns.</w:t>
      </w:r>
    </w:p>
    <w:p>
      <w:pPr>
        <w:spacing w:after="0" w:line="9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significant volatility in our stock price.</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$7.96 to $17.18.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3(i).1</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Amended and Restated Certificate of Incorporation of Cohu, Inc. incorporated herein by reference to Exhibit 3.1(a) from the Cohu, Inc. Form 10-</w:t>
            </w:r>
          </w:p>
        </w:tc>
      </w:tr>
      <w:tr>
        <w:trPr>
          <w:trHeight w:val="228"/>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 for the quarterly period ended June 30, 1999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3(i).2</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Certificate of Amendment of Amended and Restated Certificate of Incorporation of Cohu, Inc. incorporated herein by reference to Exhibit 4.1(a)</w:t>
            </w:r>
          </w:p>
        </w:tc>
      </w:tr>
      <w:tr>
        <w:trPr>
          <w:trHeight w:val="228"/>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the Cohu, Inc. Form S-8 filed with the Securities and Exchange Commission on June 30, 2000</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3(ii)</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Amended and Restated Bylaws of Cohu, Inc. incorporated herein by reference to Exhibit 3.2 from the Cohu, Inc. Report on Form 8-K filed with</w:t>
            </w:r>
          </w:p>
        </w:tc>
      </w:tr>
      <w:tr>
        <w:trPr>
          <w:trHeight w:val="228"/>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Securities and Exchange Commission on December 12, 1996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Amended and Restated Rights Agreement dated November 10, 2006, between Cohu, Inc. and Mellon Investor Services LLC, as Rights Agent,</w:t>
            </w:r>
          </w:p>
        </w:tc>
      </w:tr>
      <w:tr>
        <w:trPr>
          <w:trHeight w:val="216"/>
        </w:trPr>
        <w:tc>
          <w:tcPr>
            <w:tcW w:w="880" w:type="dxa"/>
            <w:vAlign w:val="bottom"/>
          </w:tcPr>
          <w:p>
            <w:pPr>
              <w:spacing w:after="0"/>
              <w:rPr>
                <w:sz w:val="18"/>
                <w:szCs w:val="18"/>
                <w:color w:val="auto"/>
              </w:rPr>
            </w:pP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incorporated herein by reference to Exhibit 99.1 from the Cohu, Inc. Report on Form 8-K filed with the Securities and Exchange Commission on</w:t>
            </w:r>
          </w:p>
        </w:tc>
      </w:tr>
      <w:tr>
        <w:trPr>
          <w:trHeight w:val="228"/>
        </w:trPr>
        <w:tc>
          <w:tcPr>
            <w:tcW w:w="880" w:type="dxa"/>
            <w:vAlign w:val="bottom"/>
          </w:tcPr>
          <w:p>
            <w:pPr>
              <w:spacing w:after="0"/>
              <w:rPr>
                <w:sz w:val="19"/>
                <w:szCs w:val="19"/>
                <w:color w:val="auto"/>
              </w:rPr>
            </w:pP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13, 2006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65"/>
        </w:trPr>
        <w:tc>
          <w:tcPr>
            <w:tcW w:w="880" w:type="dxa"/>
            <w:vAlign w:val="bottom"/>
          </w:tcPr>
          <w:p>
            <w:pPr>
              <w:spacing w:after="0"/>
              <w:rPr>
                <w:sz w:val="24"/>
                <w:szCs w:val="24"/>
                <w:color w:val="auto"/>
              </w:rPr>
            </w:pPr>
          </w:p>
        </w:tc>
        <w:tc>
          <w:tcPr>
            <w:tcW w:w="1046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340"/>
          </w:cols>
          <w:pgMar w:left="240" w:top="455" w:right="3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14605</wp:posOffset>
            </wp:positionV>
            <wp:extent cx="2675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440" w:val="left"/>
        </w:tabs>
        <w:rPr>
          <w:sz w:val="20"/>
          <w:szCs w:val="20"/>
          <w:color w:val="auto"/>
        </w:rPr>
      </w:pPr>
      <w:r>
        <w:rPr>
          <w:rFonts w:ascii="Times New Roman" w:cs="Times New Roman" w:eastAsia="Times New Roman" w:hAnsi="Times New Roman"/>
          <w:sz w:val="18"/>
          <w:szCs w:val="18"/>
          <w:color w:val="auto"/>
        </w:rPr>
        <w:t>Date: August 7, 2014</w:t>
      </w:r>
      <w:r>
        <w:rPr>
          <w:sz w:val="20"/>
          <w:szCs w:val="20"/>
          <w:color w:val="auto"/>
        </w:rPr>
        <w:tab/>
      </w:r>
      <w:r>
        <w:rPr>
          <w:rFonts w:ascii="Times New Roman" w:cs="Times New Roman" w:eastAsia="Times New Roman" w:hAnsi="Times New Roman"/>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14605</wp:posOffset>
            </wp:positionV>
            <wp:extent cx="2675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James A. Donahue</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321" w:lineRule="exact"/>
        <w:rPr>
          <w:sz w:val="20"/>
          <w:szCs w:val="20"/>
          <w:color w:val="auto"/>
        </w:rPr>
      </w:pPr>
    </w:p>
    <w:p>
      <w:pPr>
        <w:spacing w:after="0"/>
        <w:tabs>
          <w:tab w:leader="none" w:pos="5440" w:val="left"/>
        </w:tabs>
        <w:rPr>
          <w:sz w:val="20"/>
          <w:szCs w:val="20"/>
          <w:color w:val="auto"/>
        </w:rPr>
      </w:pPr>
      <w:r>
        <w:rPr>
          <w:rFonts w:ascii="Times New Roman" w:cs="Times New Roman" w:eastAsia="Times New Roman" w:hAnsi="Times New Roman"/>
          <w:sz w:val="18"/>
          <w:szCs w:val="18"/>
          <w:color w:val="auto"/>
        </w:rPr>
        <w:t>Date: August 7, 2014</w:t>
      </w:r>
      <w:r>
        <w:rPr>
          <w:sz w:val="20"/>
          <w:szCs w:val="20"/>
          <w:color w:val="auto"/>
        </w:rPr>
        <w:tab/>
      </w:r>
      <w:r>
        <w:rPr>
          <w:rFonts w:ascii="Times New Roman" w:cs="Times New Roman" w:eastAsia="Times New Roman" w:hAnsi="Times New Roman"/>
          <w:sz w:val="16"/>
          <w:szCs w:val="16"/>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14605</wp:posOffset>
            </wp:positionV>
            <wp:extent cx="2675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Jeffrey D. Jones</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Vice President, Finance &amp; 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4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3(i).1</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Cohu, Inc. incorporated herein by reference to Exhibit 3.1(a) from the Cohu, Inc. Form</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10-Q for the quarterly period ended June 30, 1999</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3(i).2</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 of Cohu, Inc. incorporated herein by reference to Exhibit</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4.1(a) from the Cohu, Inc. Form S-8 filed with the Securities and Exchange Commission on June 30, 2000</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3(ii)</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7"/>
              </w:rPr>
              <w:t>Amended and Restated Bylaws of Cohu, Inc. incorporated herein by reference to Exhibit 3.2 from the Cohu, Inc. Report on Form 8-K filed with</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Securities and Exchange Commission on December 12, 1996</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Amended and Restated Rights Agreement dated November 10, 2006, between Cohu, Inc. and Mellon Investor Services LLC, as Rights Agent,</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incorporated herein by reference to Exhibit 99.1 from the Cohu, Inc. Report on Form 8-K filed with the Securities and Exchange Commission</w:t>
            </w: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on November 13, 2006</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ectPr>
          <w:pgSz w:w="11900" w:h="16838" w:orient="portrait"/>
          <w:cols w:equalWidth="0" w:num="1">
            <w:col w:w="11420"/>
          </w:cols>
          <w:pgMar w:left="240" w:top="455"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A. Donahue, certify that:</w:t>
      </w:r>
    </w:p>
    <w:p>
      <w:pPr>
        <w:spacing w:after="0" w:line="90"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Cohu, Inc.;</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500" w:right="360" w:hanging="8"/>
        <w:spacing w:after="0" w:line="262" w:lineRule="auto"/>
        <w:tabs>
          <w:tab w:leader="none" w:pos="173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500" w:right="100" w:hanging="8"/>
        <w:spacing w:after="0" w:line="262" w:lineRule="auto"/>
        <w:tabs>
          <w:tab w:leader="none" w:pos="17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1500" w:right="220" w:hanging="8"/>
        <w:spacing w:after="0" w:line="334" w:lineRule="auto"/>
        <w:tabs>
          <w:tab w:leader="none" w:pos="173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500" w:right="140" w:hanging="8"/>
        <w:spacing w:after="0" w:line="262" w:lineRule="auto"/>
        <w:tabs>
          <w:tab w:leader="none" w:pos="17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500" w:right="440" w:hanging="8"/>
        <w:spacing w:after="0" w:line="275" w:lineRule="auto"/>
        <w:tabs>
          <w:tab w:leader="none" w:pos="173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1500" w:right="120" w:hanging="8"/>
        <w:spacing w:after="0" w:line="275" w:lineRule="auto"/>
        <w:tabs>
          <w:tab w:leader="none" w:pos="17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A. Donahue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certify that:</w:t>
      </w:r>
    </w:p>
    <w:p>
      <w:pPr>
        <w:spacing w:after="0" w:line="90"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Cohu, Inc.;</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500" w:right="360" w:hanging="8"/>
        <w:spacing w:after="0" w:line="262" w:lineRule="auto"/>
        <w:tabs>
          <w:tab w:leader="none" w:pos="173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500" w:right="100" w:hanging="8"/>
        <w:spacing w:after="0" w:line="262" w:lineRule="auto"/>
        <w:tabs>
          <w:tab w:leader="none" w:pos="17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1500" w:right="220" w:hanging="8"/>
        <w:spacing w:after="0" w:line="334" w:lineRule="auto"/>
        <w:tabs>
          <w:tab w:leader="none" w:pos="173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500" w:right="140" w:hanging="8"/>
        <w:spacing w:after="0" w:line="262" w:lineRule="auto"/>
        <w:tabs>
          <w:tab w:leader="none" w:pos="17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500" w:right="440" w:hanging="8"/>
        <w:spacing w:after="0" w:line="275" w:lineRule="auto"/>
        <w:tabs>
          <w:tab w:leader="none" w:pos="173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1500" w:right="120" w:hanging="8"/>
        <w:spacing w:after="0" w:line="275" w:lineRule="auto"/>
        <w:tabs>
          <w:tab w:leader="none" w:pos="17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&amp; Chief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159"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accompanying Quarterly Report of Cohu, Inc. (the “Company”) on Form 10-Q for the fiscal quarter ended June 28, 2014 (the “Report”), I, James A. Donahue, President and Chief Executive Officer of the Company, certify, pursuant to 18 U.S.C. Section 1350, as adopted pursuant to Section 906 of the Sarbanes-Oxley Act of 2002, that, based on my knowledge:</w:t>
      </w:r>
    </w:p>
    <w:p>
      <w:pPr>
        <w:spacing w:after="0" w:line="132"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980" w:firstLine="8"/>
        <w:spacing w:after="0" w:line="493" w:lineRule="auto"/>
        <w:tabs>
          <w:tab w:leader="none" w:pos="2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7, 2014</w:t>
      </w:r>
    </w:p>
    <w:p>
      <w:pPr>
        <w:spacing w:after="0"/>
        <w:rPr>
          <w:sz w:val="20"/>
          <w:szCs w:val="20"/>
          <w:color w:val="auto"/>
        </w:rPr>
      </w:pPr>
      <w:r>
        <w:rPr>
          <w:rFonts w:ascii="Times New Roman" w:cs="Times New Roman" w:eastAsia="Times New Roman" w:hAnsi="Times New Roman"/>
          <w:sz w:val="18"/>
          <w:szCs w:val="18"/>
          <w:color w:val="auto"/>
        </w:rPr>
        <w:t>/s/ James A. Donahue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15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accompanying Quarterly Report of Cohu, Inc. (the “Company”) on Form 10-Q for the fiscal quarter ended June 28, 2014 (the “Report”), I, Jeffrey D. Jones, Vice President Finance &amp; Chief Financial Officer of the Company, certify, pursuant to 18 U.S.C. Section 1350, as adopted pursuant to Section 906 of the Sarbanes-Oxley Act of 2002, that, based on my knowledge:</w:t>
      </w:r>
    </w:p>
    <w:p>
      <w:pPr>
        <w:spacing w:after="0" w:line="132"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980" w:firstLine="8"/>
        <w:spacing w:after="0" w:line="493"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7, 2014</w:t>
      </w: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&amp;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2"/>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2019-12-05T08:05:16Z</dcterms:created>
  <dcterms:modified xsi:type="dcterms:W3CDTF">2019-12-05T08:05:16Z</dcterms:modified>
</cp:coreProperties>
</file>