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001-04298</w:t>
            </w:r>
          </w:p>
        </w:tc>
        <w:tc>
          <w:tcPr>
            <w:tcW w:w="2520" w:type="dxa"/>
            <w:vAlign w:val="bottom"/>
          </w:tcPr>
          <w:p>
            <w:pPr>
              <w:jc w:val="center"/>
              <w:ind w:left="1301"/>
              <w:spacing w:after="0"/>
              <w:rPr>
                <w:sz w:val="20"/>
                <w:szCs w:val="20"/>
                <w:color w:val="auto"/>
              </w:rPr>
            </w:pPr>
            <w:r>
              <w:rPr>
                <w:rFonts w:ascii="Arial" w:cs="Arial" w:eastAsia="Arial" w:hAnsi="Arial"/>
                <w:sz w:val="18"/>
                <w:szCs w:val="18"/>
                <w:b w:val="1"/>
                <w:bCs w:val="1"/>
                <w:color w:val="auto"/>
                <w:w w:val="89"/>
              </w:rPr>
              <w:t>95-1934119</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6520" w:type="dxa"/>
            <w:vAlign w:val="bottom"/>
            <w:gridSpan w:val="2"/>
          </w:tcPr>
          <w:p>
            <w:pPr>
              <w:jc w:val="center"/>
              <w:ind w:right="1042"/>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520" w:type="dxa"/>
            <w:vAlign w:val="bottom"/>
          </w:tcPr>
          <w:p>
            <w:pPr>
              <w:jc w:val="right"/>
              <w:ind w:right="201"/>
              <w:spacing w:after="0"/>
              <w:rPr>
                <w:sz w:val="20"/>
                <w:szCs w:val="20"/>
                <w:color w:val="auto"/>
              </w:rPr>
            </w:pPr>
            <w:r>
              <w:rPr>
                <w:rFonts w:ascii="Arial" w:cs="Arial" w:eastAsia="Arial" w:hAnsi="Arial"/>
                <w:sz w:val="18"/>
                <w:szCs w:val="18"/>
                <w:b w:val="1"/>
                <w:bCs w:val="1"/>
                <w:color w:val="auto"/>
              </w:rPr>
              <w:t>92064</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858-848-8100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On April 30, 2014, Cohu, Inc. (the “Company”) issued a press release regarding its financial results for the first quarter ended March 29, 2014. The Company’s press release is attached as Exhibit 99.1 to this Current Report on Form 8-K and incorporated by reference herein.</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financial results determined in accordance with generally accepted accounting principles (“GAAP”), the earnings press release also contains financial information determined by methods other than in accordance with GAAP. The Company’s management uses these non-GAAP measures in their analysis of the Company’s performance. These non-GAAP financial measures adjust the Company’s actual results prepared under GAAP to exclude charges and the related income tax effect for share-based compensation, the amortization of acquired intangible assets, manufacturing transition costs, other acquisition costs and the purchase accounting inventory step-up included in cost of goods sold. 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the Company’s financial performance using some of the same measures as management. These disclosures should not be viewed as a substitute for operating results determined in accordance with GAAP, nor are they necessarily comparable to non-GAAP performance measures that may be presented by other companies.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Description - First Quarter 2014 Earnings Release, dated April 30, 2014, of Cohu, Inc.</w:t>
      </w:r>
    </w:p>
    <w:p>
      <w:pPr>
        <w:sectPr>
          <w:pgSz w:w="11900" w:h="16838" w:orient="portrait"/>
          <w:cols w:equalWidth="0" w:num="1">
            <w:col w:w="11360"/>
          </w:cols>
          <w:pgMar w:left="240" w:top="270"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60" w:val="left"/>
          <w:tab w:leader="none" w:pos="6080" w:val="left"/>
        </w:tabs>
        <w:rPr>
          <w:sz w:val="20"/>
          <w:szCs w:val="20"/>
          <w:color w:val="auto"/>
        </w:rPr>
      </w:pPr>
      <w:r>
        <w:rPr>
          <w:rFonts w:ascii="Arial" w:cs="Arial" w:eastAsia="Arial" w:hAnsi="Arial"/>
          <w:sz w:val="18"/>
          <w:szCs w:val="18"/>
          <w:i w:val="1"/>
          <w:iCs w:val="1"/>
          <w:color w:val="auto"/>
        </w:rPr>
        <w:t>May 1, 2014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Title: VP Finance and Chief Financial Officer</w:t>
      </w:r>
    </w:p>
    <w:p>
      <w:pPr>
        <w:sectPr>
          <w:pgSz w:w="11900" w:h="16838" w:orient="portrait"/>
          <w:cols w:equalWidth="0" w:num="1">
            <w:col w:w="11220"/>
          </w:cols>
          <w:pgMar w:left="2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40" w:type="dxa"/>
            <w:vAlign w:val="bottom"/>
          </w:tcPr>
          <w:p>
            <w:pPr>
              <w:ind w:left="3020"/>
              <w:spacing w:after="0"/>
              <w:rPr>
                <w:sz w:val="20"/>
                <w:szCs w:val="20"/>
                <w:color w:val="auto"/>
              </w:rPr>
            </w:pPr>
            <w:r>
              <w:rPr>
                <w:rFonts w:ascii="Arial" w:cs="Arial" w:eastAsia="Arial" w:hAnsi="Arial"/>
                <w:sz w:val="18"/>
                <w:szCs w:val="18"/>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564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5640" w:type="dxa"/>
            <w:vAlign w:val="bottom"/>
            <w:gridSpan w:val="3"/>
          </w:tcPr>
          <w:p>
            <w:pPr>
              <w:ind w:left="400"/>
              <w:spacing w:after="0"/>
              <w:rPr>
                <w:sz w:val="20"/>
                <w:szCs w:val="20"/>
                <w:color w:val="auto"/>
              </w:rPr>
            </w:pPr>
            <w:r>
              <w:rPr>
                <w:rFonts w:ascii="Arial" w:cs="Arial" w:eastAsia="Arial" w:hAnsi="Arial"/>
                <w:sz w:val="18"/>
                <w:szCs w:val="18"/>
                <w:color w:val="auto"/>
                <w:w w:val="90"/>
              </w:rPr>
              <w:t>First Quarter 2014 Earnings Release, dated April 30, 2014, of Cohu, Inc.</w:t>
            </w:r>
          </w:p>
        </w:tc>
      </w:tr>
    </w:tbl>
    <w:p>
      <w:pPr>
        <w:ind w:left="40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94615</wp:posOffset>
            </wp:positionV>
            <wp:extent cx="2684145" cy="1200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First Quarter 2014 Operating Results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POWAY, Calif., April 30, 2014 — Cohu, Inc. (NASDAQ:COHU) today reported fiscal 2014 first quarter net sales of $68.4 million and GAAP net loss of $3.3 million or $0.13 per share. The Company also reported non-GAAP results, with first quarter 2014 net income of $0.5 million or $0.02 per share.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GAAP Results</w:t>
      </w:r>
    </w:p>
    <w:p>
      <w:pPr>
        <w:spacing w:after="0" w:line="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Q1 FY 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Q4 FY 2013</w:t>
            </w: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Q1 FY 2013</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68.4 million</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64.7 million</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 million</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(3.3) million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(6.5) million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(12.1) million</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648"/>
        </w:trPr>
        <w:tc>
          <w:tcPr>
            <w:tcW w:w="5340" w:type="dxa"/>
            <w:vAlign w:val="bottom"/>
          </w:tcPr>
          <w:p>
            <w:pPr>
              <w:spacing w:after="0"/>
              <w:rPr>
                <w:sz w:val="20"/>
                <w:szCs w:val="20"/>
                <w:color w:val="auto"/>
              </w:rPr>
            </w:pPr>
            <w:r>
              <w:rPr>
                <w:rFonts w:ascii="Arial" w:cs="Arial" w:eastAsia="Arial" w:hAnsi="Arial"/>
                <w:sz w:val="18"/>
                <w:szCs w:val="18"/>
                <w:b w:val="1"/>
                <w:bCs w:val="1"/>
                <w:color w:val="auto"/>
              </w:rPr>
              <w:t>Non-GAAP Results</w:t>
            </w:r>
          </w:p>
        </w:tc>
        <w:tc>
          <w:tcPr>
            <w:tcW w:w="100" w:type="dxa"/>
            <w:vAlign w:val="bottom"/>
          </w:tcPr>
          <w:p>
            <w:pPr>
              <w:spacing w:after="0"/>
              <w:rPr>
                <w:sz w:val="24"/>
                <w:szCs w:val="24"/>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Q1 FY 2014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Q4 FY 2013</w:t>
            </w:r>
          </w:p>
        </w:tc>
        <w:tc>
          <w:tcPr>
            <w:tcW w:w="100" w:type="dxa"/>
            <w:vAlign w:val="bottom"/>
          </w:tcPr>
          <w:p>
            <w:pPr>
              <w:spacing w:after="0"/>
              <w:rPr>
                <w:sz w:val="24"/>
                <w:szCs w:val="2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Q1 FY 2013</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Non-GAAP 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million</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 million</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million</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Non-GAAP income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Sales of semiconductor equipment accounted for 88% of fiscal 2014 first quarter sales. Microwave communications and video equipment contributed 7% and 5%, respectively, for the same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Orders were $81.6 million for the first quarter of 2014 and $76.0 million for the fourth quarter of 2013. Orders for semiconductor equipment were</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$74.3 million in the first quarter of 2014 compared to $68.3 million in the fourth quarter of 2013. Total consolidated backlog was $101.6 million at March 29, 2014 compared to $88.4 million at December 28, 2013. Cohu expects second quarter 2014 sales of $72 million to $80 million.</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James A. Donahue, Chairman, President and Chief Executive Officer stated, “Cohu’s first quarter 2014 sales were above our guidance. The order momentum that began late last year continued to build throughout Q1 and demand for our semiconductor equipment was broad based across market segments and customers.”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Donahue concluded, “We are benefitting from improved conditions in the backend semiconductor industry, competitive wins driven by our new products and from cross selling synergies among our three IC handler businesses. First quarter financial results reflect favorable product mix, initial benefits from the transition of manufacturing to Asia and lower operating expenses, primarily due to product development programs that have concluded or are nearing completion, as planned.”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Included within this press release are non-GAAP financial measures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manufacturing transition costs, employee severance costs, other acquisition costs and the purchase accounting inventory step-up included in cost of goods sold. Reconciliations of GAAP to non-GAAP amounts for the periods presented herein are provided in schedules accompanying this release and should be considered together with the Condensed Consolidated Statements of Operations.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matters discussed in this release, including statements regarding expectations of business and market conditions, orders, sales, revenues and operating results are forward-looking statements that are subject to risks and uncertainties that could cause actual results to differ materially from those projected or forecasted. Such risks and uncertainties include, but are not limited to, risks associated with acquisitions, inventory, goodwill and other intangible asset write-downs; our ability to convert new products under development into production on a timely basis, support product development and meet customer delivery and acceptance requirements for next generation equipment; our reliance on third-party contract manufacturers; failure to obtain customer acceptance resulting in the inability to recognize revenue and accounts receivable collection problems; customer orders may be canceled or delayed; the concentration of our revenues from a limited number of customers; intense competition in the semiconductor test handler industry; our reliance on patents and intellectual property; compliance with U.S. export regulations; and the cyclical and unpredictable nature of capital expenditures by semiconductor manufacturers. These and other risks and uncertainties are discussed more fully in Cohu’s filings with the Securities and Exchange Commission, including the most recently filed Form 10-K and Form 10-Q. Cohu assumes no obligation to update the information in this release.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Cohu is a supplier of test handling, burn-in, thermal subsystems and MEMS test solutions used by the global semiconductor industry, microwave communications and video equipment.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Cohu will be conducting their conference call on Wednesday, April 30, 2014 at 1:30 p.m. Pacific Time/4:30 p.m. Eastern Time. The call will be webcast at www.cohu.com. Replays of the call can be accessed at www.cohu.com.</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press releases and other information of interest to investors, please visit Cohu’s website at www.cohu.com. Contact: Jeffrey D. Jones - Investor Relations (858) 848-8106</w:t>
      </w:r>
    </w:p>
    <w:p>
      <w:pPr>
        <w:sectPr>
          <w:pgSz w:w="11900" w:h="16838" w:orient="portrait"/>
          <w:cols w:equalWidth="0" w:num="1">
            <w:col w:w="11380"/>
          </w:cols>
          <w:pgMar w:left="240" w:top="27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140"/>
              <w:spacing w:after="0"/>
              <w:rPr>
                <w:sz w:val="20"/>
                <w:szCs w:val="20"/>
                <w:color w:val="auto"/>
              </w:rPr>
            </w:pPr>
            <w:r>
              <w:rPr>
                <w:rFonts w:ascii="Arial" w:cs="Arial" w:eastAsia="Arial" w:hAnsi="Arial"/>
                <w:sz w:val="14"/>
                <w:szCs w:val="14"/>
                <w:color w:val="auto"/>
                <w:w w:val="92"/>
              </w:rPr>
              <w:t xml:space="preserve">Three Months Ended </w:t>
            </w:r>
            <w:r>
              <w:rPr>
                <w:rFonts w:ascii="Arial" w:cs="Arial" w:eastAsia="Arial" w:hAnsi="Arial"/>
                <w:sz w:val="12"/>
                <w:szCs w:val="12"/>
                <w:color w:val="auto"/>
                <w:w w:val="92"/>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March 29,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6"/>
              </w:rPr>
              <w:t>March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68,417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 and expenses: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44,616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11,172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16,047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71,835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(3,418)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Interest and other, net</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(3,403)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Income tax benefit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(3,347)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(12,103)</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shares used in computing loss per share: </w:t>
            </w:r>
            <w:r>
              <w:rPr>
                <w:rFonts w:ascii="Arial" w:cs="Arial" w:eastAsia="Arial" w:hAnsi="Arial"/>
                <w:sz w:val="15"/>
                <w:szCs w:val="15"/>
                <w:color w:val="auto"/>
              </w:rPr>
              <w:t>(2)</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Basic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25,123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25,123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three-month periods ended March 29, 2014 and March 30, 2013 were each comprised of 13 weeks.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Potentially dilutive securities were excluded from the per share computations due to their antidilutive effect for all periods presented.</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March 29,</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41,118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66,962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62,454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15,525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186,059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35,660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71,375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43,391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342,094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345,423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9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Deferred profit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6,331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55,243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61,574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31,133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249,387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253,160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&amp;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342,094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345,423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color w:val="auto"/>
                <w:w w:val="97"/>
              </w:rPr>
              <w:t>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March 29,</w:t>
            </w:r>
          </w:p>
        </w:tc>
        <w:tc>
          <w:tcPr>
            <w:tcW w:w="2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December 28,</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March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6"/>
              </w:rPr>
              <w:t>2014</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 GAAP basis (a)</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(3,418)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Non-GAAP adjustments: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included in (b):</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Cost of goods sold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Amortization of intangible assets included in (c):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 of goods sold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Manufacturing transition and severance costs included in (d):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 of goods sold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acquisition costs included in selling, general and administrative (e)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Inventory step-up included in cost of goods sold (f)</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non-GAAP basis (g)</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Net loss - GAAP basis</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(3,347)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(as scheduled above)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Tax effect of non-GAAP adjustments (h)</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(loss) - non-GAAP basis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GAAP net loss per share - diluted</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(0.13)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(loss) per share - diluted (i)</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Other acquisition costs and inventory step-up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7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 (10.0)% and (23.1)% of net sales,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eliminate manufacturing transition and employee severance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 of Ismeca.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Ismeca.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 (3.0)% and (14.6)% of net sales,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three months ended March 29, 2014 was computed using 25,715 shares outstanding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2019-12-05T07:58:52Z</dcterms:created>
  <dcterms:modified xsi:type="dcterms:W3CDTF">2019-12-05T07:58:52Z</dcterms:modified>
</cp:coreProperties>
</file>