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7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001-04298</w:t>
            </w:r>
          </w:p>
        </w:tc>
        <w:tc>
          <w:tcPr>
            <w:tcW w:w="2520" w:type="dxa"/>
            <w:vAlign w:val="bottom"/>
          </w:tcPr>
          <w:p>
            <w:pPr>
              <w:jc w:val="right"/>
              <w:ind w:right="61"/>
              <w:spacing w:after="0"/>
              <w:rPr>
                <w:sz w:val="20"/>
                <w:szCs w:val="20"/>
                <w:color w:val="auto"/>
              </w:rPr>
            </w:pPr>
            <w:r>
              <w:rPr>
                <w:rFonts w:ascii="Arial" w:cs="Arial" w:eastAsia="Arial" w:hAnsi="Arial"/>
                <w:sz w:val="18"/>
                <w:szCs w:val="18"/>
                <w:b w:val="1"/>
                <w:bCs w:val="1"/>
                <w:color w:val="auto"/>
              </w:rPr>
              <w:t>95-1934119</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1"/>
              </w:rPr>
              <w:t>12367 Crosthwaite Circle,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1"/>
              </w:rPr>
              <w:t>Poway, California</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92064</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858-848-8100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February 12, 2014 Cohu, Inc. (the “Company”) issued a press release regarding its financial results for the fourth quarter and full year ended December 28, 2013. The Company’s press release is attached as Exhibit 99.1 to this Current Report on Form 8-K and incorporated by reference herein.</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financial results determined in accordance with generally accepted accounting principles (“GAAP”), the earnings press release also contains financial information determined by methods other than in accordance with GAAP. The Company’s management uses these non-GAAP measures in their analysis of the Company’s performance. These non-GAAP financial measures adjust the Company’s actual results prepared under GAAP to exclude charges and the related income tax effect for share-based compensation, amortization of acquired intangible assets, manufacturing transition and severance, other acquisition costs and purchase accounting inventory step-up. 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the Company’s financial performance using some of the same measures as management. These disclosures should not be viewed as a substitute for operating results determined in accordance with GAAP, nor are they necessarily comparable to non-GAAP performance measures that may be presented by other companies.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No. –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Description – Fourth Quarter 2013 Earnings Release, dated February 12, 2014, of Cohu, Inc.</w:t>
      </w:r>
    </w:p>
    <w:p>
      <w:pPr>
        <w:sectPr>
          <w:pgSz w:w="11900" w:h="16838" w:orient="portrait"/>
          <w:cols w:equalWidth="0" w:num="1">
            <w:col w:w="11280"/>
          </w:cols>
          <w:pgMar w:left="240" w:top="27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280"/>
              <w:spacing w:after="0"/>
              <w:rPr>
                <w:sz w:val="20"/>
                <w:szCs w:val="20"/>
                <w:color w:val="auto"/>
              </w:rPr>
            </w:pPr>
            <w:r>
              <w:rPr>
                <w:rFonts w:ascii="Arial" w:cs="Arial" w:eastAsia="Arial" w:hAnsi="Arial"/>
                <w:sz w:val="18"/>
                <w:szCs w:val="18"/>
                <w:color w:val="auto"/>
              </w:rPr>
              <w:t>Cohu,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i w:val="1"/>
                <w:iCs w:val="1"/>
                <w:color w:val="auto"/>
              </w:rPr>
              <w:t>February 13, 2014</w:t>
            </w:r>
          </w:p>
        </w:tc>
        <w:tc>
          <w:tcPr>
            <w:tcW w:w="7780" w:type="dxa"/>
            <w:vAlign w:val="bottom"/>
            <w:gridSpan w:val="2"/>
          </w:tcPr>
          <w:p>
            <w:pPr>
              <w:ind w:left="2280"/>
              <w:spacing w:after="0"/>
              <w:rPr>
                <w:sz w:val="20"/>
                <w:szCs w:val="20"/>
                <w:color w:val="auto"/>
              </w:rPr>
            </w:pPr>
            <w:r>
              <w:rPr>
                <w:rFonts w:ascii="Arial" w:cs="Arial" w:eastAsia="Arial" w:hAnsi="Arial"/>
                <w:sz w:val="18"/>
                <w:szCs w:val="18"/>
                <w:i w:val="1"/>
                <w:iCs w:val="1"/>
                <w:color w:val="auto"/>
              </w:rPr>
              <w:t>By:  /s/ Jeffrey D. Jones</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i w:val="1"/>
                <w:iCs w:val="1"/>
                <w:color w:val="auto"/>
              </w:rPr>
              <w:t>Name: Jeffrey D. Jones</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Title: VP Finance and Chief Financial Officer</w:t>
            </w:r>
          </w:p>
        </w:tc>
      </w:tr>
    </w:tbl>
    <w:p>
      <w:pPr>
        <w:sectPr>
          <w:pgSz w:w="11900" w:h="16838" w:orient="portrait"/>
          <w:cols w:equalWidth="0" w:num="1">
            <w:col w:w="11420"/>
          </w:cols>
          <w:pgMar w:left="240" w:top="270" w:right="239" w:bottom="1440" w:gutter="0" w:footer="0" w:header="0"/>
        </w:sectPr>
      </w:pPr>
    </w:p>
    <w:bookmarkStart w:id="3" w:name="page4"/>
    <w:bookmarkEnd w:id="3"/>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Fourth Quarter 2013 Earnings Release, dated February 12, 2014, of Cohu, Inc.</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172085</wp:posOffset>
            </wp:positionV>
            <wp:extent cx="3207385" cy="1414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738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Fourth Quarter 2013 Operating Results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POWAY, Calif., February 12, 2014 — Cohu, Inc. (NASDAQ:COHU) today reported fiscal 2013 fourth quarter net sales of $64.7 million and GAAP net loss of $6.5 million or $0.26 per share. Net sales for the year ended December 28, 2013 were $247.3 million and GAAP net loss was $33.4 million or $1.34 per share.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also reported non-GAAP results, with fourth quarter 2013 net loss of $2.4 million or $0.10 per share and net loss of $18.5 million or $0.75 per share for the year ended December 28,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Results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Q4 FY 2013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6"/>
          </w:tcPr>
          <w:p>
            <w:pPr>
              <w:jc w:val="center"/>
              <w:ind w:left="39"/>
              <w:spacing w:after="0"/>
              <w:rPr>
                <w:sz w:val="20"/>
                <w:szCs w:val="20"/>
                <w:color w:val="auto"/>
              </w:rPr>
            </w:pPr>
            <w:r>
              <w:rPr>
                <w:rFonts w:ascii="Arial" w:cs="Arial" w:eastAsia="Arial" w:hAnsi="Arial"/>
                <w:sz w:val="14"/>
                <w:szCs w:val="14"/>
                <w:b w:val="1"/>
                <w:bCs w:val="1"/>
                <w:color w:val="auto"/>
                <w:w w:val="97"/>
              </w:rPr>
              <w:t>Q3 FY 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Q4 FY 2012</w:t>
            </w:r>
          </w:p>
        </w:tc>
      </w:tr>
      <w:tr>
        <w:trPr>
          <w:trHeight w:val="210"/>
        </w:trPr>
        <w:tc>
          <w:tcPr>
            <w:tcW w:w="920" w:type="dxa"/>
            <w:vAlign w:val="bottom"/>
          </w:tcPr>
          <w:p>
            <w:pPr>
              <w:spacing w:after="0"/>
              <w:rPr>
                <w:sz w:val="18"/>
                <w:szCs w:val="18"/>
                <w:color w:val="auto"/>
              </w:rPr>
            </w:pPr>
          </w:p>
        </w:tc>
        <w:tc>
          <w:tcPr>
            <w:tcW w:w="5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96"/>
              </w:rPr>
              <w:t>$64.7 million</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7"/>
            <w:shd w:val="clear" w:color="auto" w:fill="CCEEFF"/>
          </w:tcPr>
          <w:p>
            <w:pPr>
              <w:jc w:val="center"/>
              <w:ind w:right="22"/>
              <w:spacing w:after="0"/>
              <w:rPr>
                <w:sz w:val="20"/>
                <w:szCs w:val="20"/>
                <w:color w:val="auto"/>
              </w:rPr>
            </w:pPr>
            <w:r>
              <w:rPr>
                <w:rFonts w:ascii="Arial" w:cs="Arial" w:eastAsia="Arial" w:hAnsi="Arial"/>
                <w:sz w:val="18"/>
                <w:szCs w:val="18"/>
                <w:color w:val="auto"/>
                <w:w w:val="96"/>
              </w:rPr>
              <w:t>$60.0 million</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$50.7 million</w:t>
            </w:r>
          </w:p>
        </w:tc>
      </w:tr>
      <w:tr>
        <w:trPr>
          <w:trHeight w:val="216"/>
        </w:trPr>
        <w:tc>
          <w:tcPr>
            <w:tcW w:w="9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5"/>
          </w:tcPr>
          <w:p>
            <w:pPr>
              <w:jc w:val="center"/>
              <w:ind w:right="60"/>
              <w:spacing w:after="0"/>
              <w:rPr>
                <w:sz w:val="20"/>
                <w:szCs w:val="20"/>
                <w:color w:val="auto"/>
              </w:rPr>
            </w:pPr>
            <w:r>
              <w:rPr>
                <w:rFonts w:ascii="Arial" w:cs="Arial" w:eastAsia="Arial" w:hAnsi="Arial"/>
                <w:sz w:val="18"/>
                <w:szCs w:val="18"/>
                <w:color w:val="auto"/>
                <w:w w:val="97"/>
              </w:rPr>
              <w:t>$(6.5) million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8"/>
          </w:tcPr>
          <w:p>
            <w:pPr>
              <w:jc w:val="center"/>
              <w:spacing w:after="0"/>
              <w:rPr>
                <w:sz w:val="20"/>
                <w:szCs w:val="20"/>
                <w:color w:val="auto"/>
              </w:rPr>
            </w:pPr>
            <w:r>
              <w:rPr>
                <w:rFonts w:ascii="Arial" w:cs="Arial" w:eastAsia="Arial" w:hAnsi="Arial"/>
                <w:sz w:val="18"/>
                <w:szCs w:val="18"/>
                <w:color w:val="auto"/>
                <w:w w:val="97"/>
              </w:rPr>
              <w:t>$(10.8) million</w:t>
            </w: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$(5.2) million</w:t>
            </w:r>
          </w:p>
        </w:tc>
      </w:tr>
      <w:tr>
        <w:trPr>
          <w:trHeight w:val="216"/>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86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91"/>
              </w:rPr>
              <w:t>$(0.26)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center"/>
              <w:ind w:left="390"/>
              <w:spacing w:after="0"/>
              <w:rPr>
                <w:sz w:val="20"/>
                <w:szCs w:val="20"/>
                <w:color w:val="auto"/>
              </w:rPr>
            </w:pPr>
            <w:r>
              <w:rPr>
                <w:rFonts w:ascii="Arial" w:cs="Arial" w:eastAsia="Arial" w:hAnsi="Arial"/>
                <w:sz w:val="18"/>
                <w:szCs w:val="18"/>
                <w:color w:val="auto"/>
                <w:w w:val="94"/>
              </w:rPr>
              <w:t>$(0.43)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1"/>
              </w:rPr>
              <w:t>$(0.21)</w:t>
            </w: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3"/>
              </w:rPr>
              <w:t>12 Months 2013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12 Months 2012</w:t>
            </w: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95"/>
              </w:rPr>
              <w:t>$247.3 million</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color w:val="auto"/>
                <w:w w:val="95"/>
              </w:rPr>
              <w:t>$221.2 million</w:t>
            </w:r>
          </w:p>
        </w:tc>
        <w:tc>
          <w:tcPr>
            <w:tcW w:w="4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gridSpan w:val="10"/>
          </w:tcPr>
          <w:p>
            <w:pPr>
              <w:jc w:val="center"/>
              <w:ind w:right="300"/>
              <w:spacing w:after="0"/>
              <w:rPr>
                <w:sz w:val="20"/>
                <w:szCs w:val="20"/>
                <w:color w:val="auto"/>
              </w:rPr>
            </w:pPr>
            <w:r>
              <w:rPr>
                <w:rFonts w:ascii="Arial" w:cs="Arial" w:eastAsia="Arial" w:hAnsi="Arial"/>
                <w:sz w:val="18"/>
                <w:szCs w:val="18"/>
                <w:color w:val="auto"/>
                <w:w w:val="95"/>
              </w:rPr>
              <w:t>$(33.4) million</w:t>
            </w:r>
          </w:p>
        </w:tc>
        <w:tc>
          <w:tcPr>
            <w:tcW w:w="1200" w:type="dxa"/>
            <w:vAlign w:val="bottom"/>
            <w:gridSpan w:val="5"/>
          </w:tcPr>
          <w:p>
            <w:pPr>
              <w:jc w:val="center"/>
              <w:spacing w:after="0"/>
              <w:rPr>
                <w:sz w:val="20"/>
                <w:szCs w:val="20"/>
                <w:color w:val="auto"/>
              </w:rPr>
            </w:pPr>
            <w:r>
              <w:rPr>
                <w:rFonts w:ascii="Arial" w:cs="Arial" w:eastAsia="Arial" w:hAnsi="Arial"/>
                <w:sz w:val="18"/>
                <w:szCs w:val="18"/>
                <w:color w:val="auto"/>
                <w:w w:val="97"/>
              </w:rPr>
              <w:t>$(12.2) million</w:t>
            </w:r>
          </w:p>
        </w:tc>
        <w:tc>
          <w:tcPr>
            <w:tcW w:w="4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000" w:type="dxa"/>
            <w:vAlign w:val="bottom"/>
            <w:gridSpan w:val="9"/>
            <w:shd w:val="clear" w:color="auto" w:fill="CCEEFF"/>
          </w:tcPr>
          <w:p>
            <w:pPr>
              <w:jc w:val="center"/>
              <w:ind w:left="670"/>
              <w:spacing w:after="0"/>
              <w:rPr>
                <w:sz w:val="20"/>
                <w:szCs w:val="20"/>
                <w:color w:val="auto"/>
              </w:rPr>
            </w:pPr>
            <w:r>
              <w:rPr>
                <w:rFonts w:ascii="Arial" w:cs="Arial" w:eastAsia="Arial" w:hAnsi="Arial"/>
                <w:sz w:val="18"/>
                <w:szCs w:val="18"/>
                <w:color w:val="auto"/>
                <w:w w:val="91"/>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57"/>
              <w:spacing w:after="0"/>
              <w:rPr>
                <w:sz w:val="20"/>
                <w:szCs w:val="20"/>
                <w:color w:val="auto"/>
              </w:rPr>
            </w:pPr>
            <w:r>
              <w:rPr>
                <w:rFonts w:ascii="Arial" w:cs="Arial" w:eastAsia="Arial" w:hAnsi="Arial"/>
                <w:sz w:val="18"/>
                <w:szCs w:val="18"/>
                <w:color w:val="auto"/>
                <w:w w:val="91"/>
              </w:rPr>
              <w:t>$(0.50)</w:t>
            </w:r>
          </w:p>
        </w:tc>
        <w:tc>
          <w:tcPr>
            <w:tcW w:w="440" w:type="dxa"/>
            <w:vAlign w:val="bottom"/>
          </w:tcPr>
          <w:p>
            <w:pPr>
              <w:spacing w:after="0"/>
              <w:rPr>
                <w:sz w:val="18"/>
                <w:szCs w:val="18"/>
                <w:color w:val="auto"/>
              </w:rPr>
            </w:pPr>
          </w:p>
        </w:tc>
      </w:tr>
      <w:tr>
        <w:trPr>
          <w:trHeight w:val="540"/>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Non-GAAP Results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Q4 FY 2013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gridSpan w:val="6"/>
          </w:tcPr>
          <w:p>
            <w:pPr>
              <w:jc w:val="center"/>
              <w:ind w:left="139"/>
              <w:spacing w:after="0"/>
              <w:rPr>
                <w:sz w:val="20"/>
                <w:szCs w:val="20"/>
                <w:color w:val="auto"/>
              </w:rPr>
            </w:pPr>
            <w:r>
              <w:rPr>
                <w:rFonts w:ascii="Arial" w:cs="Arial" w:eastAsia="Arial" w:hAnsi="Arial"/>
                <w:sz w:val="14"/>
                <w:szCs w:val="14"/>
                <w:b w:val="1"/>
                <w:bCs w:val="1"/>
                <w:color w:val="auto"/>
                <w:w w:val="95"/>
              </w:rPr>
              <w:t>Q3 FY 2013</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Q4 FY 2012</w:t>
            </w:r>
          </w:p>
        </w:tc>
      </w:tr>
      <w:tr>
        <w:trPr>
          <w:trHeight w:val="210"/>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7"/>
              </w:rPr>
              <w:t>$(2.4) million</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97"/>
              </w:rPr>
              <w:t>$(6.8) million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$(1.7) million</w:t>
            </w:r>
          </w:p>
        </w:tc>
      </w:tr>
      <w:tr>
        <w:trPr>
          <w:trHeight w:val="230"/>
        </w:trPr>
        <w:tc>
          <w:tcPr>
            <w:tcW w:w="92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Non-GAAP loss per share</w:t>
            </w:r>
          </w:p>
        </w:tc>
        <w:tc>
          <w:tcPr>
            <w:tcW w:w="114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$(0.10)</w:t>
            </w:r>
          </w:p>
        </w:tc>
        <w:tc>
          <w:tcPr>
            <w:tcW w:w="40" w:type="dxa"/>
            <w:vAlign w:val="bottom"/>
          </w:tcPr>
          <w:p>
            <w:pPr>
              <w:spacing w:after="0"/>
              <w:rPr>
                <w:sz w:val="20"/>
                <w:szCs w:val="20"/>
                <w:color w:val="auto"/>
              </w:rPr>
            </w:pPr>
          </w:p>
        </w:tc>
        <w:tc>
          <w:tcPr>
            <w:tcW w:w="1100" w:type="dxa"/>
            <w:vAlign w:val="bottom"/>
            <w:gridSpan w:val="7"/>
          </w:tcPr>
          <w:p>
            <w:pPr>
              <w:jc w:val="center"/>
              <w:ind w:left="450"/>
              <w:spacing w:after="0"/>
              <w:rPr>
                <w:sz w:val="20"/>
                <w:szCs w:val="20"/>
                <w:color w:val="auto"/>
              </w:rPr>
            </w:pPr>
            <w:r>
              <w:rPr>
                <w:rFonts w:ascii="Arial" w:cs="Arial" w:eastAsia="Arial" w:hAnsi="Arial"/>
                <w:sz w:val="18"/>
                <w:szCs w:val="18"/>
                <w:color w:val="auto"/>
                <w:w w:val="91"/>
              </w:rPr>
              <w:t>$(0.27)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91"/>
              </w:rPr>
              <w:t>$(0.07)</w:t>
            </w:r>
          </w:p>
        </w:tc>
      </w:tr>
      <w:tr>
        <w:trPr>
          <w:trHeight w:val="37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12 Months 2013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12 Months 2012</w:t>
            </w: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97"/>
              </w:rPr>
              <w:t>$(18.5) million</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7"/>
              </w:rPr>
              <w:t>$(3.1) million</w:t>
            </w:r>
          </w:p>
        </w:tc>
        <w:tc>
          <w:tcPr>
            <w:tcW w:w="4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Non-GAAP loss per share</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4"/>
          </w:tcPr>
          <w:p>
            <w:pPr>
              <w:jc w:val="center"/>
              <w:ind w:right="159"/>
              <w:spacing w:after="0"/>
              <w:rPr>
                <w:sz w:val="20"/>
                <w:szCs w:val="20"/>
                <w:color w:val="auto"/>
              </w:rPr>
            </w:pPr>
            <w:r>
              <w:rPr>
                <w:rFonts w:ascii="Arial" w:cs="Arial" w:eastAsia="Arial" w:hAnsi="Arial"/>
                <w:sz w:val="18"/>
                <w:szCs w:val="18"/>
                <w:color w:val="auto"/>
                <w:w w:val="94"/>
              </w:rPr>
              <w:t>$(0.75)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right="177"/>
              <w:spacing w:after="0"/>
              <w:rPr>
                <w:sz w:val="20"/>
                <w:szCs w:val="20"/>
                <w:color w:val="auto"/>
              </w:rPr>
            </w:pPr>
            <w:r>
              <w:rPr>
                <w:rFonts w:ascii="Arial" w:cs="Arial" w:eastAsia="Arial" w:hAnsi="Arial"/>
                <w:sz w:val="18"/>
                <w:szCs w:val="18"/>
                <w:color w:val="auto"/>
                <w:w w:val="91"/>
              </w:rPr>
              <w:t>$(0.13)</w:t>
            </w:r>
          </w:p>
        </w:tc>
        <w:tc>
          <w:tcPr>
            <w:tcW w:w="440" w:type="dxa"/>
            <w:vAlign w:val="bottom"/>
          </w:tcPr>
          <w:p>
            <w:pPr>
              <w:spacing w:after="0"/>
              <w:rPr>
                <w:sz w:val="20"/>
                <w:szCs w:val="20"/>
                <w:color w:val="auto"/>
              </w:rPr>
            </w:pPr>
          </w:p>
        </w:tc>
      </w:tr>
    </w:tbl>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Sales of semiconductor equipment accounted for 84% of fiscal 2013 fourth quarter sales. Microwave communications equipment and video cameras and related equipment contributed 11% and 5%, respectively, for the same period.</w:t>
      </w:r>
    </w:p>
    <w:p>
      <w:pPr>
        <w:spacing w:after="0" w:line="170" w:lineRule="exact"/>
        <w:rPr>
          <w:sz w:val="20"/>
          <w:szCs w:val="20"/>
          <w:color w:val="auto"/>
        </w:rPr>
      </w:pPr>
    </w:p>
    <w:p>
      <w:pPr>
        <w:jc w:val="both"/>
        <w:ind w:right="840"/>
        <w:spacing w:after="0" w:line="312" w:lineRule="auto"/>
        <w:rPr>
          <w:sz w:val="20"/>
          <w:szCs w:val="20"/>
          <w:color w:val="auto"/>
        </w:rPr>
      </w:pPr>
      <w:r>
        <w:rPr>
          <w:rFonts w:ascii="Arial" w:cs="Arial" w:eastAsia="Arial" w:hAnsi="Arial"/>
          <w:sz w:val="16"/>
          <w:szCs w:val="16"/>
          <w:color w:val="auto"/>
        </w:rPr>
        <w:t>Orders were $76.0 million for the fourth quarter of 2013 and $57.3 million for the third quarter of 2013. Orders for semiconductor equipment were $68.3 million in the fourth quarter of 2013 compared to $48.5 million in the third quarter of 2013. Total consolidated backlog was $88.4 million at December 28, 2013 compared to $77.1 million at September 28, 2013. Cohu expects first quarter 2014 sales to be approximately $65 million.</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James A. Donahue, Chairman, President and Chief Executive Officer stated, “Looking back at last year, the anticipated second half recovery did not occur and 2013 was difficult for backend semiconductor equipment. However, Cohu ended the year on a strong note, with Q4 sales exceeding our guidance and semiconductor equipment orders up 41% compared to the third quarter, due in part to a large order for thermal subsystems that are scheduled to ship over the next several quarters.”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Donahue concluded, “Analysts expect that the ATE industry will resume growth in 2014. With our leadership in the IC test handler industry and the broadest product line in our history, including key new systems in each of our market segments, Cohu is in an excellent position to benefit from improved market conditions.”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Cohu’s Board of Directors approved a quarterly cash dividend of $0.06 per share payable on April 18, 2014 to shareholders of record on March 4, 2014. Cohu has paid consecutive quarterly cash dividends since 1977.</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Non-GAAP Financial Information:</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Included within this press release are non-GAAP financial measures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manufacturing transition costs, employee severance costs, other acquisition costs and the purchase accounting inventory step-up included in cost of goods sold. Reconciliations of GAAP to non-GAAP amounts for the periods presented herein are provided in schedules accompanying this release and should be considered together with the Condensed Consolidated Statements of Operations.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Certain matters discussed in this release, including statements regarding the growth in the ATE industry, expectations of business and market conditions, orders, sales, revenues and operating results are forward-looking statements that are subject to risks and uncertainties that could cause actual results to differ materially from those projected or forecasted. Such risks and uncertainties include, but are not limited to, risks associated with acquisitions, inventory, goodwill and other intangible asset write-downs; our ability to convert new products under development into production on a timely basis, support product development and meet customer delivery and acceptance requirements for next generation equipment; our reliance on third-party contract manufacturers; failure to obtain customer acceptance resulting in the inability to recognize revenue and accounts receivable collection problems; customer orders may be canceled or delayed; the concentration of our revenues from a limited number of customers; intense competition in the semiconductor test handler industry; our reliance on patents and intellectual property; compliance with U.S. export regulations; and the cyclical and unpredictable nature of capital expenditures by semiconductor manufacturers. These and other risks and uncertainties are discussed more fully in Cohu’s filings with the Securities and Exchange Commission, including the most recently filed Form 10-K and Form 10-Q. Cohu assumes no obligation to update the information in this release.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121"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Cohu is a supplier of test handling, burn-in, thermal subsystems and MEMS test solutions used by the global semiconductor industry, microwave communications and video equipment.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Cohu will be conducting their conference call on Wednesday, February 12, 2014 at 1:30 p.m. Pacific Time/4:30 p.m. Eastern Time. The call will be webcast at www.cohu.com. Replays of the call can be accessed at www.cohu.com.</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press releases and other information of interest to investors, please visit Cohu’s website at www.cohu.com. Contact: Jeffrey D. Jones — Investor Relations (858) 848-8106</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4"/>
                <w:szCs w:val="14"/>
                <w:color w:val="auto"/>
              </w:rPr>
              <w:t xml:space="preserve">Three Months Ended </w:t>
            </w:r>
            <w:r>
              <w:rPr>
                <w:rFonts w:ascii="Arial" w:cs="Arial" w:eastAsia="Arial" w:hAnsi="Arial"/>
                <w:sz w:val="12"/>
                <w:szCs w:val="12"/>
                <w:color w:val="auto"/>
              </w:rPr>
              <w:t>(1)</w:t>
            </w:r>
          </w:p>
        </w:tc>
        <w:tc>
          <w:tcPr>
            <w:tcW w:w="140" w:type="dxa"/>
            <w:vAlign w:val="bottom"/>
          </w:tcPr>
          <w:p>
            <w:pPr>
              <w:spacing w:after="0"/>
              <w:rPr>
                <w:sz w:val="14"/>
                <w:szCs w:val="14"/>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4"/>
                <w:szCs w:val="14"/>
                <w:color w:val="auto"/>
              </w:rPr>
              <w:t xml:space="preserve">Twelve Months Ended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28,</w:t>
            </w: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rPr>
              <w:t>December 29,</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 xml:space="preserve">2013 </w:t>
            </w:r>
            <w:r>
              <w:rPr>
                <w:rFonts w:ascii="Arial" w:cs="Arial" w:eastAsia="Arial" w:hAnsi="Arial"/>
                <w:sz w:val="12"/>
                <w:szCs w:val="12"/>
                <w:color w:val="auto"/>
                <w:w w:val="96"/>
              </w:rPr>
              <w:t>(2)</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color w:val="auto"/>
              </w:rPr>
              <w:t>(2)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64,670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247,300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45,722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34,065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176,774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11,782</w:t>
            </w: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9,977</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48,596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13,632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12,377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57,730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71,136</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56,419</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283,100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235,246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(6,466)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(35,800)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 xml:space="preserve">Interest and other, net </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(6,454)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(5,658)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(35,746)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(6,450)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(33,418)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rPr>
              <w:t>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Weighted average shares used in computing loss per share: </w:t>
            </w:r>
            <w:r>
              <w:rPr>
                <w:rFonts w:ascii="Arial" w:cs="Arial" w:eastAsia="Arial" w:hAnsi="Arial"/>
                <w:sz w:val="15"/>
                <w:szCs w:val="15"/>
                <w:color w:val="auto"/>
              </w:rPr>
              <w:t>(4)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25,031</w:t>
            </w: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24,572</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24,859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25,031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24,572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24,859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three- and twelve-month periods ended December 28, 2013 and December 29, 2012 were comprised of 13 weeks and 52 weeks, respectively.</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31, 2012 Cohu completed the acquisition of Ismeca and its results have been included since that date.</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year ended December 29, 2012, interest and other income includes a gain on the sale of facility totaling $677,000 related to our metal detection equipment segment, FRL, which was divested in 2006.</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Potentially dilutive securities were excluded from the per share computations for all periods presented due to their antidilutive effect.</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(1)</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investments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52,868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60,760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58,977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Deferred taxes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14,243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186,848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Property, plant &amp;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36,226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71,313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45,315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345,423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profit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6,066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54,945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Deferred taxes and other noncurrent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31,252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253,160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280,899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700"/>
              <w:spacing w:after="0"/>
              <w:rPr>
                <w:sz w:val="20"/>
                <w:szCs w:val="20"/>
                <w:color w:val="auto"/>
              </w:rPr>
            </w:pPr>
            <w:r>
              <w:rPr>
                <w:rFonts w:ascii="Arial" w:cs="Arial" w:eastAsia="Arial" w:hAnsi="Arial"/>
                <w:sz w:val="18"/>
                <w:szCs w:val="18"/>
                <w:color w:val="auto"/>
              </w:rPr>
              <w:t>Total liabilities &amp;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345,423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Ismeca which was acquired on December 31, 2012 for $54.5 million funded out of Cohu’s existing cash reserves.</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December 28,</w:t>
            </w:r>
          </w:p>
        </w:tc>
        <w:tc>
          <w:tcPr>
            <w:tcW w:w="38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9"/>
              </w:rPr>
              <w:t>September 28,</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color w:val="auto"/>
                <w:w w:val="96"/>
              </w:rPr>
              <w:t>2013</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operations—GAAP basis (a)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(11,960)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included in (b):</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Amortization of intangible assets included in (c):</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Manufacturing transition and severance costs included in (d):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79"/>
              </w:rPr>
              <w:t>941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acquisition costs included in selling, general and administrative (e)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Inventory step-up included in cost of goods sold (f)</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operations—non-GAAP basis (g)</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(1,943)</w:t>
            </w:r>
          </w:p>
        </w:tc>
        <w:tc>
          <w:tcPr>
            <w:tcW w:w="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(7,221)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loss—GAAP basis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(10,820)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(as scheduled above)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Tax effect of non-GAAP adjustments (h)</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loss—non-GAAP basis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(2,421)</w:t>
            </w:r>
          </w:p>
        </w:tc>
        <w:tc>
          <w:tcPr>
            <w:tcW w:w="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(6,820)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GAAP net loss per share—diluted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38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Non-GAAP loss per share—diluted (i)</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Other acquisition costs and inventory step-up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(19.9)% and (11.2)% of net sales,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 Amortization for the three months ended September 28, 2013 includes a one-time, catch-up, adjustment of $0.6 million.</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eliminate manufacturing transition and employee severance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 of Ismeca.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Ismeca.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(12.0)% and (3.8)% of net sales,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Computed using number of GAAP diluted shares outstanding for each period presented.</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right"/>
              <w:ind w:right="46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December 28,</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operations—GAAP basis (a)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included in (b):</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Amortization of intangible assets included in (c):</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Manufacturing transition and severance costs included in (d):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acquisition costs included in selling, general and administrative (e)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Inventory step-up included in costs of goods sold (f)</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operations—non-GAAP basis (g)</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(18,575)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Net loss—GAAP basis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(33,418)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(as scheduled above)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Tax effect of non-GAAP adjustments (h)</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the sale of FRL facility (i)</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color w:val="auto"/>
              </w:rPr>
              <w:t>Net loss—non-GAAP basis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GAAP net loss per share—diluted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Non-GAAP loss per share—diluted (j)</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Other acquisition costs and inventory step-up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(14.5)% and (6.4)% of net sales,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manufacturing transition and employee severance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 of Ismeca Semiconductor.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Ismeca.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(7.5)% and (1.4)% of net sales,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non-GAAP net loss for the gain on the sale of our FRL facility.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Computed using number of GAAP diluted shares outstanding for each period presented.</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2019-12-05T07:59:46Z</dcterms:created>
  <dcterms:modified xsi:type="dcterms:W3CDTF">2019-12-05T07:59:46Z</dcterms:modified>
</cp:coreProperties>
</file>