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right"/>
        <w:ind w:right="87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18" w:lineRule="exact"/>
        <w:rPr>
          <w:sz w:val="24"/>
          <w:szCs w:val="24"/>
          <w:color w:val="auto"/>
        </w:rPr>
      </w:pPr>
    </w:p>
    <w:p>
      <w:pPr>
        <w:jc w:val="center"/>
        <w:ind w:left="2340" w:right="40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TO RULES 13d-1(b), (c), AND (d) AND AMENDMENTS THERETO FILED PURSUANT TO RULE 13d-2 (Amendment No. </w:t>
      </w:r>
      <w:r>
        <w:rPr>
          <w:rFonts w:ascii="Times New Roman" w:cs="Times New Roman" w:eastAsia="Times New Roman" w:hAnsi="Times New Roman"/>
          <w:sz w:val="22"/>
          <w:szCs w:val="22"/>
          <w:b w:val="1"/>
          <w:bCs w:val="1"/>
          <w:u w:val="single" w:color="auto"/>
          <w:color w:val="auto"/>
        </w:rPr>
        <w:t>15</w:t>
      </w:r>
      <w:r>
        <w:rPr>
          <w:rFonts w:ascii="Times New Roman" w:cs="Times New Roman" w:eastAsia="Times New Roman" w:hAnsi="Times New Roman"/>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302260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40"/>
          <w:szCs w:val="40"/>
          <w:b w:val="1"/>
          <w:bCs w:val="1"/>
          <w:u w:val="single" w:color="auto"/>
          <w:color w:val="auto"/>
        </w:rPr>
        <w:t>Cohu, Inc.</w:t>
      </w:r>
    </w:p>
    <w:p>
      <w:pPr>
        <w:spacing w:after="0" w:line="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$1.00 Par Value</w:t>
      </w:r>
    </w:p>
    <w:p>
      <w:pPr>
        <w:spacing w:after="0" w:line="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u w:val="single" w:color="auto"/>
          <w:color w:val="auto"/>
        </w:rPr>
        <w:t>001751-19257610</w:t>
      </w:r>
    </w:p>
    <w:p>
      <w:pPr>
        <w:spacing w:after="0" w:line="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2013</w:t>
      </w:r>
    </w:p>
    <w:p>
      <w:pPr>
        <w:spacing w:after="0" w:line="2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199"/>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223520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51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001751-19257610</w:t>
            </w:r>
          </w:p>
        </w:tc>
        <w:tc>
          <w:tcPr>
            <w:tcW w:w="724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13G</w:t>
            </w:r>
          </w:p>
        </w:tc>
      </w:tr>
      <w:tr>
        <w:trPr>
          <w:trHeight w:val="122"/>
        </w:trPr>
        <w:tc>
          <w:tcPr>
            <w:tcW w:w="420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r>
      <w:tr>
        <w:trPr>
          <w:trHeight w:val="228"/>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  Names of Reporting Persons</w:t>
            </w:r>
          </w:p>
        </w:tc>
        <w:tc>
          <w:tcPr>
            <w:tcW w:w="7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-156845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Nicholas J. Cedrone</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3"/>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6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right w:val="single" w:sz="8" w:color="auto"/>
            </w:tcBorders>
          </w:tcPr>
          <w:p>
            <w:pPr>
              <w:spacing w:after="0"/>
              <w:rPr>
                <w:sz w:val="24"/>
                <w:szCs w:val="24"/>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Cedrone Irrevocable Trust – 755,249</w:t>
            </w:r>
          </w:p>
        </w:tc>
        <w:tc>
          <w:tcPr>
            <w:tcW w:w="0" w:type="dxa"/>
            <w:vAlign w:val="bottom"/>
          </w:tcPr>
          <w:p>
            <w:pPr>
              <w:spacing w:after="0"/>
              <w:rPr>
                <w:sz w:val="1"/>
                <w:szCs w:val="1"/>
                <w:color w:val="auto"/>
              </w:rPr>
            </w:pPr>
          </w:p>
        </w:tc>
      </w:tr>
      <w:tr>
        <w:trPr>
          <w:trHeight w:val="104"/>
        </w:trPr>
        <w:tc>
          <w:tcPr>
            <w:tcW w:w="1180" w:type="dxa"/>
            <w:vAlign w:val="bottom"/>
            <w:tcBorders>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Nicholas J. Cedrone – 498,458</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60" w:lineRule="exact"/>
              <w:rPr>
                <w:sz w:val="20"/>
                <w:szCs w:val="20"/>
                <w:color w:val="auto"/>
              </w:rPr>
            </w:pPr>
            <w:r>
              <w:rPr>
                <w:rFonts w:ascii="Times New Roman" w:cs="Times New Roman" w:eastAsia="Times New Roman" w:hAnsi="Times New Roman"/>
                <w:sz w:val="18"/>
                <w:szCs w:val="18"/>
                <w:color w:val="auto"/>
                <w:w w:val="99"/>
              </w:rPr>
              <w:t>Shares</w:t>
            </w:r>
          </w:p>
        </w:tc>
        <w:tc>
          <w:tcPr>
            <w:tcW w:w="240" w:type="dxa"/>
            <w:vAlign w:val="bottom"/>
            <w:tcBorders>
              <w:bottom w:val="single" w:sz="8" w:color="auto"/>
              <w:right w:val="single" w:sz="8" w:color="auto"/>
            </w:tcBorders>
          </w:tcPr>
          <w:p>
            <w:pPr>
              <w:spacing w:after="0"/>
              <w:rPr>
                <w:sz w:val="15"/>
                <w:szCs w:val="15"/>
                <w:color w:val="auto"/>
              </w:rPr>
            </w:pPr>
          </w:p>
        </w:tc>
        <w:tc>
          <w:tcPr>
            <w:tcW w:w="10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8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80" w:type="dxa"/>
            <w:vAlign w:val="bottom"/>
            <w:tcBorders>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24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40" w:type="dxa"/>
            <w:vAlign w:val="bottom"/>
            <w:tcBorders>
              <w:right w:val="single" w:sz="8" w:color="auto"/>
            </w:tcBorders>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76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Borders>
              <w:right w:val="single" w:sz="8" w:color="auto"/>
            </w:tcBorders>
          </w:tcPr>
          <w:p>
            <w:pPr>
              <w:spacing w:after="0"/>
              <w:rPr>
                <w:sz w:val="21"/>
                <w:szCs w:val="21"/>
                <w:color w:val="auto"/>
              </w:rPr>
            </w:pPr>
          </w:p>
        </w:tc>
        <w:tc>
          <w:tcPr>
            <w:tcW w:w="10020" w:type="dxa"/>
            <w:vAlign w:val="bottom"/>
          </w:tcPr>
          <w:p>
            <w:pPr>
              <w:ind w:left="80"/>
              <w:spacing w:after="0" w:line="248" w:lineRule="exact"/>
              <w:rPr>
                <w:sz w:val="20"/>
                <w:szCs w:val="20"/>
                <w:color w:val="auto"/>
              </w:rPr>
            </w:pPr>
            <w:r>
              <w:rPr>
                <w:rFonts w:ascii="Times New Roman" w:cs="Times New Roman" w:eastAsia="Times New Roman" w:hAnsi="Times New Roman"/>
                <w:sz w:val="22"/>
                <w:szCs w:val="22"/>
                <w:color w:val="auto"/>
              </w:rPr>
              <w:t>Cedrone Irrevocable Trust – 755,249</w:t>
            </w: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76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4"/>
              </w:rPr>
              <w:t>With</w:t>
            </w:r>
          </w:p>
        </w:tc>
        <w:tc>
          <w:tcPr>
            <w:tcW w:w="24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Nicholas J. Cedrone – 498,458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1,253,707</w:t>
            </w:r>
          </w:p>
        </w:tc>
        <w:tc>
          <w:tcPr>
            <w:tcW w:w="10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Check if the Aggregate Amount in Row (9) Excludes Certain Shares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5.03%</w:t>
            </w:r>
          </w:p>
        </w:tc>
        <w:tc>
          <w:tcPr>
            <w:tcW w:w="24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0" w:type="dxa"/>
            <w:vAlign w:val="bottom"/>
          </w:tcPr>
          <w:p>
            <w:pPr>
              <w:spacing w:after="0"/>
              <w:rPr>
                <w:sz w:val="1"/>
                <w:szCs w:val="1"/>
                <w:color w:val="auto"/>
              </w:rPr>
            </w:pPr>
          </w:p>
        </w:tc>
      </w:tr>
      <w:tr>
        <w:trPr>
          <w:trHeight w:val="479"/>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24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-213360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00" w:lineRule="exact"/>
        <w:rPr>
          <w:sz w:val="20"/>
          <w:szCs w:val="20"/>
          <w:color w:val="auto"/>
        </w:rPr>
      </w:pPr>
    </w:p>
    <w:p>
      <w:pPr>
        <w:sectPr>
          <w:pgSz w:w="11900" w:h="16838" w:orient="portrait"/>
          <w:cols w:equalWidth="0" w:num="2">
            <w:col w:w="720" w:space="400"/>
            <w:col w:w="10300"/>
          </w:cols>
          <w:pgMar w:left="240" w:top="266" w:right="239"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12367 Crosthwaite Circle, Poway, CA 92064</w:t>
      </w:r>
    </w:p>
    <w:p>
      <w:pPr>
        <w:spacing w:after="0" w:line="200" w:lineRule="exact"/>
        <w:rPr>
          <w:sz w:val="20"/>
          <w:szCs w:val="20"/>
          <w:color w:val="auto"/>
        </w:rPr>
      </w:pPr>
    </w:p>
    <w:p>
      <w:pPr>
        <w:sectPr>
          <w:pgSz w:w="11900" w:h="16838" w:orient="portrait"/>
          <w:cols w:equalWidth="0" w:num="2">
            <w:col w:w="720" w:space="400"/>
            <w:col w:w="10300"/>
          </w:cols>
          <w:pgMar w:left="240" w:top="266"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J. Cedrone</w:t>
      </w:r>
    </w:p>
    <w:p>
      <w:pPr>
        <w:spacing w:after="0" w:line="200" w:lineRule="exact"/>
        <w:rPr>
          <w:sz w:val="20"/>
          <w:szCs w:val="20"/>
          <w:color w:val="auto"/>
        </w:rPr>
      </w:pPr>
    </w:p>
    <w:p>
      <w:pPr>
        <w:sectPr>
          <w:pgSz w:w="11900" w:h="16838" w:orient="portrait"/>
          <w:cols w:equalWidth="0" w:num="2">
            <w:col w:w="720" w:space="400"/>
            <w:col w:w="10300"/>
          </w:cols>
          <w:pgMar w:left="240" w:top="266"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Hawthorne Road, Wellesley, MA 02481</w:t>
      </w:r>
    </w:p>
    <w:p>
      <w:pPr>
        <w:spacing w:after="0" w:line="200" w:lineRule="exact"/>
        <w:rPr>
          <w:sz w:val="20"/>
          <w:szCs w:val="20"/>
          <w:color w:val="auto"/>
        </w:rPr>
      </w:pPr>
    </w:p>
    <w:p>
      <w:pPr>
        <w:sectPr>
          <w:pgSz w:w="11900" w:h="16838" w:orient="portrait"/>
          <w:cols w:equalWidth="0" w:num="2">
            <w:col w:w="720" w:space="400"/>
            <w:col w:w="10300"/>
          </w:cols>
          <w:pgMar w:left="240" w:top="266"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200" w:lineRule="exact"/>
        <w:rPr>
          <w:sz w:val="20"/>
          <w:szCs w:val="20"/>
          <w:color w:val="auto"/>
        </w:rPr>
      </w:pPr>
    </w:p>
    <w:p>
      <w:pPr>
        <w:sectPr>
          <w:pgSz w:w="11900" w:h="16838" w:orient="portrait"/>
          <w:cols w:equalWidth="0" w:num="2">
            <w:col w:w="700" w:space="420"/>
            <w:col w:w="10300"/>
          </w:cols>
          <w:pgMar w:left="240" w:top="266"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$1.00 par value</w:t>
      </w:r>
    </w:p>
    <w:p>
      <w:pPr>
        <w:spacing w:after="0" w:line="200" w:lineRule="exact"/>
        <w:rPr>
          <w:sz w:val="20"/>
          <w:szCs w:val="20"/>
          <w:color w:val="auto"/>
        </w:rPr>
      </w:pPr>
    </w:p>
    <w:p>
      <w:pPr>
        <w:sectPr>
          <w:pgSz w:w="11900" w:h="16838" w:orient="portrait"/>
          <w:cols w:equalWidth="0" w:num="2">
            <w:col w:w="720" w:space="400"/>
            <w:col w:w="10300"/>
          </w:cols>
          <w:pgMar w:left="240" w:top="266"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CUSIP Number: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001751-19257610</w:t>
      </w:r>
    </w:p>
    <w:p>
      <w:pPr>
        <w:spacing w:after="0" w:line="200" w:lineRule="exact"/>
        <w:rPr>
          <w:sz w:val="20"/>
          <w:szCs w:val="20"/>
          <w:color w:val="auto"/>
        </w:rPr>
      </w:pPr>
    </w:p>
    <w:p>
      <w:pPr>
        <w:sectPr>
          <w:pgSz w:w="11900" w:h="16838" w:orient="portrait"/>
          <w:cols w:equalWidth="0" w:num="2">
            <w:col w:w="700" w:space="420"/>
            <w:col w:w="10300"/>
          </w:cols>
          <w:pgMar w:left="240" w:top="266"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526" w:lineRule="auto"/>
        <w:rPr>
          <w:sz w:val="20"/>
          <w:szCs w:val="20"/>
          <w:color w:val="auto"/>
        </w:rPr>
      </w:pPr>
      <w:r>
        <w:rPr>
          <w:rFonts w:ascii="Times New Roman" w:cs="Times New Roman" w:eastAsia="Times New Roman" w:hAnsi="Times New Roman"/>
          <w:sz w:val="18"/>
          <w:szCs w:val="18"/>
          <w:b w:val="1"/>
          <w:bCs w:val="1"/>
          <w:color w:val="auto"/>
        </w:rPr>
        <w:t>If this statement is filed pursuant to Rule 13d-1(c), check this box Ownership</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73" w:lineRule="exact"/>
        <w:rPr>
          <w:sz w:val="20"/>
          <w:szCs w:val="20"/>
          <w:color w:val="auto"/>
        </w:rPr>
      </w:pPr>
    </w:p>
    <w:p>
      <w:pPr>
        <w:sectPr>
          <w:pgSz w:w="11900" w:h="16838" w:orient="portrait"/>
          <w:cols w:equalWidth="0" w:num="3">
            <w:col w:w="500" w:space="640"/>
            <w:col w:w="5000" w:space="100"/>
            <w:col w:w="5180"/>
          </w:cols>
          <w:pgMar w:left="240" w:top="266" w:right="239" w:bottom="1440" w:gutter="0" w:footer="0" w:header="0"/>
          <w:type w:val="continuous"/>
        </w:sect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The aggregate number and percentage of the class of securities of the issuer identified in Item 1 owned by Mr. Cedrone on December 31, 2013 was as follows:</w:t>
      </w:r>
    </w:p>
    <w:p>
      <w:pPr>
        <w:sectPr>
          <w:pgSz w:w="11900" w:h="16838" w:orient="portrait"/>
          <w:cols w:equalWidth="0" w:num="1">
            <w:col w:w="11420"/>
          </w:cols>
          <w:pgMar w:left="240" w:top="266" w:right="239" w:bottom="1440" w:gutter="0" w:footer="0" w:header="0"/>
          <w:type w:val="continuous"/>
        </w:sectPr>
      </w:pPr>
    </w:p>
    <w:p>
      <w:pPr>
        <w:spacing w:after="0" w:line="67" w:lineRule="exact"/>
        <w:rPr>
          <w:sz w:val="20"/>
          <w:szCs w:val="20"/>
          <w:color w:val="auto"/>
        </w:rPr>
      </w:pPr>
    </w:p>
    <w:p>
      <w:pPr>
        <w:ind w:left="2280" w:hanging="570"/>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u w:val="single" w:color="auto"/>
          <w:color w:val="auto"/>
        </w:rPr>
        <w:t>1,253,707</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280" w:hanging="570"/>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80" w:hanging="570"/>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sz w:val="20"/>
          <w:szCs w:val="20"/>
          <w:color w:val="auto"/>
        </w:rPr>
      </w:pPr>
    </w:p>
    <w:p>
      <w:pPr>
        <w:ind w:left="2280" w:hanging="570"/>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u w:val="single" w:color="auto"/>
          <w:color w:val="auto"/>
        </w:rPr>
        <w:t>1,253,707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700"/>
        <w:spacing w:after="0"/>
        <w:tabs>
          <w:tab w:leader="none" w:pos="2260" w:val="left"/>
          <w:tab w:leader="none" w:pos="60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Shared power to vote or to direct the vote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-19050</wp:posOffset>
            </wp:positionV>
            <wp:extent cx="457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80" w:hanging="570"/>
        <w:spacing w:after="0"/>
        <w:tabs>
          <w:tab w:leader="none" w:pos="2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u w:val="single" w:color="auto"/>
          <w:color w:val="auto"/>
        </w:rPr>
        <w:t>1,253,707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700"/>
        <w:spacing w:after="0"/>
        <w:tabs>
          <w:tab w:leader="none" w:pos="2260" w:val="left"/>
          <w:tab w:leader="none" w:pos="69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Shared power to dispose or to direct the disposition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-19050</wp:posOffset>
            </wp:positionV>
            <wp:extent cx="457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-203835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500" w:space="640"/>
            <w:col w:w="10220"/>
          </w:cols>
          <w:pgMar w:left="240" w:top="266" w:right="299" w:bottom="1440" w:gutter="0" w:footer="0" w:header="0"/>
        </w:sect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360"/>
          </w:cols>
          <w:pgMar w:left="240" w:top="266" w:right="29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2" w:lineRule="exact"/>
        <w:rPr>
          <w:sz w:val="20"/>
          <w:szCs w:val="20"/>
          <w:color w:val="auto"/>
        </w:rPr>
      </w:pPr>
    </w:p>
    <w:p>
      <w:pPr>
        <w:sectPr>
          <w:pgSz w:w="11900" w:h="16838" w:orient="portrait"/>
          <w:cols w:equalWidth="0" w:num="2">
            <w:col w:w="500" w:space="640"/>
            <w:col w:w="10220"/>
          </w:cols>
          <w:pgMar w:left="240" w:top="266" w:right="2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360"/>
          </w:cols>
          <w:pgMar w:left="240" w:top="266" w:right="29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00" w:space="640"/>
            <w:col w:w="10220"/>
          </w:cols>
          <w:pgMar w:left="240" w:top="266" w:right="2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360"/>
          </w:cols>
          <w:pgMar w:left="240" w:top="266" w:right="29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2" w:lineRule="exact"/>
        <w:rPr>
          <w:sz w:val="20"/>
          <w:szCs w:val="20"/>
          <w:color w:val="auto"/>
        </w:rPr>
      </w:pPr>
    </w:p>
    <w:p>
      <w:pPr>
        <w:sectPr>
          <w:pgSz w:w="11900" w:h="16838" w:orient="portrait"/>
          <w:cols w:equalWidth="0" w:num="2">
            <w:col w:w="500" w:space="640"/>
            <w:col w:w="10220"/>
          </w:cols>
          <w:pgMar w:left="240" w:top="266" w:right="2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360"/>
          </w:cols>
          <w:pgMar w:left="240" w:top="266" w:right="29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2" w:lineRule="exact"/>
        <w:rPr>
          <w:sz w:val="20"/>
          <w:szCs w:val="20"/>
          <w:color w:val="auto"/>
        </w:rPr>
      </w:pPr>
    </w:p>
    <w:p>
      <w:pPr>
        <w:sectPr>
          <w:pgSz w:w="11900" w:h="16838" w:orient="portrait"/>
          <w:cols w:equalWidth="0" w:num="2">
            <w:col w:w="500" w:space="640"/>
            <w:col w:w="10220"/>
          </w:cols>
          <w:pgMar w:left="240" w:top="266" w:right="2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360"/>
          </w:cols>
          <w:pgMar w:left="240" w:top="266" w:right="29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ectPr>
          <w:pgSz w:w="11900" w:h="16838" w:orient="portrait"/>
          <w:cols w:equalWidth="0" w:num="2">
            <w:col w:w="600" w:space="540"/>
            <w:col w:w="10220"/>
          </w:cols>
          <w:pgMar w:left="240" w:top="266" w:right="299" w:bottom="1440" w:gutter="0" w:footer="0" w:header="0"/>
          <w:type w:val="continuous"/>
        </w:sect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February 6, 2014</w:t>
      </w:r>
    </w:p>
    <w:p>
      <w:pPr>
        <w:spacing w:after="0" w:line="2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Nicholas J. Cedrone</w:t>
      </w:r>
    </w:p>
    <w:p>
      <w:pPr>
        <w:spacing w:after="0" w:line="2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360"/>
      </w:cols>
      <w:pgMar w:left="240" w:top="26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2019-12-05T07:56:55Z</dcterms:created>
  <dcterms:modified xsi:type="dcterms:W3CDTF">2019-12-05T07:56:55Z</dcterms:modified>
</cp:coreProperties>
</file>