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SECURITY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Under the Securities Act of 1934</w:t>
      </w:r>
    </w:p>
    <w:p>
      <w:pPr>
        <w:spacing w:after="0" w:line="14" w:lineRule="exact"/>
        <w:rPr>
          <w:sz w:val="24"/>
          <w:szCs w:val="24"/>
          <w:color w:val="auto"/>
        </w:rPr>
      </w:pPr>
    </w:p>
    <w:p>
      <w:pPr>
        <w:jc w:val="center"/>
        <w:ind w:right="-1220"/>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COHU INC.</w:t>
      </w:r>
    </w:p>
    <w:p>
      <w:pPr>
        <w:spacing w:after="0" w:line="54"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(Title of class of securities)</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192576106</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(CUSIP number)</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December 31, 2009</w:t>
      </w:r>
    </w:p>
    <w:p>
      <w:pPr>
        <w:spacing w:after="0" w:line="21"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1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57137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71373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CUSIP No. 192576106</w:t>
      </w:r>
    </w:p>
    <w:p>
      <w:pPr>
        <w:spacing w:after="0" w:line="239" w:lineRule="exact"/>
        <w:rPr>
          <w:sz w:val="20"/>
          <w:szCs w:val="20"/>
          <w:color w:val="auto"/>
        </w:rPr>
      </w:pPr>
    </w:p>
    <w:p>
      <w:pPr>
        <w:ind w:left="460" w:hanging="24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20" w:type="dxa"/>
            <w:vAlign w:val="bottom"/>
            <w:gridSpan w:val="3"/>
          </w:tcPr>
          <w:p>
            <w:pPr>
              <w:ind w:left="460"/>
              <w:spacing w:after="0"/>
              <w:rPr>
                <w:sz w:val="20"/>
                <w:szCs w:val="20"/>
                <w:color w:val="auto"/>
              </w:rPr>
            </w:pPr>
            <w:r>
              <w:rPr>
                <w:rFonts w:ascii="Arial" w:cs="Arial" w:eastAsia="Arial" w:hAnsi="Arial"/>
                <w:sz w:val="22"/>
                <w:szCs w:val="22"/>
                <w:color w:val="auto"/>
              </w:rPr>
              <w:t>DePrince, Race &amp; Zollo, Inc.</w:t>
            </w:r>
          </w:p>
        </w:tc>
        <w:tc>
          <w:tcPr>
            <w:tcW w:w="0" w:type="dxa"/>
            <w:vAlign w:val="bottom"/>
          </w:tcPr>
          <w:p>
            <w:pPr>
              <w:spacing w:after="0"/>
              <w:rPr>
                <w:sz w:val="1"/>
                <w:szCs w:val="1"/>
                <w:color w:val="auto"/>
              </w:rPr>
            </w:pPr>
          </w:p>
        </w:tc>
      </w:tr>
      <w:tr>
        <w:trPr>
          <w:trHeight w:val="276"/>
        </w:trPr>
        <w:tc>
          <w:tcPr>
            <w:tcW w:w="11420" w:type="dxa"/>
            <w:vAlign w:val="bottom"/>
            <w:tcBorders>
              <w:bottom w:val="single" w:sz="8" w:color="auto"/>
            </w:tcBorders>
            <w:gridSpan w:val="3"/>
          </w:tcPr>
          <w:p>
            <w:pPr>
              <w:ind w:left="460"/>
              <w:spacing w:after="0"/>
              <w:rPr>
                <w:sz w:val="20"/>
                <w:szCs w:val="20"/>
                <w:color w:val="auto"/>
              </w:rPr>
            </w:pPr>
            <w:r>
              <w:rPr>
                <w:rFonts w:ascii="Arial" w:cs="Arial" w:eastAsia="Arial" w:hAnsi="Arial"/>
                <w:sz w:val="22"/>
                <w:szCs w:val="22"/>
                <w:color w:val="auto"/>
              </w:rPr>
              <w:t>59-3299598</w:t>
            </w:r>
          </w:p>
        </w:tc>
        <w:tc>
          <w:tcPr>
            <w:tcW w:w="0" w:type="dxa"/>
            <w:vAlign w:val="bottom"/>
          </w:tcPr>
          <w:p>
            <w:pPr>
              <w:spacing w:after="0"/>
              <w:rPr>
                <w:sz w:val="1"/>
                <w:szCs w:val="1"/>
                <w:color w:val="auto"/>
              </w:rPr>
            </w:pPr>
          </w:p>
        </w:tc>
      </w:tr>
      <w:tr>
        <w:trPr>
          <w:trHeight w:val="170"/>
        </w:trPr>
        <w:tc>
          <w:tcPr>
            <w:tcW w:w="11420" w:type="dxa"/>
            <w:vAlign w:val="bottom"/>
            <w:gridSpan w:val="3"/>
          </w:tcPr>
          <w:p>
            <w:pPr>
              <w:ind w:left="220"/>
              <w:spacing w:after="0" w:line="170" w:lineRule="exact"/>
              <w:rPr>
                <w:sz w:val="20"/>
                <w:szCs w:val="20"/>
                <w:color w:val="auto"/>
              </w:rPr>
            </w:pPr>
            <w:r>
              <w:rPr>
                <w:rFonts w:ascii="Arial" w:cs="Arial" w:eastAsia="Arial" w:hAnsi="Arial"/>
                <w:sz w:val="18"/>
                <w:szCs w:val="18"/>
                <w:color w:val="auto"/>
              </w:rPr>
              <w:t>2  Check the appropriate box if a member of a group*</w:t>
            </w:r>
          </w:p>
        </w:tc>
        <w:tc>
          <w:tcPr>
            <w:tcW w:w="0" w:type="dxa"/>
            <w:vAlign w:val="bottom"/>
          </w:tcPr>
          <w:p>
            <w:pPr>
              <w:spacing w:after="0"/>
              <w:rPr>
                <w:sz w:val="1"/>
                <w:szCs w:val="1"/>
                <w:color w:val="auto"/>
              </w:rPr>
            </w:pPr>
          </w:p>
        </w:tc>
      </w:tr>
      <w:tr>
        <w:trPr>
          <w:trHeight w:val="275"/>
        </w:trPr>
        <w:tc>
          <w:tcPr>
            <w:tcW w:w="1060" w:type="dxa"/>
            <w:vAlign w:val="bottom"/>
          </w:tcPr>
          <w:p>
            <w:pPr>
              <w:ind w:left="4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0" w:type="dxa"/>
            <w:vAlign w:val="bottom"/>
          </w:tcPr>
          <w:p>
            <w:pPr>
              <w:spacing w:after="0"/>
              <w:rPr>
                <w:sz w:val="23"/>
                <w:szCs w:val="23"/>
                <w:color w:val="auto"/>
              </w:rPr>
            </w:pPr>
          </w:p>
        </w:tc>
        <w:tc>
          <w:tcPr>
            <w:tcW w:w="1016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8"/>
        </w:trPr>
        <w:tc>
          <w:tcPr>
            <w:tcW w:w="1142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20" w:type="dxa"/>
            <w:vAlign w:val="bottom"/>
            <w:gridSpan w:val="3"/>
          </w:tcPr>
          <w:p>
            <w:pPr>
              <w:ind w:left="220"/>
              <w:spacing w:after="0"/>
              <w:rPr>
                <w:sz w:val="20"/>
                <w:szCs w:val="20"/>
                <w:color w:val="auto"/>
              </w:rPr>
            </w:pPr>
            <w:r>
              <w:rPr>
                <w:rFonts w:ascii="Arial" w:cs="Arial" w:eastAsia="Arial" w:hAnsi="Arial"/>
                <w:sz w:val="18"/>
                <w:szCs w:val="18"/>
                <w:color w:val="auto"/>
              </w:rPr>
              <w:t>3  SEC use only</w:t>
            </w:r>
          </w:p>
        </w:tc>
        <w:tc>
          <w:tcPr>
            <w:tcW w:w="0" w:type="dxa"/>
            <w:vAlign w:val="bottom"/>
          </w:tcPr>
          <w:p>
            <w:pPr>
              <w:spacing w:after="0"/>
              <w:rPr>
                <w:sz w:val="1"/>
                <w:szCs w:val="1"/>
                <w:color w:val="auto"/>
              </w:rPr>
            </w:pPr>
          </w:p>
        </w:tc>
      </w:tr>
      <w:tr>
        <w:trPr>
          <w:trHeight w:val="210"/>
        </w:trPr>
        <w:tc>
          <w:tcPr>
            <w:tcW w:w="1142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20" w:type="dxa"/>
            <w:vAlign w:val="bottom"/>
            <w:gridSpan w:val="3"/>
          </w:tcPr>
          <w:p>
            <w:pPr>
              <w:ind w:left="220"/>
              <w:spacing w:after="0"/>
              <w:rPr>
                <w:sz w:val="20"/>
                <w:szCs w:val="20"/>
                <w:color w:val="auto"/>
              </w:rPr>
            </w:pPr>
            <w:r>
              <w:rPr>
                <w:rFonts w:ascii="Arial" w:cs="Arial" w:eastAsia="Arial" w:hAnsi="Arial"/>
                <w:sz w:val="18"/>
                <w:szCs w:val="18"/>
                <w:color w:val="auto"/>
              </w:rPr>
              <w:t>4  Citizenship or place of organization</w:t>
            </w:r>
          </w:p>
        </w:tc>
        <w:tc>
          <w:tcPr>
            <w:tcW w:w="0" w:type="dxa"/>
            <w:vAlign w:val="bottom"/>
          </w:tcPr>
          <w:p>
            <w:pPr>
              <w:spacing w:after="0"/>
              <w:rPr>
                <w:sz w:val="1"/>
                <w:szCs w:val="1"/>
                <w:color w:val="auto"/>
              </w:rPr>
            </w:pPr>
          </w:p>
        </w:tc>
      </w:tr>
      <w:tr>
        <w:trPr>
          <w:trHeight w:val="451"/>
        </w:trPr>
        <w:tc>
          <w:tcPr>
            <w:tcW w:w="11420" w:type="dxa"/>
            <w:vAlign w:val="bottom"/>
            <w:tcBorders>
              <w:bottom w:val="single" w:sz="8" w:color="auto"/>
            </w:tcBorders>
            <w:gridSpan w:val="3"/>
          </w:tcPr>
          <w:p>
            <w:pPr>
              <w:ind w:left="680"/>
              <w:spacing w:after="0"/>
              <w:rPr>
                <w:sz w:val="20"/>
                <w:szCs w:val="20"/>
                <w:color w:val="auto"/>
              </w:rPr>
            </w:pPr>
            <w:r>
              <w:rPr>
                <w:rFonts w:ascii="Arial" w:cs="Arial" w:eastAsia="Arial" w:hAnsi="Arial"/>
                <w:sz w:val="22"/>
                <w:szCs w:val="22"/>
                <w:color w:val="auto"/>
              </w:rPr>
              <w:t>Incorporated in the State of Florida</w:t>
            </w:r>
          </w:p>
        </w:tc>
        <w:tc>
          <w:tcPr>
            <w:tcW w:w="0" w:type="dxa"/>
            <w:vAlign w:val="bottom"/>
          </w:tcPr>
          <w:p>
            <w:pPr>
              <w:spacing w:after="0"/>
              <w:rPr>
                <w:sz w:val="1"/>
                <w:szCs w:val="1"/>
                <w:color w:val="auto"/>
              </w:rPr>
            </w:pPr>
          </w:p>
        </w:tc>
      </w:tr>
      <w:tr>
        <w:trPr>
          <w:trHeight w:val="218"/>
        </w:trPr>
        <w:tc>
          <w:tcPr>
            <w:tcW w:w="10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01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060" w:type="dxa"/>
            <w:vAlign w:val="bottom"/>
          </w:tcPr>
          <w:p>
            <w:pPr>
              <w:ind w:left="220"/>
              <w:spacing w:after="0"/>
              <w:rPr>
                <w:sz w:val="20"/>
                <w:szCs w:val="20"/>
                <w:color w:val="auto"/>
              </w:rPr>
            </w:pPr>
            <w:r>
              <w:rPr>
                <w:rFonts w:ascii="Arial" w:cs="Arial" w:eastAsia="Arial" w:hAnsi="Arial"/>
                <w:sz w:val="18"/>
                <w:szCs w:val="18"/>
                <w:color w:val="auto"/>
                <w:w w:val="97"/>
              </w:rPr>
              <w:t>Number of</w:t>
            </w:r>
          </w:p>
        </w:tc>
        <w:tc>
          <w:tcPr>
            <w:tcW w:w="2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ind w:left="360"/>
              <w:spacing w:after="0"/>
              <w:rPr>
                <w:sz w:val="20"/>
                <w:szCs w:val="20"/>
                <w:color w:val="auto"/>
              </w:rPr>
            </w:pPr>
            <w:r>
              <w:rPr>
                <w:rFonts w:ascii="Arial" w:cs="Arial" w:eastAsia="Arial" w:hAnsi="Arial"/>
                <w:sz w:val="22"/>
                <w:szCs w:val="22"/>
                <w:color w:val="auto"/>
              </w:rPr>
              <w:t>1,511,727</w:t>
            </w:r>
          </w:p>
        </w:tc>
        <w:tc>
          <w:tcPr>
            <w:tcW w:w="0" w:type="dxa"/>
            <w:vAlign w:val="bottom"/>
          </w:tcPr>
          <w:p>
            <w:pPr>
              <w:spacing w:after="0"/>
              <w:rPr>
                <w:sz w:val="1"/>
                <w:szCs w:val="1"/>
                <w:color w:val="auto"/>
              </w:rPr>
            </w:pPr>
          </w:p>
        </w:tc>
      </w:tr>
      <w:tr>
        <w:trPr>
          <w:trHeight w:val="228"/>
        </w:trPr>
        <w:tc>
          <w:tcPr>
            <w:tcW w:w="1060" w:type="dxa"/>
            <w:vAlign w:val="bottom"/>
          </w:tcPr>
          <w:p>
            <w:pPr>
              <w:jc w:val="center"/>
              <w:ind w:left="48"/>
              <w:spacing w:after="0"/>
              <w:rPr>
                <w:sz w:val="20"/>
                <w:szCs w:val="20"/>
                <w:color w:val="auto"/>
              </w:rPr>
            </w:pPr>
            <w:r>
              <w:rPr>
                <w:rFonts w:ascii="Arial" w:cs="Arial" w:eastAsia="Arial" w:hAnsi="Arial"/>
                <w:sz w:val="18"/>
                <w:szCs w:val="18"/>
                <w:color w:val="auto"/>
                <w:w w:val="8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01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left="48"/>
              <w:spacing w:after="0"/>
              <w:rPr>
                <w:sz w:val="20"/>
                <w:szCs w:val="20"/>
                <w:color w:val="auto"/>
              </w:rPr>
            </w:pPr>
            <w:r>
              <w:rPr>
                <w:rFonts w:ascii="Arial" w:cs="Arial" w:eastAsia="Arial" w:hAnsi="Arial"/>
                <w:sz w:val="18"/>
                <w:szCs w:val="18"/>
                <w:color w:val="auto"/>
                <w:w w:val="94"/>
              </w:rPr>
              <w:t>beneficially</w:t>
            </w:r>
          </w:p>
        </w:tc>
        <w:tc>
          <w:tcPr>
            <w:tcW w:w="200" w:type="dxa"/>
            <w:vAlign w:val="bottom"/>
          </w:tcPr>
          <w:p>
            <w:pPr>
              <w:spacing w:after="0"/>
              <w:rPr>
                <w:sz w:val="18"/>
                <w:szCs w:val="18"/>
                <w:color w:val="auto"/>
              </w:rPr>
            </w:pPr>
          </w:p>
        </w:tc>
        <w:tc>
          <w:tcPr>
            <w:tcW w:w="10160" w:type="dxa"/>
            <w:vAlign w:val="bottom"/>
            <w:vMerge w:val="restart"/>
          </w:tcPr>
          <w:p>
            <w:pPr>
              <w:ind w:left="36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22"/>
        </w:trPr>
        <w:tc>
          <w:tcPr>
            <w:tcW w:w="1060" w:type="dxa"/>
            <w:vAlign w:val="bottom"/>
          </w:tcPr>
          <w:p>
            <w:pPr>
              <w:jc w:val="center"/>
              <w:ind w:left="48"/>
              <w:spacing w:after="0"/>
              <w:rPr>
                <w:sz w:val="20"/>
                <w:szCs w:val="20"/>
                <w:color w:val="auto"/>
              </w:rPr>
            </w:pPr>
            <w:r>
              <w:rPr>
                <w:rFonts w:ascii="Arial" w:cs="Arial" w:eastAsia="Arial" w:hAnsi="Arial"/>
                <w:sz w:val="18"/>
                <w:szCs w:val="18"/>
                <w:color w:val="auto"/>
                <w:w w:val="88"/>
              </w:rPr>
              <w:t>owned by</w:t>
            </w:r>
          </w:p>
        </w:tc>
        <w:tc>
          <w:tcPr>
            <w:tcW w:w="200" w:type="dxa"/>
            <w:vAlign w:val="bottom"/>
            <w:tcBorders>
              <w:bottom w:val="single" w:sz="8" w:color="auto"/>
            </w:tcBorders>
          </w:tcPr>
          <w:p>
            <w:pPr>
              <w:spacing w:after="0"/>
              <w:rPr>
                <w:sz w:val="19"/>
                <w:szCs w:val="19"/>
                <w:color w:val="auto"/>
              </w:rPr>
            </w:pPr>
          </w:p>
        </w:tc>
        <w:tc>
          <w:tcPr>
            <w:tcW w:w="10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left="48"/>
              <w:spacing w:after="0" w:line="190" w:lineRule="exact"/>
              <w:rPr>
                <w:sz w:val="20"/>
                <w:szCs w:val="20"/>
                <w:color w:val="auto"/>
              </w:rPr>
            </w:pPr>
            <w:r>
              <w:rPr>
                <w:rFonts w:ascii="Arial" w:cs="Arial" w:eastAsia="Arial" w:hAnsi="Arial"/>
                <w:sz w:val="18"/>
                <w:szCs w:val="18"/>
                <w:color w:val="auto"/>
                <w:w w:val="81"/>
              </w:rPr>
              <w:t>each</w:t>
            </w:r>
          </w:p>
        </w:tc>
        <w:tc>
          <w:tcPr>
            <w:tcW w:w="20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160" w:type="dxa"/>
            <w:vAlign w:val="bottom"/>
          </w:tcPr>
          <w:p>
            <w:pPr>
              <w:ind w:left="14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left="48"/>
              <w:spacing w:after="0"/>
              <w:rPr>
                <w:sz w:val="20"/>
                <w:szCs w:val="20"/>
                <w:color w:val="auto"/>
              </w:rPr>
            </w:pPr>
            <w:r>
              <w:rPr>
                <w:rFonts w:ascii="Arial" w:cs="Arial" w:eastAsia="Arial" w:hAnsi="Arial"/>
                <w:sz w:val="18"/>
                <w:szCs w:val="18"/>
                <w:color w:val="auto"/>
                <w:w w:val="90"/>
              </w:rPr>
              <w:t>reporting</w:t>
            </w:r>
          </w:p>
        </w:tc>
        <w:tc>
          <w:tcPr>
            <w:tcW w:w="200" w:type="dxa"/>
            <w:vAlign w:val="bottom"/>
          </w:tcPr>
          <w:p>
            <w:pPr>
              <w:spacing w:after="0"/>
              <w:rPr>
                <w:sz w:val="18"/>
                <w:szCs w:val="18"/>
                <w:color w:val="auto"/>
              </w:rPr>
            </w:pPr>
          </w:p>
        </w:tc>
        <w:tc>
          <w:tcPr>
            <w:tcW w:w="10160" w:type="dxa"/>
            <w:vAlign w:val="bottom"/>
            <w:vMerge w:val="restart"/>
          </w:tcPr>
          <w:p>
            <w:pPr>
              <w:ind w:left="360"/>
              <w:spacing w:after="0"/>
              <w:rPr>
                <w:sz w:val="20"/>
                <w:szCs w:val="20"/>
                <w:color w:val="auto"/>
              </w:rPr>
            </w:pPr>
            <w:r>
              <w:rPr>
                <w:rFonts w:ascii="Arial" w:cs="Arial" w:eastAsia="Arial" w:hAnsi="Arial"/>
                <w:sz w:val="22"/>
                <w:szCs w:val="22"/>
                <w:color w:val="auto"/>
              </w:rPr>
              <w:t>1,511,727</w:t>
            </w:r>
          </w:p>
        </w:tc>
        <w:tc>
          <w:tcPr>
            <w:tcW w:w="0" w:type="dxa"/>
            <w:vAlign w:val="bottom"/>
          </w:tcPr>
          <w:p>
            <w:pPr>
              <w:spacing w:after="0"/>
              <w:rPr>
                <w:sz w:val="1"/>
                <w:szCs w:val="1"/>
                <w:color w:val="auto"/>
              </w:rPr>
            </w:pPr>
          </w:p>
        </w:tc>
      </w:tr>
      <w:tr>
        <w:trPr>
          <w:trHeight w:val="216"/>
        </w:trPr>
        <w:tc>
          <w:tcPr>
            <w:tcW w:w="1060" w:type="dxa"/>
            <w:vAlign w:val="bottom"/>
          </w:tcPr>
          <w:p>
            <w:pPr>
              <w:jc w:val="center"/>
              <w:ind w:left="28"/>
              <w:spacing w:after="0"/>
              <w:rPr>
                <w:sz w:val="20"/>
                <w:szCs w:val="20"/>
                <w:color w:val="auto"/>
              </w:rPr>
            </w:pPr>
            <w:r>
              <w:rPr>
                <w:rFonts w:ascii="Arial" w:cs="Arial" w:eastAsia="Arial" w:hAnsi="Arial"/>
                <w:sz w:val="18"/>
                <w:szCs w:val="18"/>
                <w:color w:val="auto"/>
                <w:w w:val="83"/>
              </w:rPr>
              <w:t>person</w:t>
            </w:r>
          </w:p>
        </w:tc>
        <w:tc>
          <w:tcPr>
            <w:tcW w:w="200" w:type="dxa"/>
            <w:vAlign w:val="bottom"/>
          </w:tcPr>
          <w:p>
            <w:pPr>
              <w:spacing w:after="0"/>
              <w:rPr>
                <w:sz w:val="18"/>
                <w:szCs w:val="18"/>
                <w:color w:val="auto"/>
              </w:rPr>
            </w:pPr>
          </w:p>
        </w:tc>
        <w:tc>
          <w:tcPr>
            <w:tcW w:w="10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060" w:type="dxa"/>
            <w:vAlign w:val="bottom"/>
            <w:vMerge w:val="restart"/>
          </w:tcPr>
          <w:p>
            <w:pPr>
              <w:jc w:val="center"/>
              <w:ind w:left="48"/>
              <w:spacing w:after="0"/>
              <w:rPr>
                <w:sz w:val="20"/>
                <w:szCs w:val="20"/>
                <w:color w:val="auto"/>
              </w:rPr>
            </w:pPr>
            <w:r>
              <w:rPr>
                <w:rFonts w:ascii="Arial" w:cs="Arial" w:eastAsia="Arial" w:hAnsi="Arial"/>
                <w:sz w:val="18"/>
                <w:szCs w:val="18"/>
                <w:color w:val="auto"/>
                <w:w w:val="99"/>
              </w:rPr>
              <w:t>with</w:t>
            </w:r>
          </w:p>
        </w:tc>
        <w:tc>
          <w:tcPr>
            <w:tcW w:w="20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1016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none</w:t>
      </w:r>
    </w:p>
    <w:p>
      <w:pPr>
        <w:spacing w:after="0" w:line="30" w:lineRule="exact"/>
        <w:rPr>
          <w:sz w:val="20"/>
          <w:szCs w:val="20"/>
          <w:color w:val="auto"/>
        </w:rPr>
      </w:pPr>
    </w:p>
    <w:p>
      <w:pPr>
        <w:ind w:left="220"/>
        <w:spacing w:after="0"/>
        <w:tabs>
          <w:tab w:leader="none" w:pos="4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5"/>
          <w:szCs w:val="15"/>
          <w:color w:val="auto"/>
        </w:rPr>
        <w:t>Aggregate amount beneficially owned by each reporting person</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1,511,727</w:t>
      </w:r>
    </w:p>
    <w:p>
      <w:pPr>
        <w:spacing w:after="0" w:line="30"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box if the aggregate amount in Row (9) excludes certain shares*</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No</w:t>
      </w:r>
    </w:p>
    <w:p>
      <w:pPr>
        <w:spacing w:after="0" w:line="30"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6.45%</w:t>
      </w:r>
    </w:p>
    <w:p>
      <w:pPr>
        <w:spacing w:after="0" w:line="30"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IA</w:t>
      </w:r>
    </w:p>
    <w:p>
      <w:pPr>
        <w:sectPr>
          <w:pgSz w:w="11900" w:h="16838" w:orient="portrait"/>
          <w:cols w:equalWidth="0" w:num="1">
            <w:col w:w="11420"/>
          </w:cols>
          <w:pgMar w:left="240" w:top="280" w:right="2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 G</w:t>
      </w:r>
    </w:p>
    <w:p>
      <w:pPr>
        <w:spacing w:after="0" w:line="212"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Cohu Inc.</w:t>
      </w:r>
    </w:p>
    <w:p>
      <w:pPr>
        <w:spacing w:after="0" w:line="123" w:lineRule="exact"/>
        <w:rPr>
          <w:sz w:val="20"/>
          <w:szCs w:val="20"/>
          <w:color w:val="auto"/>
        </w:rPr>
      </w:pPr>
    </w:p>
    <w:p>
      <w:pPr>
        <w:ind w:left="1420" w:right="6999" w:hanging="710"/>
        <w:spacing w:after="0" w:line="332" w:lineRule="auto"/>
        <w:tabs>
          <w:tab w:leader="none" w:pos="1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12367 Crosthwaite Circle Poway, CA 92064-6817</w:t>
      </w:r>
    </w:p>
    <w:p>
      <w:pPr>
        <w:spacing w:after="0" w:line="39"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DePrince, Race &amp; Zollo, Inc.</w:t>
      </w:r>
    </w:p>
    <w:p>
      <w:pPr>
        <w:spacing w:after="0" w:line="123" w:lineRule="exact"/>
        <w:rPr>
          <w:sz w:val="20"/>
          <w:szCs w:val="20"/>
          <w:color w:val="auto"/>
        </w:rPr>
      </w:pPr>
    </w:p>
    <w:p>
      <w:pPr>
        <w:ind w:left="1420" w:right="6639" w:hanging="710"/>
        <w:spacing w:after="0" w:line="268"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250 Park Ave South, Suite 250 Winter Park, FL 32789</w:t>
      </w:r>
    </w:p>
    <w:p>
      <w:pPr>
        <w:spacing w:after="0" w:line="91" w:lineRule="exact"/>
        <w:rPr>
          <w:rFonts w:ascii="Arial" w:cs="Arial" w:eastAsia="Arial" w:hAnsi="Arial"/>
          <w:sz w:val="18"/>
          <w:szCs w:val="18"/>
          <w:color w:val="auto"/>
        </w:rPr>
      </w:pPr>
    </w:p>
    <w:p>
      <w:pPr>
        <w:ind w:left="1420" w:hanging="710"/>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192576106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3" w:lineRule="exact"/>
        <w:rPr>
          <w:sz w:val="20"/>
          <w:szCs w:val="20"/>
          <w:color w:val="auto"/>
        </w:rPr>
      </w:pPr>
    </w:p>
    <w:p>
      <w:pPr>
        <w:ind w:left="1420" w:hanging="710"/>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p>
    <w:p>
      <w:pPr>
        <w:sectPr>
          <w:pgSz w:w="11900" w:h="16838" w:orient="portrait"/>
          <w:cols w:equalWidth="0" w:num="1">
            <w:col w:w="10219"/>
          </w:cols>
          <w:pgMar w:left="240" w:top="274" w:right="1440"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 G</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20" w:hanging="31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1,511,727 shares</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6.45%</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1,511,727 shares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 1,511,727 shares</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ind w:left="720" w:right="37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179"/>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274" w:right="1440"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Date: 02/11/2010</w:t>
      </w:r>
    </w:p>
    <w:p>
      <w:pPr>
        <w:spacing w:after="0" w:line="225" w:lineRule="exact"/>
        <w:rPr>
          <w:sz w:val="20"/>
          <w:szCs w:val="20"/>
          <w:color w:val="auto"/>
        </w:rPr>
      </w:pPr>
    </w:p>
    <w:p>
      <w:pPr>
        <w:ind w:left="6880"/>
        <w:spacing w:after="0"/>
        <w:tabs>
          <w:tab w:leader="none" w:pos="836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Angela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Angela Johnston</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2019-12-09T22:26:31Z</dcterms:created>
  <dcterms:modified xsi:type="dcterms:W3CDTF">2019-12-09T22:26:31Z</dcterms:modified>
</cp:coreProperties>
</file>